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173" w:type="dxa"/>
        <w:tblLayout w:type="fixed"/>
        <w:tblLook w:val="0000" w:firstRow="0" w:lastRow="0" w:firstColumn="0" w:lastColumn="0" w:noHBand="0" w:noVBand="0"/>
      </w:tblPr>
      <w:tblGrid>
        <w:gridCol w:w="6629"/>
        <w:gridCol w:w="3544"/>
      </w:tblGrid>
      <w:tr w:rsidR="00A6023B" w:rsidRPr="00B13680" w:rsidTr="00A6023B">
        <w:trPr>
          <w:cantSplit/>
        </w:trPr>
        <w:tc>
          <w:tcPr>
            <w:tcW w:w="6629" w:type="dxa"/>
            <w:vAlign w:val="center"/>
          </w:tcPr>
          <w:p w:rsidR="00A6023B" w:rsidRPr="00B13680" w:rsidRDefault="00A6023B" w:rsidP="00A6023B">
            <w:pPr>
              <w:overflowPunct/>
              <w:autoSpaceDE/>
              <w:autoSpaceDN/>
              <w:snapToGrid w:val="0"/>
              <w:spacing w:before="0"/>
              <w:textAlignment w:val="auto"/>
              <w:rPr>
                <w:rFonts w:eastAsia="Calibri" w:cs="Calibri"/>
                <w:color w:val="000000"/>
                <w:szCs w:val="24"/>
                <w:lang w:val="en-US"/>
              </w:rPr>
            </w:pPr>
            <w:r w:rsidRPr="00B13680">
              <w:rPr>
                <w:rFonts w:eastAsia="Calibri" w:cs="Calibri"/>
                <w:b/>
                <w:bCs/>
                <w:color w:val="000000"/>
                <w:position w:val="6"/>
                <w:sz w:val="30"/>
                <w:szCs w:val="30"/>
                <w:lang w:val="en-US"/>
              </w:rPr>
              <w:t>Expert Group on International Telecommunication Regulations (EG</w:t>
            </w:r>
            <w:r w:rsidRPr="00B13680">
              <w:rPr>
                <w:rFonts w:eastAsia="Calibri" w:cs="Calibri"/>
                <w:b/>
                <w:bCs/>
                <w:color w:val="000000"/>
                <w:position w:val="6"/>
                <w:sz w:val="30"/>
                <w:szCs w:val="30"/>
                <w:lang w:val="en-US"/>
              </w:rPr>
              <w:noBreakHyphen/>
              <w:t>ITRs)</w:t>
            </w:r>
          </w:p>
        </w:tc>
        <w:tc>
          <w:tcPr>
            <w:tcW w:w="3544" w:type="dxa"/>
          </w:tcPr>
          <w:p w:rsidR="00A6023B" w:rsidRPr="00B13680" w:rsidRDefault="00A6023B" w:rsidP="00A6023B">
            <w:pPr>
              <w:spacing w:before="0" w:line="240" w:lineRule="atLeast"/>
              <w:rPr>
                <w:lang w:val="en-US"/>
              </w:rPr>
            </w:pPr>
            <w:bookmarkStart w:id="0" w:name="ditulogo"/>
            <w:bookmarkEnd w:id="0"/>
            <w:r w:rsidRPr="00B13680">
              <w:rPr>
                <w:noProof/>
                <w:lang w:val="en-US" w:eastAsia="zh-CN"/>
              </w:rPr>
              <w:drawing>
                <wp:inline distT="0" distB="0" distL="0" distR="0" wp14:anchorId="70D01DE3" wp14:editId="7B17942F">
                  <wp:extent cx="1760220" cy="7467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6023B" w:rsidRPr="00B13680" w:rsidTr="00A6023B">
        <w:trPr>
          <w:cantSplit/>
        </w:trPr>
        <w:tc>
          <w:tcPr>
            <w:tcW w:w="6629" w:type="dxa"/>
            <w:tcBorders>
              <w:bottom w:val="single" w:sz="12" w:space="0" w:color="auto"/>
            </w:tcBorders>
          </w:tcPr>
          <w:p w:rsidR="00A6023B" w:rsidRPr="00B13680" w:rsidRDefault="00A6023B" w:rsidP="00A6023B">
            <w:pPr>
              <w:overflowPunct/>
              <w:autoSpaceDE/>
              <w:autoSpaceDN/>
              <w:adjustRightInd/>
              <w:spacing w:before="0"/>
              <w:textAlignment w:val="auto"/>
              <w:rPr>
                <w:rFonts w:eastAsia="Calibri" w:cs="Calibri"/>
                <w:color w:val="000000"/>
                <w:szCs w:val="24"/>
                <w:lang w:val="en-US"/>
              </w:rPr>
            </w:pPr>
            <w:r w:rsidRPr="00B13680">
              <w:rPr>
                <w:rFonts w:eastAsia="Calibri" w:cs="Calibri"/>
                <w:b/>
                <w:color w:val="000000"/>
                <w:szCs w:val="24"/>
                <w:lang w:val="en-US"/>
              </w:rPr>
              <w:t xml:space="preserve">First meeting – Geneva, 9-10 February 2017 </w:t>
            </w:r>
          </w:p>
        </w:tc>
        <w:tc>
          <w:tcPr>
            <w:tcW w:w="3544" w:type="dxa"/>
            <w:tcBorders>
              <w:bottom w:val="single" w:sz="12" w:space="0" w:color="auto"/>
            </w:tcBorders>
          </w:tcPr>
          <w:p w:rsidR="00A6023B" w:rsidRPr="00B13680" w:rsidRDefault="00A6023B" w:rsidP="00A6023B">
            <w:pPr>
              <w:spacing w:before="0" w:line="240" w:lineRule="atLeast"/>
              <w:rPr>
                <w:szCs w:val="24"/>
                <w:lang w:val="en-US"/>
              </w:rPr>
            </w:pPr>
          </w:p>
        </w:tc>
      </w:tr>
      <w:tr w:rsidR="008660FB" w:rsidRPr="00B13680" w:rsidTr="00A6023B">
        <w:trPr>
          <w:cantSplit/>
        </w:trPr>
        <w:tc>
          <w:tcPr>
            <w:tcW w:w="6629" w:type="dxa"/>
            <w:tcBorders>
              <w:top w:val="single" w:sz="12" w:space="0" w:color="auto"/>
            </w:tcBorders>
          </w:tcPr>
          <w:p w:rsidR="008660FB" w:rsidRPr="00B13680" w:rsidRDefault="008660FB">
            <w:pPr>
              <w:spacing w:before="0" w:after="48" w:line="240" w:lineRule="atLeast"/>
              <w:rPr>
                <w:b/>
                <w:smallCaps/>
                <w:szCs w:val="24"/>
                <w:lang w:val="en-US"/>
              </w:rPr>
            </w:pPr>
          </w:p>
        </w:tc>
        <w:tc>
          <w:tcPr>
            <w:tcW w:w="3544" w:type="dxa"/>
            <w:tcBorders>
              <w:top w:val="single" w:sz="12" w:space="0" w:color="auto"/>
            </w:tcBorders>
          </w:tcPr>
          <w:p w:rsidR="008660FB" w:rsidRPr="00B13680" w:rsidRDefault="008660FB">
            <w:pPr>
              <w:spacing w:before="0" w:line="240" w:lineRule="atLeast"/>
              <w:rPr>
                <w:szCs w:val="24"/>
                <w:lang w:val="en-US"/>
              </w:rPr>
            </w:pPr>
          </w:p>
        </w:tc>
      </w:tr>
      <w:tr w:rsidR="00A6023B" w:rsidRPr="00B13680" w:rsidTr="00A6023B">
        <w:trPr>
          <w:cantSplit/>
          <w:trHeight w:val="23"/>
        </w:trPr>
        <w:tc>
          <w:tcPr>
            <w:tcW w:w="6629" w:type="dxa"/>
            <w:vMerge w:val="restart"/>
          </w:tcPr>
          <w:p w:rsidR="00A6023B" w:rsidRPr="00B13680" w:rsidRDefault="00A6023B" w:rsidP="00A6023B">
            <w:pPr>
              <w:tabs>
                <w:tab w:val="left" w:pos="851"/>
              </w:tabs>
              <w:spacing w:line="240" w:lineRule="atLeast"/>
              <w:rPr>
                <w:b/>
                <w:lang w:val="en-US"/>
              </w:rPr>
            </w:pPr>
            <w:bookmarkStart w:id="1" w:name="dmeeting" w:colFirst="0" w:colLast="0"/>
            <w:bookmarkStart w:id="2" w:name="dnum" w:colFirst="1" w:colLast="1"/>
          </w:p>
        </w:tc>
        <w:tc>
          <w:tcPr>
            <w:tcW w:w="3544" w:type="dxa"/>
          </w:tcPr>
          <w:p w:rsidR="00A6023B" w:rsidRPr="00B13680" w:rsidRDefault="00A6023B" w:rsidP="003D3579">
            <w:pPr>
              <w:tabs>
                <w:tab w:val="left" w:pos="851"/>
              </w:tabs>
              <w:overflowPunct/>
              <w:autoSpaceDE/>
              <w:autoSpaceDN/>
              <w:adjustRightInd/>
              <w:spacing w:before="0"/>
              <w:textAlignment w:val="auto"/>
              <w:rPr>
                <w:rFonts w:eastAsia="Calibri" w:cs="Calibri"/>
                <w:color w:val="000000"/>
                <w:szCs w:val="24"/>
                <w:lang w:val="en-US"/>
              </w:rPr>
            </w:pPr>
            <w:bookmarkStart w:id="3" w:name="_GoBack"/>
            <w:bookmarkEnd w:id="3"/>
          </w:p>
        </w:tc>
      </w:tr>
      <w:tr w:rsidR="00A6023B" w:rsidRPr="00B13680" w:rsidTr="00A6023B">
        <w:trPr>
          <w:cantSplit/>
          <w:trHeight w:val="23"/>
        </w:trPr>
        <w:tc>
          <w:tcPr>
            <w:tcW w:w="6629" w:type="dxa"/>
            <w:vMerge/>
          </w:tcPr>
          <w:p w:rsidR="00A6023B" w:rsidRPr="00B13680" w:rsidRDefault="00A6023B" w:rsidP="00A6023B">
            <w:pPr>
              <w:tabs>
                <w:tab w:val="left" w:pos="851"/>
              </w:tabs>
              <w:spacing w:line="240" w:lineRule="atLeast"/>
              <w:rPr>
                <w:b/>
                <w:lang w:val="en-US"/>
              </w:rPr>
            </w:pPr>
            <w:bookmarkStart w:id="4" w:name="ddate" w:colFirst="1" w:colLast="1"/>
            <w:bookmarkEnd w:id="1"/>
            <w:bookmarkEnd w:id="2"/>
          </w:p>
        </w:tc>
        <w:tc>
          <w:tcPr>
            <w:tcW w:w="3544" w:type="dxa"/>
          </w:tcPr>
          <w:p w:rsidR="00A6023B" w:rsidRPr="00B13680" w:rsidRDefault="00C67C42" w:rsidP="00A6023B">
            <w:pPr>
              <w:tabs>
                <w:tab w:val="left" w:pos="993"/>
              </w:tabs>
              <w:overflowPunct/>
              <w:autoSpaceDE/>
              <w:autoSpaceDN/>
              <w:adjustRightInd/>
              <w:spacing w:before="0"/>
              <w:textAlignment w:val="auto"/>
              <w:rPr>
                <w:rFonts w:eastAsia="Calibri" w:cs="Calibri"/>
                <w:color w:val="000000"/>
                <w:szCs w:val="24"/>
                <w:lang w:val="en-US"/>
              </w:rPr>
            </w:pPr>
            <w:r w:rsidRPr="00B13680">
              <w:rPr>
                <w:rFonts w:eastAsia="Calibri" w:cs="Calibri"/>
                <w:b/>
                <w:color w:val="000000"/>
                <w:szCs w:val="24"/>
                <w:lang w:val="en-US"/>
              </w:rPr>
              <w:t>10</w:t>
            </w:r>
            <w:r w:rsidR="00A6023B" w:rsidRPr="00B13680">
              <w:rPr>
                <w:rFonts w:eastAsia="Calibri" w:cs="Calibri"/>
                <w:b/>
                <w:color w:val="000000"/>
                <w:szCs w:val="24"/>
                <w:lang w:val="en-US"/>
              </w:rPr>
              <w:t xml:space="preserve"> January 2017</w:t>
            </w:r>
          </w:p>
        </w:tc>
      </w:tr>
      <w:tr w:rsidR="00A6023B" w:rsidRPr="00B13680" w:rsidTr="00A6023B">
        <w:trPr>
          <w:cantSplit/>
          <w:trHeight w:val="23"/>
        </w:trPr>
        <w:tc>
          <w:tcPr>
            <w:tcW w:w="6629" w:type="dxa"/>
            <w:vMerge/>
          </w:tcPr>
          <w:p w:rsidR="00A6023B" w:rsidRPr="00B13680" w:rsidRDefault="00A6023B" w:rsidP="00A6023B">
            <w:pPr>
              <w:tabs>
                <w:tab w:val="left" w:pos="851"/>
              </w:tabs>
              <w:spacing w:line="240" w:lineRule="atLeast"/>
              <w:rPr>
                <w:b/>
                <w:lang w:val="en-US"/>
              </w:rPr>
            </w:pPr>
            <w:bookmarkStart w:id="5" w:name="dorlang" w:colFirst="1" w:colLast="1"/>
            <w:bookmarkEnd w:id="4"/>
          </w:p>
        </w:tc>
        <w:tc>
          <w:tcPr>
            <w:tcW w:w="3544" w:type="dxa"/>
          </w:tcPr>
          <w:p w:rsidR="00A6023B" w:rsidRPr="00B13680" w:rsidRDefault="00A6023B" w:rsidP="00C67C42">
            <w:pPr>
              <w:tabs>
                <w:tab w:val="left" w:pos="993"/>
              </w:tabs>
              <w:overflowPunct/>
              <w:autoSpaceDE/>
              <w:autoSpaceDN/>
              <w:adjustRightInd/>
              <w:spacing w:before="0"/>
              <w:textAlignment w:val="auto"/>
              <w:rPr>
                <w:rFonts w:eastAsia="Calibri" w:cs="Calibri"/>
                <w:color w:val="000000"/>
                <w:szCs w:val="24"/>
                <w:lang w:val="en-US"/>
              </w:rPr>
            </w:pPr>
            <w:r w:rsidRPr="00B13680">
              <w:rPr>
                <w:rFonts w:eastAsia="Calibri" w:cs="Calibri"/>
                <w:b/>
                <w:color w:val="000000"/>
                <w:szCs w:val="24"/>
                <w:lang w:val="en-US"/>
              </w:rPr>
              <w:t xml:space="preserve">Original: </w:t>
            </w:r>
            <w:r w:rsidR="00C67C42" w:rsidRPr="00B13680">
              <w:rPr>
                <w:rFonts w:eastAsia="Calibri" w:cs="Calibri"/>
                <w:b/>
                <w:color w:val="000000"/>
                <w:szCs w:val="24"/>
                <w:lang w:val="en-US"/>
              </w:rPr>
              <w:t>Russian</w:t>
            </w:r>
          </w:p>
        </w:tc>
      </w:tr>
      <w:tr w:rsidR="008660FB" w:rsidRPr="00B13680" w:rsidTr="00A6023B">
        <w:trPr>
          <w:cantSplit/>
        </w:trPr>
        <w:tc>
          <w:tcPr>
            <w:tcW w:w="10173" w:type="dxa"/>
            <w:gridSpan w:val="2"/>
          </w:tcPr>
          <w:p w:rsidR="008660FB" w:rsidRPr="00B13680" w:rsidRDefault="008118CC" w:rsidP="00C67C42">
            <w:pPr>
              <w:pStyle w:val="Source"/>
              <w:rPr>
                <w:lang w:val="en-US"/>
              </w:rPr>
            </w:pPr>
            <w:bookmarkStart w:id="6" w:name="dsource" w:colFirst="0" w:colLast="0"/>
            <w:bookmarkEnd w:id="5"/>
            <w:r w:rsidRPr="00B13680">
              <w:rPr>
                <w:rFonts w:asciiTheme="minorHAnsi" w:hAnsiTheme="minorHAnsi"/>
                <w:lang w:val="en-US"/>
              </w:rPr>
              <w:t>EG-ITRs</w:t>
            </w:r>
          </w:p>
        </w:tc>
      </w:tr>
      <w:tr w:rsidR="008660FB" w:rsidRPr="00B13680" w:rsidTr="00A6023B">
        <w:trPr>
          <w:cantSplit/>
        </w:trPr>
        <w:tc>
          <w:tcPr>
            <w:tcW w:w="10173" w:type="dxa"/>
            <w:gridSpan w:val="2"/>
          </w:tcPr>
          <w:p w:rsidR="008660FB" w:rsidRPr="00B13680" w:rsidRDefault="008118CC" w:rsidP="00C67C42">
            <w:pPr>
              <w:pStyle w:val="Title1"/>
              <w:rPr>
                <w:lang w:val="en-US"/>
              </w:rPr>
            </w:pPr>
            <w:bookmarkStart w:id="7" w:name="dtitle1" w:colFirst="0" w:colLast="0"/>
            <w:bookmarkEnd w:id="6"/>
            <w:r w:rsidRPr="00B13680">
              <w:rPr>
                <w:lang w:val="en-US"/>
              </w:rPr>
              <w:t>liaison statement</w:t>
            </w:r>
          </w:p>
        </w:tc>
      </w:tr>
      <w:tr w:rsidR="008118CC" w:rsidRPr="00B13680" w:rsidTr="00A6023B">
        <w:trPr>
          <w:cantSplit/>
        </w:trPr>
        <w:tc>
          <w:tcPr>
            <w:tcW w:w="10173" w:type="dxa"/>
            <w:gridSpan w:val="2"/>
          </w:tcPr>
          <w:p w:rsidR="008118CC" w:rsidRPr="00B13680" w:rsidRDefault="008118CC" w:rsidP="008118CC">
            <w:pPr>
              <w:pStyle w:val="Title2"/>
              <w:rPr>
                <w:lang w:val="en-US"/>
              </w:rPr>
            </w:pPr>
            <w:r w:rsidRPr="00B13680">
              <w:rPr>
                <w:rFonts w:cs="Calibri"/>
                <w:bCs/>
                <w:szCs w:val="36"/>
                <w:lang w:val="en-US"/>
              </w:rPr>
              <w:t xml:space="preserve">PARTICIPATION OF THE ADVISORY GROUPS AND STUDY GROUPS OF THE </w:t>
            </w:r>
            <w:r w:rsidRPr="00B13680">
              <w:rPr>
                <w:rFonts w:cs="Calibri"/>
                <w:bCs/>
                <w:szCs w:val="36"/>
                <w:lang w:val="en-US"/>
              </w:rPr>
              <w:br/>
              <w:t>UNION</w:t>
            </w:r>
            <w:r w:rsidR="00B13680" w:rsidRPr="00B13680">
              <w:rPr>
                <w:rFonts w:cs="Calibri"/>
                <w:bCs/>
                <w:szCs w:val="36"/>
                <w:lang w:val="en-US"/>
              </w:rPr>
              <w:t>'</w:t>
            </w:r>
            <w:r w:rsidRPr="00B13680">
              <w:rPr>
                <w:rFonts w:cs="Calibri"/>
                <w:bCs/>
                <w:szCs w:val="36"/>
                <w:lang w:val="en-US"/>
              </w:rPr>
              <w:t xml:space="preserve">S THREE SECTORS IN THE WORK OF THE EXPERT GROUP ON </w:t>
            </w:r>
            <w:r w:rsidRPr="00B13680">
              <w:rPr>
                <w:rFonts w:cs="Calibri"/>
                <w:bCs/>
                <w:szCs w:val="36"/>
                <w:lang w:val="en-US"/>
              </w:rPr>
              <w:br/>
              <w:t>THE INTERNATIONAL TELECOMMUNICATION REGULATIONS</w:t>
            </w:r>
          </w:p>
        </w:tc>
      </w:tr>
      <w:bookmarkEnd w:id="7"/>
    </w:tbl>
    <w:p w:rsidR="008660FB" w:rsidRPr="00B13680" w:rsidRDefault="008660FB" w:rsidP="00C03E21">
      <w:pPr>
        <w:rPr>
          <w:rFonts w:asciiTheme="minorHAnsi" w:hAnsiTheme="minorHAnsi"/>
          <w:lang w:val="en-US"/>
        </w:rPr>
      </w:pPr>
    </w:p>
    <w:p w:rsidR="008118CC" w:rsidRPr="00B13680" w:rsidRDefault="008118CC" w:rsidP="008118CC">
      <w:pPr>
        <w:rPr>
          <w:rFonts w:asciiTheme="minorHAnsi" w:hAnsiTheme="minorHAnsi"/>
          <w:szCs w:val="24"/>
          <w:lang w:val="en-US"/>
        </w:rPr>
      </w:pPr>
      <w:r w:rsidRPr="00B13680">
        <w:rPr>
          <w:rFonts w:asciiTheme="minorHAnsi" w:hAnsiTheme="minorHAnsi"/>
          <w:szCs w:val="24"/>
          <w:lang w:val="en-US"/>
        </w:rPr>
        <w:t xml:space="preserve">The </w:t>
      </w:r>
      <w:hyperlink r:id="rId9" w:history="1">
        <w:r w:rsidRPr="00B13680">
          <w:rPr>
            <w:rStyle w:val="Hyperlink"/>
            <w:rFonts w:asciiTheme="minorHAnsi" w:hAnsiTheme="minorHAnsi"/>
            <w:szCs w:val="24"/>
            <w:lang w:val="en-US"/>
          </w:rPr>
          <w:t>International Telecommunication Regulations (ITRs)</w:t>
        </w:r>
      </w:hyperlink>
      <w:r w:rsidRPr="00B13680">
        <w:rPr>
          <w:rFonts w:asciiTheme="minorHAnsi" w:hAnsiTheme="minorHAnsi"/>
          <w:szCs w:val="24"/>
          <w:lang w:val="en-US"/>
        </w:rPr>
        <w:t xml:space="preserve"> is one of the instruments of the Union – the Administrative Regulations, which regulate the use of telecommunications and shall be binding on all Member States (CS/29 and CS/31).</w:t>
      </w:r>
    </w:p>
    <w:p w:rsidR="008118CC" w:rsidRPr="00B13680" w:rsidRDefault="008118CC" w:rsidP="008118CC">
      <w:pPr>
        <w:rPr>
          <w:rFonts w:asciiTheme="minorHAnsi" w:hAnsiTheme="minorHAnsi"/>
          <w:szCs w:val="24"/>
          <w:lang w:val="en-US"/>
        </w:rPr>
      </w:pPr>
      <w:r w:rsidRPr="00B13680">
        <w:rPr>
          <w:rFonts w:asciiTheme="minorHAnsi" w:hAnsiTheme="minorHAnsi"/>
          <w:szCs w:val="24"/>
          <w:lang w:val="en-US"/>
        </w:rPr>
        <w:t>A world conference on international telecommunications (WCIT) may partially, or in exceptional cases, completely revise the ITRs and may deal with any question of a worldwide character within its competence and related to its agenda (CS/146).</w:t>
      </w:r>
    </w:p>
    <w:p w:rsidR="008118CC" w:rsidRPr="00B13680" w:rsidRDefault="00F500D5" w:rsidP="008118CC">
      <w:pPr>
        <w:rPr>
          <w:rFonts w:asciiTheme="minorHAnsi" w:hAnsiTheme="minorHAnsi"/>
          <w:szCs w:val="24"/>
          <w:lang w:val="en-US"/>
        </w:rPr>
      </w:pPr>
      <w:hyperlink r:id="rId10" w:history="1">
        <w:r w:rsidR="008118CC" w:rsidRPr="00B13680">
          <w:rPr>
            <w:rStyle w:val="Hyperlink"/>
            <w:rFonts w:asciiTheme="minorHAnsi" w:hAnsiTheme="minorHAnsi"/>
            <w:szCs w:val="24"/>
            <w:lang w:val="en-US"/>
          </w:rPr>
          <w:t>WCIT-12</w:t>
        </w:r>
      </w:hyperlink>
      <w:r w:rsidR="008118CC" w:rsidRPr="00B13680">
        <w:rPr>
          <w:rFonts w:asciiTheme="minorHAnsi" w:hAnsiTheme="minorHAnsi"/>
          <w:szCs w:val="24"/>
          <w:lang w:val="en-US"/>
        </w:rPr>
        <w:t xml:space="preserve"> (Dubai, United Arab Emirates) adopted Resolution 4 (Dubai, 2012), on periodic review of the ITRs, in which it recognized:</w:t>
      </w:r>
    </w:p>
    <w:p w:rsidR="008118CC" w:rsidRPr="00B13680" w:rsidRDefault="008118CC" w:rsidP="008118CC">
      <w:pPr>
        <w:pStyle w:val="enumlev1"/>
        <w:rPr>
          <w:rFonts w:asciiTheme="minorHAnsi" w:hAnsiTheme="minorHAnsi"/>
          <w:szCs w:val="24"/>
          <w:lang w:val="en-US"/>
        </w:rPr>
      </w:pPr>
      <w:r w:rsidRPr="004E149F">
        <w:rPr>
          <w:rFonts w:asciiTheme="minorHAnsi" w:hAnsiTheme="minorHAnsi"/>
          <w:szCs w:val="24"/>
          <w:lang w:val="en-US"/>
        </w:rPr>
        <w:t>a)</w:t>
      </w:r>
      <w:r w:rsidRPr="00B13680">
        <w:rPr>
          <w:rFonts w:asciiTheme="minorHAnsi" w:hAnsiTheme="minorHAnsi"/>
          <w:szCs w:val="24"/>
          <w:lang w:val="en-US"/>
        </w:rPr>
        <w:tab/>
      </w:r>
      <w:proofErr w:type="gramStart"/>
      <w:r w:rsidRPr="00B13680">
        <w:rPr>
          <w:rFonts w:asciiTheme="minorHAnsi" w:hAnsiTheme="minorHAnsi"/>
          <w:szCs w:val="24"/>
          <w:lang w:val="en-US"/>
        </w:rPr>
        <w:t>that</w:t>
      </w:r>
      <w:proofErr w:type="gramEnd"/>
      <w:r w:rsidRPr="00B13680">
        <w:rPr>
          <w:rFonts w:asciiTheme="minorHAnsi" w:hAnsiTheme="minorHAnsi"/>
          <w:szCs w:val="24"/>
          <w:lang w:val="en-US"/>
        </w:rPr>
        <w:t xml:space="preserve"> the ITRs are one of the pillars supporting ITU</w:t>
      </w:r>
      <w:r w:rsidR="00B13680" w:rsidRPr="00B13680">
        <w:rPr>
          <w:rFonts w:asciiTheme="minorHAnsi" w:hAnsiTheme="minorHAnsi"/>
          <w:szCs w:val="24"/>
          <w:lang w:val="en-US"/>
        </w:rPr>
        <w:t>'</w:t>
      </w:r>
      <w:r w:rsidRPr="00B13680">
        <w:rPr>
          <w:rFonts w:asciiTheme="minorHAnsi" w:hAnsiTheme="minorHAnsi"/>
          <w:szCs w:val="24"/>
          <w:lang w:val="en-US"/>
        </w:rPr>
        <w:t>s mission;</w:t>
      </w:r>
    </w:p>
    <w:p w:rsidR="008118CC" w:rsidRPr="00B13680" w:rsidRDefault="008118CC" w:rsidP="008118CC">
      <w:pPr>
        <w:pStyle w:val="enumlev1"/>
        <w:rPr>
          <w:rFonts w:asciiTheme="minorHAnsi" w:hAnsiTheme="minorHAnsi"/>
          <w:szCs w:val="24"/>
          <w:lang w:val="en-US"/>
        </w:rPr>
      </w:pPr>
      <w:r w:rsidRPr="004E149F">
        <w:rPr>
          <w:rFonts w:asciiTheme="minorHAnsi" w:hAnsiTheme="minorHAnsi"/>
          <w:szCs w:val="24"/>
          <w:lang w:val="en-US"/>
        </w:rPr>
        <w:t>b)</w:t>
      </w:r>
      <w:r w:rsidRPr="00B13680">
        <w:rPr>
          <w:rFonts w:asciiTheme="minorHAnsi" w:hAnsiTheme="minorHAnsi"/>
          <w:szCs w:val="24"/>
          <w:lang w:val="en-US"/>
        </w:rPr>
        <w:tab/>
      </w:r>
      <w:proofErr w:type="gramStart"/>
      <w:r w:rsidRPr="00B13680">
        <w:rPr>
          <w:rFonts w:asciiTheme="minorHAnsi" w:hAnsiTheme="minorHAnsi"/>
          <w:szCs w:val="24"/>
          <w:lang w:val="en-US"/>
        </w:rPr>
        <w:t>that</w:t>
      </w:r>
      <w:proofErr w:type="gramEnd"/>
      <w:r w:rsidRPr="00B13680">
        <w:rPr>
          <w:rFonts w:asciiTheme="minorHAnsi" w:hAnsiTheme="minorHAnsi"/>
          <w:szCs w:val="24"/>
          <w:lang w:val="en-US"/>
        </w:rPr>
        <w:t xml:space="preserve"> the ITRs consist of high-level guiding principles that should not require frequent amendment, but in the fast-moving sector of telecommunications/ICTs may need to be periodically reviewed,</w:t>
      </w:r>
    </w:p>
    <w:p w:rsidR="008118CC" w:rsidRPr="00B13680" w:rsidRDefault="008118CC" w:rsidP="008118CC">
      <w:pPr>
        <w:rPr>
          <w:rFonts w:asciiTheme="minorHAnsi" w:hAnsiTheme="minorHAnsi"/>
          <w:szCs w:val="24"/>
          <w:lang w:val="en-US"/>
        </w:rPr>
      </w:pPr>
      <w:proofErr w:type="gramStart"/>
      <w:r w:rsidRPr="00B13680">
        <w:rPr>
          <w:rFonts w:asciiTheme="minorHAnsi" w:hAnsiTheme="minorHAnsi"/>
          <w:szCs w:val="24"/>
          <w:lang w:val="en-US"/>
        </w:rPr>
        <w:t>and</w:t>
      </w:r>
      <w:proofErr w:type="gramEnd"/>
      <w:r w:rsidRPr="00B13680">
        <w:rPr>
          <w:rFonts w:asciiTheme="minorHAnsi" w:hAnsiTheme="minorHAnsi"/>
          <w:szCs w:val="24"/>
          <w:lang w:val="en-US"/>
        </w:rPr>
        <w:t xml:space="preserve"> noted that the ITRs:</w:t>
      </w:r>
    </w:p>
    <w:p w:rsidR="008118CC" w:rsidRPr="00B13680" w:rsidRDefault="008118CC" w:rsidP="008118CC">
      <w:pPr>
        <w:pStyle w:val="enumlev1"/>
        <w:rPr>
          <w:rFonts w:asciiTheme="minorHAnsi" w:hAnsiTheme="minorHAnsi"/>
          <w:szCs w:val="24"/>
          <w:lang w:val="en-US"/>
        </w:rPr>
      </w:pPr>
      <w:r w:rsidRPr="004E149F">
        <w:rPr>
          <w:rFonts w:asciiTheme="minorHAnsi" w:hAnsiTheme="minorHAnsi"/>
          <w:szCs w:val="24"/>
          <w:lang w:val="en-US"/>
        </w:rPr>
        <w:t>a)</w:t>
      </w:r>
      <w:r w:rsidRPr="00B13680">
        <w:rPr>
          <w:rFonts w:asciiTheme="minorHAnsi" w:hAnsiTheme="minorHAnsi"/>
          <w:szCs w:val="24"/>
          <w:lang w:val="en-US"/>
        </w:rPr>
        <w:tab/>
      </w:r>
      <w:proofErr w:type="gramStart"/>
      <w:r w:rsidRPr="00B13680">
        <w:rPr>
          <w:rFonts w:asciiTheme="minorHAnsi" w:hAnsiTheme="minorHAnsi"/>
          <w:szCs w:val="24"/>
          <w:lang w:val="en-US"/>
        </w:rPr>
        <w:t>establish</w:t>
      </w:r>
      <w:proofErr w:type="gramEnd"/>
      <w:r w:rsidRPr="00B13680">
        <w:rPr>
          <w:rFonts w:asciiTheme="minorHAnsi" w:hAnsiTheme="minorHAnsi"/>
          <w:szCs w:val="24"/>
          <w:lang w:val="en-US"/>
        </w:rPr>
        <w:t xml:space="preserve"> general principles on the provision and operation of international telecommunications;</w:t>
      </w:r>
    </w:p>
    <w:p w:rsidR="008118CC" w:rsidRPr="00B13680" w:rsidRDefault="008118CC" w:rsidP="008118CC">
      <w:pPr>
        <w:pStyle w:val="enumlev1"/>
        <w:rPr>
          <w:rFonts w:asciiTheme="minorHAnsi" w:hAnsiTheme="minorHAnsi"/>
          <w:szCs w:val="24"/>
          <w:lang w:val="en-US"/>
        </w:rPr>
      </w:pPr>
      <w:r w:rsidRPr="004E149F">
        <w:rPr>
          <w:rFonts w:asciiTheme="minorHAnsi" w:hAnsiTheme="minorHAnsi"/>
          <w:szCs w:val="24"/>
          <w:lang w:val="en-US"/>
        </w:rPr>
        <w:t>b)</w:t>
      </w:r>
      <w:r w:rsidRPr="00B13680">
        <w:rPr>
          <w:rFonts w:asciiTheme="minorHAnsi" w:hAnsiTheme="minorHAnsi"/>
          <w:szCs w:val="24"/>
          <w:lang w:val="en-US"/>
        </w:rPr>
        <w:tab/>
      </w:r>
      <w:proofErr w:type="gramStart"/>
      <w:r w:rsidRPr="00B13680">
        <w:rPr>
          <w:rFonts w:asciiTheme="minorHAnsi" w:hAnsiTheme="minorHAnsi"/>
          <w:szCs w:val="24"/>
          <w:lang w:val="en-US"/>
        </w:rPr>
        <w:t>facilitate</w:t>
      </w:r>
      <w:proofErr w:type="gramEnd"/>
      <w:r w:rsidRPr="00B13680">
        <w:rPr>
          <w:rFonts w:asciiTheme="minorHAnsi" w:hAnsiTheme="minorHAnsi"/>
          <w:szCs w:val="24"/>
          <w:lang w:val="en-US"/>
        </w:rPr>
        <w:t xml:space="preserve"> global interconnection and interoperability;</w:t>
      </w:r>
    </w:p>
    <w:p w:rsidR="008118CC" w:rsidRPr="00B13680" w:rsidRDefault="008118CC" w:rsidP="008118CC">
      <w:pPr>
        <w:pStyle w:val="enumlev1"/>
        <w:rPr>
          <w:rFonts w:asciiTheme="minorHAnsi" w:hAnsiTheme="minorHAnsi"/>
          <w:szCs w:val="24"/>
          <w:lang w:val="en-US"/>
        </w:rPr>
      </w:pPr>
      <w:r w:rsidRPr="004E149F">
        <w:rPr>
          <w:rFonts w:asciiTheme="minorHAnsi" w:hAnsiTheme="minorHAnsi"/>
          <w:szCs w:val="24"/>
          <w:lang w:val="en-US"/>
        </w:rPr>
        <w:t>c)</w:t>
      </w:r>
      <w:r w:rsidRPr="00B13680">
        <w:rPr>
          <w:rFonts w:asciiTheme="minorHAnsi" w:hAnsiTheme="minorHAnsi"/>
          <w:szCs w:val="24"/>
          <w:lang w:val="en-US"/>
        </w:rPr>
        <w:tab/>
      </w:r>
      <w:proofErr w:type="gramStart"/>
      <w:r w:rsidRPr="00B13680">
        <w:rPr>
          <w:rFonts w:asciiTheme="minorHAnsi" w:hAnsiTheme="minorHAnsi"/>
          <w:szCs w:val="24"/>
          <w:lang w:val="en-US"/>
        </w:rPr>
        <w:t>promote</w:t>
      </w:r>
      <w:proofErr w:type="gramEnd"/>
      <w:r w:rsidRPr="00B13680">
        <w:rPr>
          <w:rFonts w:asciiTheme="minorHAnsi" w:hAnsiTheme="minorHAnsi"/>
          <w:szCs w:val="24"/>
          <w:lang w:val="en-US"/>
        </w:rPr>
        <w:t xml:space="preserve"> efficiency, usefulness and availability of international telecommunication services.</w:t>
      </w:r>
    </w:p>
    <w:p w:rsidR="008118CC" w:rsidRPr="00B13680" w:rsidRDefault="008118CC" w:rsidP="00B13680">
      <w:pPr>
        <w:rPr>
          <w:rFonts w:asciiTheme="minorHAnsi" w:hAnsiTheme="minorHAnsi"/>
          <w:szCs w:val="24"/>
          <w:lang w:val="en-US"/>
        </w:rPr>
      </w:pPr>
      <w:r w:rsidRPr="00B13680">
        <w:rPr>
          <w:rFonts w:asciiTheme="minorHAnsi" w:hAnsiTheme="minorHAnsi"/>
          <w:szCs w:val="24"/>
          <w:lang w:val="en-US"/>
        </w:rPr>
        <w:t xml:space="preserve">The </w:t>
      </w:r>
      <w:hyperlink r:id="rId11" w:history="1">
        <w:r w:rsidRPr="00B13680">
          <w:rPr>
            <w:rStyle w:val="Hyperlink"/>
            <w:rFonts w:asciiTheme="minorHAnsi" w:hAnsiTheme="minorHAnsi"/>
            <w:szCs w:val="24"/>
            <w:lang w:val="en-US"/>
          </w:rPr>
          <w:t>Plenipotentiary Conference (Busan, 2014)</w:t>
        </w:r>
      </w:hyperlink>
      <w:r w:rsidRPr="00B13680">
        <w:rPr>
          <w:rFonts w:asciiTheme="minorHAnsi" w:hAnsiTheme="minorHAnsi"/>
          <w:szCs w:val="24"/>
          <w:lang w:val="en-US"/>
        </w:rPr>
        <w:t xml:space="preserve"> (PP-14), having reviewed the outcomes of WCIT</w:t>
      </w:r>
      <w:r w:rsidR="00B13680" w:rsidRPr="00B13680">
        <w:rPr>
          <w:rFonts w:asciiTheme="minorHAnsi" w:hAnsiTheme="minorHAnsi"/>
          <w:szCs w:val="24"/>
          <w:lang w:val="en-US"/>
        </w:rPr>
        <w:noBreakHyphen/>
      </w:r>
      <w:r w:rsidRPr="00B13680">
        <w:rPr>
          <w:rFonts w:asciiTheme="minorHAnsi" w:hAnsiTheme="minorHAnsi"/>
          <w:szCs w:val="24"/>
          <w:lang w:val="en-US"/>
        </w:rPr>
        <w:t>12, adopted Resolution 146 (Rev. Busan, 2014), on periodic review and revision of the ITRs, resolving therein that a periodic review of the ITRs shall normally be carried out every eight years and that the review process of the ITRs shall commence in 2017. To that end, PP-14 instructed the Secretary-General to convene an Expert Group on the ITRs (EG-ITRs), open to the ITU Member States and Sector Members, with terms of reference and working methods established by the ITU Council, to review the ITRs, and to submit the report of EG</w:t>
      </w:r>
      <w:r w:rsidRPr="00B13680">
        <w:rPr>
          <w:rFonts w:asciiTheme="minorHAnsi" w:hAnsiTheme="minorHAnsi"/>
          <w:szCs w:val="24"/>
          <w:lang w:val="en-US"/>
        </w:rPr>
        <w:noBreakHyphen/>
        <w:t>ITRs to the 2018 session of the Council for consideration, publication and subsequent submission to PP</w:t>
      </w:r>
      <w:r w:rsidRPr="00B13680">
        <w:rPr>
          <w:rFonts w:asciiTheme="minorHAnsi" w:hAnsiTheme="minorHAnsi"/>
          <w:szCs w:val="24"/>
          <w:lang w:val="en-US"/>
        </w:rPr>
        <w:noBreakHyphen/>
        <w:t>18.</w:t>
      </w:r>
    </w:p>
    <w:p w:rsidR="008118CC" w:rsidRPr="00B13680" w:rsidRDefault="008118CC" w:rsidP="008118CC">
      <w:pPr>
        <w:rPr>
          <w:rFonts w:asciiTheme="minorHAnsi" w:hAnsiTheme="minorHAnsi"/>
          <w:szCs w:val="24"/>
          <w:lang w:val="en-US"/>
        </w:rPr>
      </w:pPr>
      <w:r w:rsidRPr="00B13680">
        <w:rPr>
          <w:rFonts w:asciiTheme="minorHAnsi" w:hAnsiTheme="minorHAnsi"/>
          <w:szCs w:val="24"/>
          <w:lang w:val="en-US"/>
        </w:rPr>
        <w:lastRenderedPageBreak/>
        <w:t xml:space="preserve">The ITU Council at its </w:t>
      </w:r>
      <w:hyperlink r:id="rId12" w:history="1">
        <w:r w:rsidRPr="00B13680">
          <w:rPr>
            <w:rStyle w:val="Hyperlink"/>
            <w:rFonts w:asciiTheme="minorHAnsi" w:hAnsiTheme="minorHAnsi"/>
            <w:szCs w:val="24"/>
            <w:lang w:val="en-US"/>
          </w:rPr>
          <w:t>2016 session</w:t>
        </w:r>
      </w:hyperlink>
      <w:r w:rsidRPr="00B13680">
        <w:rPr>
          <w:rFonts w:asciiTheme="minorHAnsi" w:hAnsiTheme="minorHAnsi"/>
          <w:szCs w:val="24"/>
          <w:lang w:val="en-US"/>
        </w:rPr>
        <w:t xml:space="preserve"> adopted Resolution 1379, providing for:</w:t>
      </w:r>
    </w:p>
    <w:p w:rsidR="008118CC" w:rsidRPr="00B13680" w:rsidRDefault="008118CC" w:rsidP="008118CC">
      <w:pPr>
        <w:pStyle w:val="enumlev1"/>
        <w:rPr>
          <w:rFonts w:asciiTheme="minorHAnsi" w:hAnsiTheme="minorHAnsi"/>
          <w:szCs w:val="24"/>
          <w:lang w:val="en-US"/>
        </w:rPr>
      </w:pPr>
      <w:r w:rsidRPr="004E149F">
        <w:rPr>
          <w:rFonts w:asciiTheme="minorHAnsi" w:hAnsiTheme="minorHAnsi"/>
          <w:szCs w:val="24"/>
          <w:lang w:val="en-US"/>
        </w:rPr>
        <w:t>a)</w:t>
      </w:r>
      <w:r w:rsidRPr="00B13680">
        <w:rPr>
          <w:rFonts w:asciiTheme="minorHAnsi" w:hAnsiTheme="minorHAnsi"/>
          <w:szCs w:val="24"/>
          <w:lang w:val="en-US"/>
        </w:rPr>
        <w:tab/>
      </w:r>
      <w:proofErr w:type="gramStart"/>
      <w:r w:rsidRPr="00B13680">
        <w:rPr>
          <w:rFonts w:asciiTheme="minorHAnsi" w:hAnsiTheme="minorHAnsi"/>
          <w:szCs w:val="24"/>
          <w:lang w:val="en-US"/>
        </w:rPr>
        <w:t>the</w:t>
      </w:r>
      <w:proofErr w:type="gramEnd"/>
      <w:r w:rsidRPr="00B13680">
        <w:rPr>
          <w:rFonts w:asciiTheme="minorHAnsi" w:hAnsiTheme="minorHAnsi"/>
          <w:szCs w:val="24"/>
          <w:lang w:val="en-US"/>
        </w:rPr>
        <w:t xml:space="preserve"> creation of the EG-ITRs, open to all Member States and Sector Members, with the terms of reference shown in Annex 1 of that resolution;</w:t>
      </w:r>
    </w:p>
    <w:p w:rsidR="008118CC" w:rsidRPr="00B13680" w:rsidRDefault="008118CC" w:rsidP="008118CC">
      <w:pPr>
        <w:pStyle w:val="enumlev1"/>
        <w:rPr>
          <w:rFonts w:asciiTheme="minorHAnsi" w:hAnsiTheme="minorHAnsi"/>
          <w:szCs w:val="24"/>
          <w:lang w:val="en-US"/>
        </w:rPr>
      </w:pPr>
      <w:r w:rsidRPr="004E149F">
        <w:rPr>
          <w:rFonts w:asciiTheme="minorHAnsi" w:hAnsiTheme="minorHAnsi"/>
          <w:szCs w:val="24"/>
          <w:lang w:val="en-US"/>
        </w:rPr>
        <w:t>b)</w:t>
      </w:r>
      <w:r w:rsidRPr="00B13680">
        <w:rPr>
          <w:rFonts w:asciiTheme="minorHAnsi" w:hAnsiTheme="minorHAnsi"/>
          <w:szCs w:val="24"/>
          <w:lang w:val="en-US"/>
        </w:rPr>
        <w:tab/>
      </w:r>
      <w:proofErr w:type="gramStart"/>
      <w:r w:rsidRPr="00B13680">
        <w:rPr>
          <w:rFonts w:asciiTheme="minorHAnsi" w:hAnsiTheme="minorHAnsi"/>
          <w:szCs w:val="24"/>
          <w:lang w:val="en-US"/>
        </w:rPr>
        <w:t>preparation</w:t>
      </w:r>
      <w:proofErr w:type="gramEnd"/>
      <w:r w:rsidRPr="00B13680">
        <w:rPr>
          <w:rFonts w:asciiTheme="minorHAnsi" w:hAnsiTheme="minorHAnsi"/>
          <w:szCs w:val="24"/>
          <w:lang w:val="en-US"/>
        </w:rPr>
        <w:t xml:space="preserve"> by the EG-ITRs:</w:t>
      </w:r>
    </w:p>
    <w:p w:rsidR="008118CC" w:rsidRPr="00B13680" w:rsidRDefault="008118CC" w:rsidP="008118CC">
      <w:pPr>
        <w:pStyle w:val="enumlev2"/>
        <w:rPr>
          <w:rFonts w:asciiTheme="minorHAnsi" w:hAnsiTheme="minorHAnsi"/>
          <w:szCs w:val="24"/>
          <w:lang w:val="en-US"/>
        </w:rPr>
      </w:pPr>
      <w:r w:rsidRPr="00B13680">
        <w:rPr>
          <w:rFonts w:asciiTheme="minorHAnsi" w:hAnsiTheme="minorHAnsi"/>
          <w:szCs w:val="24"/>
          <w:lang w:val="en-US"/>
        </w:rPr>
        <w:t>–</w:t>
      </w:r>
      <w:r w:rsidRPr="00B13680">
        <w:rPr>
          <w:rFonts w:asciiTheme="minorHAnsi" w:hAnsiTheme="minorHAnsi"/>
          <w:szCs w:val="24"/>
          <w:lang w:val="en-US"/>
        </w:rPr>
        <w:tab/>
      </w:r>
      <w:proofErr w:type="gramStart"/>
      <w:r w:rsidRPr="00B13680">
        <w:rPr>
          <w:rFonts w:asciiTheme="minorHAnsi" w:hAnsiTheme="minorHAnsi"/>
          <w:szCs w:val="24"/>
          <w:lang w:val="en-US"/>
        </w:rPr>
        <w:t>of</w:t>
      </w:r>
      <w:proofErr w:type="gramEnd"/>
      <w:r w:rsidRPr="00B13680">
        <w:rPr>
          <w:rFonts w:asciiTheme="minorHAnsi" w:hAnsiTheme="minorHAnsi"/>
          <w:szCs w:val="24"/>
          <w:lang w:val="en-US"/>
        </w:rPr>
        <w:t xml:space="preserve"> a progress report to the 2017 session of the Council;</w:t>
      </w:r>
    </w:p>
    <w:p w:rsidR="008118CC" w:rsidRPr="00B13680" w:rsidRDefault="008118CC" w:rsidP="008118CC">
      <w:pPr>
        <w:pStyle w:val="enumlev2"/>
        <w:rPr>
          <w:rFonts w:asciiTheme="minorHAnsi" w:hAnsiTheme="minorHAnsi"/>
          <w:szCs w:val="24"/>
          <w:lang w:val="en-US"/>
        </w:rPr>
      </w:pPr>
      <w:r w:rsidRPr="00B13680">
        <w:rPr>
          <w:rFonts w:asciiTheme="minorHAnsi" w:hAnsiTheme="minorHAnsi"/>
          <w:szCs w:val="24"/>
          <w:lang w:val="en-US"/>
        </w:rPr>
        <w:t>–</w:t>
      </w:r>
      <w:r w:rsidRPr="00B13680">
        <w:rPr>
          <w:rFonts w:asciiTheme="minorHAnsi" w:hAnsiTheme="minorHAnsi"/>
          <w:szCs w:val="24"/>
          <w:lang w:val="en-US"/>
        </w:rPr>
        <w:tab/>
      </w:r>
      <w:proofErr w:type="gramStart"/>
      <w:r w:rsidRPr="00B13680">
        <w:rPr>
          <w:rFonts w:asciiTheme="minorHAnsi" w:hAnsiTheme="minorHAnsi"/>
          <w:szCs w:val="24"/>
          <w:lang w:val="en-US"/>
        </w:rPr>
        <w:t>of</w:t>
      </w:r>
      <w:proofErr w:type="gramEnd"/>
      <w:r w:rsidRPr="00B13680">
        <w:rPr>
          <w:rFonts w:asciiTheme="minorHAnsi" w:hAnsiTheme="minorHAnsi"/>
          <w:szCs w:val="24"/>
          <w:lang w:val="en-US"/>
        </w:rPr>
        <w:t xml:space="preserve"> a final report to the 2018 session of the Council for submission of the report to PP</w:t>
      </w:r>
      <w:r w:rsidRPr="00B13680">
        <w:rPr>
          <w:rFonts w:asciiTheme="minorHAnsi" w:hAnsiTheme="minorHAnsi"/>
          <w:szCs w:val="24"/>
          <w:lang w:val="en-US"/>
        </w:rPr>
        <w:noBreakHyphen/>
        <w:t>18 with the Council</w:t>
      </w:r>
      <w:r w:rsidR="00B13680" w:rsidRPr="00B13680">
        <w:rPr>
          <w:rFonts w:asciiTheme="minorHAnsi" w:hAnsiTheme="minorHAnsi"/>
          <w:szCs w:val="24"/>
          <w:lang w:val="en-US"/>
        </w:rPr>
        <w:t>'</w:t>
      </w:r>
      <w:r w:rsidRPr="00B13680">
        <w:rPr>
          <w:rFonts w:asciiTheme="minorHAnsi" w:hAnsiTheme="minorHAnsi"/>
          <w:szCs w:val="24"/>
          <w:lang w:val="en-US"/>
        </w:rPr>
        <w:t>s comments;</w:t>
      </w:r>
    </w:p>
    <w:p w:rsidR="008118CC" w:rsidRPr="00B13680" w:rsidRDefault="008118CC" w:rsidP="008118CC">
      <w:pPr>
        <w:pStyle w:val="enumlev1"/>
        <w:rPr>
          <w:rFonts w:asciiTheme="minorHAnsi" w:hAnsiTheme="minorHAnsi"/>
          <w:szCs w:val="24"/>
          <w:lang w:val="en-US"/>
        </w:rPr>
      </w:pPr>
      <w:r w:rsidRPr="004E149F">
        <w:rPr>
          <w:rFonts w:asciiTheme="minorHAnsi" w:hAnsiTheme="minorHAnsi"/>
          <w:szCs w:val="24"/>
          <w:lang w:val="en-US"/>
        </w:rPr>
        <w:t>c)</w:t>
      </w:r>
      <w:r w:rsidRPr="00B13680">
        <w:rPr>
          <w:rFonts w:asciiTheme="minorHAnsi" w:hAnsiTheme="minorHAnsi"/>
          <w:szCs w:val="24"/>
          <w:lang w:val="en-US"/>
        </w:rPr>
        <w:tab/>
      </w:r>
      <w:proofErr w:type="gramStart"/>
      <w:r w:rsidRPr="00B13680">
        <w:rPr>
          <w:rFonts w:asciiTheme="minorHAnsi" w:hAnsiTheme="minorHAnsi"/>
          <w:szCs w:val="24"/>
          <w:lang w:val="en-US"/>
        </w:rPr>
        <w:t>the</w:t>
      </w:r>
      <w:proofErr w:type="gramEnd"/>
      <w:r w:rsidRPr="00B13680">
        <w:rPr>
          <w:rFonts w:asciiTheme="minorHAnsi" w:hAnsiTheme="minorHAnsi"/>
          <w:szCs w:val="24"/>
          <w:lang w:val="en-US"/>
        </w:rPr>
        <w:t xml:space="preserve"> Directors of the </w:t>
      </w:r>
      <w:proofErr w:type="spellStart"/>
      <w:r w:rsidRPr="00B13680">
        <w:rPr>
          <w:rFonts w:asciiTheme="minorHAnsi" w:hAnsiTheme="minorHAnsi"/>
          <w:szCs w:val="24"/>
          <w:lang w:val="en-US"/>
        </w:rPr>
        <w:t>Bureaux</w:t>
      </w:r>
      <w:proofErr w:type="spellEnd"/>
      <w:r w:rsidRPr="00B13680">
        <w:rPr>
          <w:rFonts w:asciiTheme="minorHAnsi" w:hAnsiTheme="minorHAnsi"/>
          <w:szCs w:val="24"/>
          <w:lang w:val="en-US"/>
        </w:rPr>
        <w:t>:</w:t>
      </w:r>
    </w:p>
    <w:p w:rsidR="008118CC" w:rsidRPr="00B13680" w:rsidRDefault="008118CC" w:rsidP="008118CC">
      <w:pPr>
        <w:pStyle w:val="enumlev2"/>
        <w:rPr>
          <w:rFonts w:asciiTheme="minorHAnsi" w:hAnsiTheme="minorHAnsi"/>
          <w:szCs w:val="24"/>
          <w:lang w:val="en-US"/>
        </w:rPr>
      </w:pPr>
      <w:r w:rsidRPr="00B13680">
        <w:rPr>
          <w:rFonts w:asciiTheme="minorHAnsi" w:hAnsiTheme="minorHAnsi"/>
          <w:szCs w:val="24"/>
          <w:lang w:val="en-US"/>
        </w:rPr>
        <w:tab/>
        <w:t>–</w:t>
      </w:r>
      <w:r w:rsidRPr="00B13680">
        <w:rPr>
          <w:rFonts w:asciiTheme="minorHAnsi" w:hAnsiTheme="minorHAnsi"/>
          <w:szCs w:val="24"/>
          <w:lang w:val="en-US"/>
        </w:rPr>
        <w:tab/>
        <w:t>each within their field of competence, with advice from the relevant advisory group, to contribute to the work of EG-ITRs, recognizing that the ITU Telecommunication Standardization Sector (ITU-T) has most of the work relevant to the ITRs;</w:t>
      </w:r>
    </w:p>
    <w:p w:rsidR="008118CC" w:rsidRPr="00B13680" w:rsidRDefault="008118CC" w:rsidP="008118CC">
      <w:pPr>
        <w:pStyle w:val="enumlev2"/>
        <w:rPr>
          <w:rFonts w:asciiTheme="minorHAnsi" w:hAnsiTheme="minorHAnsi"/>
          <w:szCs w:val="24"/>
          <w:lang w:val="en-US"/>
        </w:rPr>
      </w:pPr>
      <w:r w:rsidRPr="00B13680">
        <w:rPr>
          <w:rFonts w:asciiTheme="minorHAnsi" w:hAnsiTheme="minorHAnsi"/>
          <w:szCs w:val="24"/>
          <w:lang w:val="en-US"/>
        </w:rPr>
        <w:tab/>
        <w:t>–</w:t>
      </w:r>
      <w:r w:rsidRPr="00B13680">
        <w:rPr>
          <w:rFonts w:asciiTheme="minorHAnsi" w:hAnsiTheme="minorHAnsi"/>
          <w:szCs w:val="24"/>
          <w:lang w:val="en-US"/>
        </w:rPr>
        <w:tab/>
      </w:r>
      <w:proofErr w:type="gramStart"/>
      <w:r w:rsidRPr="00B13680">
        <w:rPr>
          <w:rFonts w:asciiTheme="minorHAnsi" w:hAnsiTheme="minorHAnsi"/>
          <w:szCs w:val="24"/>
          <w:lang w:val="en-US"/>
        </w:rPr>
        <w:t>to</w:t>
      </w:r>
      <w:proofErr w:type="gramEnd"/>
      <w:r w:rsidRPr="00B13680">
        <w:rPr>
          <w:rFonts w:asciiTheme="minorHAnsi" w:hAnsiTheme="minorHAnsi"/>
          <w:szCs w:val="24"/>
          <w:lang w:val="en-US"/>
        </w:rPr>
        <w:t xml:space="preserve"> submit the results of their work to EG-ITRs.</w:t>
      </w:r>
    </w:p>
    <w:p w:rsidR="008118CC" w:rsidRPr="00B13680" w:rsidRDefault="008118CC" w:rsidP="00B13680">
      <w:pPr>
        <w:rPr>
          <w:rFonts w:asciiTheme="minorHAnsi" w:hAnsiTheme="minorHAnsi"/>
          <w:szCs w:val="24"/>
          <w:lang w:val="en-US"/>
        </w:rPr>
      </w:pPr>
      <w:r w:rsidRPr="00B13680">
        <w:rPr>
          <w:rFonts w:asciiTheme="minorHAnsi" w:hAnsiTheme="minorHAnsi"/>
          <w:szCs w:val="24"/>
          <w:lang w:val="en-US"/>
        </w:rPr>
        <w:t xml:space="preserve">The </w:t>
      </w:r>
      <w:hyperlink r:id="rId13" w:history="1">
        <w:r w:rsidRPr="00B13680">
          <w:rPr>
            <w:rStyle w:val="Hyperlink"/>
            <w:rFonts w:asciiTheme="minorHAnsi" w:hAnsiTheme="minorHAnsi"/>
            <w:szCs w:val="24"/>
            <w:lang w:val="en-US"/>
          </w:rPr>
          <w:t>World Telecommunication Standardization Assembly (</w:t>
        </w:r>
        <w:proofErr w:type="spellStart"/>
        <w:r w:rsidRPr="00B13680">
          <w:rPr>
            <w:rStyle w:val="Hyperlink"/>
            <w:rFonts w:asciiTheme="minorHAnsi" w:hAnsiTheme="minorHAnsi"/>
            <w:szCs w:val="24"/>
            <w:lang w:val="en-US"/>
          </w:rPr>
          <w:t>Hammamet</w:t>
        </w:r>
        <w:proofErr w:type="spellEnd"/>
        <w:r w:rsidRPr="00B13680">
          <w:rPr>
            <w:rStyle w:val="Hyperlink"/>
            <w:rFonts w:asciiTheme="minorHAnsi" w:hAnsiTheme="minorHAnsi"/>
            <w:szCs w:val="24"/>
            <w:lang w:val="en-US"/>
          </w:rPr>
          <w:t>, 2016)</w:t>
        </w:r>
      </w:hyperlink>
      <w:r w:rsidRPr="00B13680">
        <w:rPr>
          <w:rFonts w:asciiTheme="minorHAnsi" w:hAnsiTheme="minorHAnsi"/>
          <w:szCs w:val="24"/>
          <w:lang w:val="en-US"/>
        </w:rPr>
        <w:t>, considering ITU</w:t>
      </w:r>
      <w:r w:rsidR="00B13680" w:rsidRPr="00B13680">
        <w:rPr>
          <w:rFonts w:asciiTheme="minorHAnsi" w:hAnsiTheme="minorHAnsi"/>
          <w:szCs w:val="24"/>
          <w:lang w:val="en-US"/>
        </w:rPr>
        <w:noBreakHyphen/>
      </w:r>
      <w:r w:rsidRPr="00B13680">
        <w:rPr>
          <w:rFonts w:asciiTheme="minorHAnsi" w:hAnsiTheme="minorHAnsi"/>
          <w:szCs w:val="24"/>
          <w:lang w:val="en-US"/>
        </w:rPr>
        <w:t>T</w:t>
      </w:r>
      <w:r w:rsidR="00B13680" w:rsidRPr="00B13680">
        <w:rPr>
          <w:rFonts w:asciiTheme="minorHAnsi" w:hAnsiTheme="minorHAnsi"/>
          <w:szCs w:val="24"/>
          <w:lang w:val="en-US"/>
        </w:rPr>
        <w:t>'</w:t>
      </w:r>
      <w:r w:rsidRPr="00B13680">
        <w:rPr>
          <w:rFonts w:asciiTheme="minorHAnsi" w:hAnsiTheme="minorHAnsi"/>
          <w:szCs w:val="24"/>
          <w:lang w:val="en-US"/>
        </w:rPr>
        <w:t>s acknowledged leadership in the work of review and revision of the ITRs, adopted Resolution 87 (</w:t>
      </w:r>
      <w:proofErr w:type="spellStart"/>
      <w:r w:rsidRPr="00B13680">
        <w:rPr>
          <w:rFonts w:asciiTheme="minorHAnsi" w:hAnsiTheme="minorHAnsi"/>
          <w:szCs w:val="24"/>
          <w:lang w:val="en-US"/>
        </w:rPr>
        <w:t>Hammamet</w:t>
      </w:r>
      <w:proofErr w:type="spellEnd"/>
      <w:r w:rsidRPr="00B13680">
        <w:rPr>
          <w:rFonts w:asciiTheme="minorHAnsi" w:hAnsiTheme="minorHAnsi"/>
          <w:szCs w:val="24"/>
          <w:lang w:val="en-US"/>
        </w:rPr>
        <w:t>, 2016), on participation of ITU-T in the periodic review and revision of the ITRs, in which, recognizing in particular the importance of ITU-T study groups</w:t>
      </w:r>
      <w:r w:rsidR="00B13680" w:rsidRPr="00B13680">
        <w:rPr>
          <w:rFonts w:asciiTheme="minorHAnsi" w:hAnsiTheme="minorHAnsi"/>
          <w:szCs w:val="24"/>
          <w:lang w:val="en-US"/>
        </w:rPr>
        <w:t>'</w:t>
      </w:r>
      <w:r w:rsidRPr="00B13680">
        <w:rPr>
          <w:rFonts w:asciiTheme="minorHAnsi" w:hAnsiTheme="minorHAnsi"/>
          <w:szCs w:val="24"/>
          <w:lang w:val="en-US"/>
        </w:rPr>
        <w:t xml:space="preserve"> input to the ITU-T contributory process to EG-ITRs, as appropriate and where necessary, it resolved to submit the result of those activities to EG-ITRs.</w:t>
      </w:r>
    </w:p>
    <w:p w:rsidR="008118CC" w:rsidRPr="00B13680" w:rsidRDefault="008118CC" w:rsidP="00B13680">
      <w:pPr>
        <w:rPr>
          <w:rFonts w:asciiTheme="minorHAnsi" w:hAnsiTheme="minorHAnsi"/>
          <w:szCs w:val="24"/>
          <w:lang w:val="en-US"/>
        </w:rPr>
      </w:pPr>
      <w:r w:rsidRPr="00B13680">
        <w:rPr>
          <w:rFonts w:asciiTheme="minorHAnsi" w:hAnsiTheme="minorHAnsi"/>
          <w:szCs w:val="24"/>
          <w:lang w:val="en-US"/>
        </w:rPr>
        <w:t xml:space="preserve">At its first meeting, EG-ITRs agreed that, pursuant to the above, the Directors of the </w:t>
      </w:r>
      <w:proofErr w:type="spellStart"/>
      <w:r w:rsidRPr="00B13680">
        <w:rPr>
          <w:rFonts w:asciiTheme="minorHAnsi" w:hAnsiTheme="minorHAnsi"/>
          <w:szCs w:val="24"/>
          <w:lang w:val="en-US"/>
        </w:rPr>
        <w:t>Bureaux</w:t>
      </w:r>
      <w:proofErr w:type="spellEnd"/>
      <w:r w:rsidRPr="00B13680">
        <w:rPr>
          <w:rFonts w:asciiTheme="minorHAnsi" w:hAnsiTheme="minorHAnsi"/>
          <w:szCs w:val="24"/>
          <w:lang w:val="en-US"/>
        </w:rPr>
        <w:t xml:space="preserve"> should invite relevant study groups in their respective ITU Sectors to prepare contributions to EG</w:t>
      </w:r>
      <w:r w:rsidR="00B13680" w:rsidRPr="00B13680">
        <w:rPr>
          <w:rFonts w:asciiTheme="minorHAnsi" w:hAnsiTheme="minorHAnsi"/>
          <w:szCs w:val="24"/>
          <w:lang w:val="en-US"/>
        </w:rPr>
        <w:noBreakHyphen/>
      </w:r>
      <w:r w:rsidRPr="00B13680">
        <w:rPr>
          <w:rFonts w:asciiTheme="minorHAnsi" w:hAnsiTheme="minorHAnsi"/>
          <w:szCs w:val="24"/>
          <w:lang w:val="en-US"/>
        </w:rPr>
        <w:t>ITRs.</w:t>
      </w:r>
    </w:p>
    <w:p w:rsidR="008118CC" w:rsidRPr="00B13680" w:rsidRDefault="008118CC" w:rsidP="008118CC">
      <w:pPr>
        <w:rPr>
          <w:rFonts w:asciiTheme="minorHAnsi" w:hAnsiTheme="minorHAnsi"/>
          <w:szCs w:val="24"/>
          <w:lang w:val="en-US"/>
        </w:rPr>
      </w:pPr>
      <w:r w:rsidRPr="00B13680">
        <w:rPr>
          <w:rFonts w:asciiTheme="minorHAnsi" w:hAnsiTheme="minorHAnsi"/>
          <w:szCs w:val="24"/>
          <w:lang w:val="en-US"/>
        </w:rPr>
        <w:t>Consequently, the relevant study groups are hereby invited to prepare such contributions.</w:t>
      </w:r>
    </w:p>
    <w:p w:rsidR="008118CC" w:rsidRPr="00B13680" w:rsidRDefault="008118CC" w:rsidP="008118CC">
      <w:pPr>
        <w:rPr>
          <w:rFonts w:asciiTheme="minorHAnsi" w:hAnsiTheme="minorHAnsi"/>
          <w:szCs w:val="24"/>
          <w:lang w:val="en-US"/>
        </w:rPr>
      </w:pPr>
      <w:r w:rsidRPr="00B13680">
        <w:rPr>
          <w:rFonts w:asciiTheme="minorHAnsi" w:hAnsiTheme="minorHAnsi"/>
          <w:szCs w:val="24"/>
          <w:lang w:val="en-US"/>
        </w:rPr>
        <w:t xml:space="preserve">The EG-ITRs website is at: </w:t>
      </w:r>
      <w:hyperlink r:id="rId14" w:history="1">
        <w:r w:rsidRPr="00B13680">
          <w:rPr>
            <w:rStyle w:val="Hyperlink"/>
            <w:rFonts w:asciiTheme="minorHAnsi" w:hAnsiTheme="minorHAnsi"/>
            <w:szCs w:val="24"/>
            <w:lang w:val="en-US"/>
          </w:rPr>
          <w:t>http://www.itu.int/en/council/eg-itrs/Pages/default.aspx</w:t>
        </w:r>
      </w:hyperlink>
      <w:r w:rsidRPr="00B13680">
        <w:rPr>
          <w:rFonts w:asciiTheme="minorHAnsi" w:hAnsiTheme="minorHAnsi"/>
          <w:szCs w:val="24"/>
          <w:lang w:val="en-US"/>
        </w:rPr>
        <w:t>. It contains all relevant information, as well as links to the websites of the previous groups having considered this topic.</w:t>
      </w:r>
    </w:p>
    <w:p w:rsidR="008118CC" w:rsidRPr="00B13680" w:rsidRDefault="008118CC" w:rsidP="008118CC">
      <w:pPr>
        <w:rPr>
          <w:rFonts w:asciiTheme="minorHAnsi" w:hAnsiTheme="minorHAnsi"/>
          <w:szCs w:val="24"/>
          <w:lang w:val="en-US"/>
        </w:rPr>
      </w:pPr>
      <w:r w:rsidRPr="00B13680">
        <w:rPr>
          <w:rFonts w:asciiTheme="minorHAnsi" w:hAnsiTheme="minorHAnsi"/>
          <w:szCs w:val="24"/>
          <w:lang w:val="en-US"/>
        </w:rPr>
        <w:t>Contributions, questions and other materials which could be considered by EG-ITRs in its work of reviewing and revising the 2012 ITRs should be submitted to the corresponding advisory groups for onward transmission to EG-ITRs.</w:t>
      </w:r>
    </w:p>
    <w:p w:rsidR="008660FB" w:rsidRPr="00B13680" w:rsidRDefault="008660FB" w:rsidP="0032202E">
      <w:pPr>
        <w:pStyle w:val="Reasons"/>
        <w:rPr>
          <w:lang w:val="en-US"/>
        </w:rPr>
      </w:pPr>
    </w:p>
    <w:p w:rsidR="008660FB" w:rsidRPr="00B13680" w:rsidRDefault="008660FB">
      <w:pPr>
        <w:jc w:val="center"/>
        <w:rPr>
          <w:lang w:val="en-US"/>
        </w:rPr>
      </w:pPr>
      <w:r w:rsidRPr="00B13680">
        <w:rPr>
          <w:lang w:val="en-US"/>
        </w:rPr>
        <w:t>______________</w:t>
      </w:r>
    </w:p>
    <w:sectPr w:rsidR="008660FB" w:rsidRPr="00B13680" w:rsidSect="004D1851">
      <w:headerReference w:type="default" r:id="rId15"/>
      <w:footerReference w:type="default" r:id="rId16"/>
      <w:footerReference w:type="first" r:id="rId1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0FB" w:rsidRDefault="008660FB">
      <w:r>
        <w:separator/>
      </w:r>
    </w:p>
  </w:endnote>
  <w:endnote w:type="continuationSeparator" w:id="0">
    <w:p w:rsidR="008660FB" w:rsidRDefault="0086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23B" w:rsidRDefault="004E149F" w:rsidP="008118CC">
    <w:pPr>
      <w:pStyle w:val="Footer"/>
    </w:pPr>
    <w:fldSimple w:instr=" FILENAME \p  \* MERGEFORMAT ">
      <w:r>
        <w:t>P:\ENG\SG\CONSEIL\EG-ITR-1\000\008E.docx</w:t>
      </w:r>
    </w:fldSimple>
    <w:r w:rsidR="00A6023B">
      <w:t xml:space="preserve"> (411</w:t>
    </w:r>
    <w:r w:rsidR="00C67C42">
      <w:t>80</w:t>
    </w:r>
    <w:r w:rsidR="008118CC">
      <w:t>5</w:t>
    </w:r>
    <w:r w:rsidR="00A6023B">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D0D" w:rsidRDefault="004E149F" w:rsidP="008118CC">
    <w:pPr>
      <w:pStyle w:val="Footer"/>
    </w:pPr>
    <w:fldSimple w:instr=" FILENAME \p  \* MERGEFORMAT ">
      <w:r>
        <w:t>P:\ENG\SG\CONSEIL\EG-ITR-1\000\008E.docx</w:t>
      </w:r>
    </w:fldSimple>
    <w:r w:rsidR="00A6023B">
      <w:t xml:space="preserve"> (411</w:t>
    </w:r>
    <w:r w:rsidR="00C67C42">
      <w:t>80</w:t>
    </w:r>
    <w:r w:rsidR="008118CC">
      <w:t>5</w:t>
    </w:r>
    <w:r w:rsidR="00A6023B">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0FB" w:rsidRDefault="008660FB">
      <w:r>
        <w:t>____________________</w:t>
      </w:r>
    </w:p>
  </w:footnote>
  <w:footnote w:type="continuationSeparator" w:id="0">
    <w:p w:rsidR="008660FB" w:rsidRDefault="00866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D0D" w:rsidRDefault="006535F1" w:rsidP="00CE433C">
    <w:pPr>
      <w:pStyle w:val="Header"/>
    </w:pPr>
    <w:r>
      <w:fldChar w:fldCharType="begin"/>
    </w:r>
    <w:r>
      <w:instrText>PAGE</w:instrText>
    </w:r>
    <w:r>
      <w:fldChar w:fldCharType="separate"/>
    </w:r>
    <w:r w:rsidR="00F500D5">
      <w:rPr>
        <w:noProof/>
      </w:rPr>
      <w:t>2</w:t>
    </w:r>
    <w:r>
      <w:rPr>
        <w:noProof/>
      </w:rPr>
      <w:fldChar w:fldCharType="end"/>
    </w:r>
  </w:p>
  <w:p w:rsidR="00322D0D" w:rsidRDefault="00C67C42" w:rsidP="008118CC">
    <w:pPr>
      <w:pStyle w:val="Header"/>
    </w:pPr>
    <w:r>
      <w:t>ET-ITRs 1</w:t>
    </w:r>
    <w:r w:rsidR="008660FB">
      <w:t>/</w:t>
    </w:r>
    <w:r w:rsidR="008118CC">
      <w:t>8</w:t>
    </w:r>
    <w:r w:rsidR="008660FB">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226363"/>
    <w:multiLevelType w:val="hybridMultilevel"/>
    <w:tmpl w:val="1110ECB0"/>
    <w:lvl w:ilvl="0" w:tplc="79B0EC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35C5373"/>
    <w:multiLevelType w:val="hybridMultilevel"/>
    <w:tmpl w:val="258CC558"/>
    <w:lvl w:ilvl="0" w:tplc="64DA5A8A">
      <w:start w:val="1"/>
      <w:numFmt w:val="lowerLetter"/>
      <w:lvlText w:val="%1."/>
      <w:lvlJc w:val="left"/>
      <w:pPr>
        <w:ind w:left="1429" w:hanging="360"/>
      </w:pPr>
      <w:rPr>
        <w:rFonts w:ascii="Calibri" w:eastAsia="Times New Roman" w:hAnsi="Calibri" w:cs="Times New Roman"/>
        <w:i/>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795F1116"/>
    <w:multiLevelType w:val="hybridMultilevel"/>
    <w:tmpl w:val="1D86DCB2"/>
    <w:lvl w:ilvl="0" w:tplc="A3AEF54C">
      <w:start w:val="4"/>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0FB"/>
    <w:rsid w:val="00063016"/>
    <w:rsid w:val="00076AF6"/>
    <w:rsid w:val="00085CF2"/>
    <w:rsid w:val="000B1705"/>
    <w:rsid w:val="00102F4F"/>
    <w:rsid w:val="001121F5"/>
    <w:rsid w:val="00140CE1"/>
    <w:rsid w:val="0017539C"/>
    <w:rsid w:val="00175AC2"/>
    <w:rsid w:val="0017609F"/>
    <w:rsid w:val="001C628E"/>
    <w:rsid w:val="001E0164"/>
    <w:rsid w:val="001E0F7B"/>
    <w:rsid w:val="002119FD"/>
    <w:rsid w:val="002130E0"/>
    <w:rsid w:val="00265875"/>
    <w:rsid w:val="0027303B"/>
    <w:rsid w:val="0028109B"/>
    <w:rsid w:val="002B1F58"/>
    <w:rsid w:val="002C1C7A"/>
    <w:rsid w:val="00322D0D"/>
    <w:rsid w:val="003722C9"/>
    <w:rsid w:val="003942D4"/>
    <w:rsid w:val="003958A8"/>
    <w:rsid w:val="003D3579"/>
    <w:rsid w:val="004040B0"/>
    <w:rsid w:val="0040435A"/>
    <w:rsid w:val="00415BB4"/>
    <w:rsid w:val="00431D9E"/>
    <w:rsid w:val="00433CE8"/>
    <w:rsid w:val="00434A5C"/>
    <w:rsid w:val="004544D9"/>
    <w:rsid w:val="0046038C"/>
    <w:rsid w:val="00486A59"/>
    <w:rsid w:val="00490E72"/>
    <w:rsid w:val="004921C8"/>
    <w:rsid w:val="004D1851"/>
    <w:rsid w:val="004D599D"/>
    <w:rsid w:val="004E149F"/>
    <w:rsid w:val="004E2EA5"/>
    <w:rsid w:val="004E3AEB"/>
    <w:rsid w:val="0050223C"/>
    <w:rsid w:val="005145B3"/>
    <w:rsid w:val="005243FF"/>
    <w:rsid w:val="00564FBC"/>
    <w:rsid w:val="00582442"/>
    <w:rsid w:val="006535F1"/>
    <w:rsid w:val="0065557D"/>
    <w:rsid w:val="00662984"/>
    <w:rsid w:val="006B00B0"/>
    <w:rsid w:val="006B6DCC"/>
    <w:rsid w:val="006C2B43"/>
    <w:rsid w:val="0075051B"/>
    <w:rsid w:val="00794D34"/>
    <w:rsid w:val="008118CC"/>
    <w:rsid w:val="00813E5E"/>
    <w:rsid w:val="0083581B"/>
    <w:rsid w:val="00864AFF"/>
    <w:rsid w:val="008660FB"/>
    <w:rsid w:val="008B4A6A"/>
    <w:rsid w:val="008C7E27"/>
    <w:rsid w:val="008F1CC9"/>
    <w:rsid w:val="009173EF"/>
    <w:rsid w:val="00932906"/>
    <w:rsid w:val="00961B0B"/>
    <w:rsid w:val="009B7E25"/>
    <w:rsid w:val="009E17BD"/>
    <w:rsid w:val="00A04CEC"/>
    <w:rsid w:val="00A27F92"/>
    <w:rsid w:val="00A55622"/>
    <w:rsid w:val="00A6023B"/>
    <w:rsid w:val="00A83502"/>
    <w:rsid w:val="00AF6E49"/>
    <w:rsid w:val="00B02E42"/>
    <w:rsid w:val="00B04A67"/>
    <w:rsid w:val="00B0583C"/>
    <w:rsid w:val="00B13680"/>
    <w:rsid w:val="00B40A81"/>
    <w:rsid w:val="00B44910"/>
    <w:rsid w:val="00B72267"/>
    <w:rsid w:val="00B76EB6"/>
    <w:rsid w:val="00B824C8"/>
    <w:rsid w:val="00BC251A"/>
    <w:rsid w:val="00BD032B"/>
    <w:rsid w:val="00BE2640"/>
    <w:rsid w:val="00BF1FA7"/>
    <w:rsid w:val="00C01189"/>
    <w:rsid w:val="00C374DE"/>
    <w:rsid w:val="00C47AD4"/>
    <w:rsid w:val="00C52D81"/>
    <w:rsid w:val="00C55198"/>
    <w:rsid w:val="00C67C42"/>
    <w:rsid w:val="00C74ADF"/>
    <w:rsid w:val="00C75D7B"/>
    <w:rsid w:val="00CA0634"/>
    <w:rsid w:val="00CA6393"/>
    <w:rsid w:val="00CB18FF"/>
    <w:rsid w:val="00CD0C08"/>
    <w:rsid w:val="00CE433C"/>
    <w:rsid w:val="00CF33F3"/>
    <w:rsid w:val="00D06183"/>
    <w:rsid w:val="00D1628E"/>
    <w:rsid w:val="00D22C42"/>
    <w:rsid w:val="00D50FC1"/>
    <w:rsid w:val="00D65041"/>
    <w:rsid w:val="00E10E80"/>
    <w:rsid w:val="00E124F0"/>
    <w:rsid w:val="00EB0D6F"/>
    <w:rsid w:val="00EB2232"/>
    <w:rsid w:val="00EC5337"/>
    <w:rsid w:val="00F012D2"/>
    <w:rsid w:val="00F2150A"/>
    <w:rsid w:val="00F231D8"/>
    <w:rsid w:val="00F46C5F"/>
    <w:rsid w:val="00F500D5"/>
    <w:rsid w:val="00F630C7"/>
    <w:rsid w:val="00F94A63"/>
    <w:rsid w:val="00FB0981"/>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A0EF61B-4AB4-40F3-B8D5-6A2501F1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docnoted">
    <w:name w:val="docnoted"/>
    <w:basedOn w:val="Normal"/>
    <w:next w:val="Head"/>
    <w:rsid w:val="004D1851"/>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uiPriority w:val="99"/>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character" w:styleId="EndnoteReference">
    <w:name w:val="endnote reference"/>
    <w:basedOn w:val="DefaultParagraphFont"/>
    <w:rsid w:val="004D1851"/>
    <w:rPr>
      <w:vertAlign w:val="superscript"/>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firstfooter0">
    <w:name w:val="firstfooter"/>
    <w:basedOn w:val="Normal"/>
    <w:rsid w:val="00813E5E"/>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6535F1"/>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NormalWeb">
    <w:name w:val="Normal (Web)"/>
    <w:basedOn w:val="Normal"/>
    <w:uiPriority w:val="99"/>
    <w:unhideWhenUsed/>
    <w:rsid w:val="00C67C4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w:hAnsi="Times"/>
      <w:sz w:val="20"/>
      <w:lang w:val="ru-RU" w:eastAsia="ru-RU"/>
    </w:rPr>
  </w:style>
  <w:style w:type="paragraph" w:styleId="ListParagraph">
    <w:name w:val="List Paragraph"/>
    <w:basedOn w:val="Normal"/>
    <w:uiPriority w:val="34"/>
    <w:qFormat/>
    <w:rsid w:val="00C67C42"/>
    <w:pPr>
      <w:tabs>
        <w:tab w:val="clear" w:pos="567"/>
        <w:tab w:val="clear" w:pos="1134"/>
        <w:tab w:val="clear" w:pos="1701"/>
        <w:tab w:val="clear" w:pos="2268"/>
        <w:tab w:val="clear" w:pos="2835"/>
        <w:tab w:val="left" w:pos="794"/>
        <w:tab w:val="left" w:pos="1191"/>
        <w:tab w:val="left" w:pos="1588"/>
        <w:tab w:val="left" w:pos="1985"/>
      </w:tabs>
      <w:ind w:left="720"/>
      <w:contextualSpacing/>
    </w:pPr>
    <w:rPr>
      <w:rFonts w:ascii="Times New Roman" w:hAnsi="Times New Roman"/>
    </w:rPr>
  </w:style>
  <w:style w:type="paragraph" w:customStyle="1" w:styleId="Normal1">
    <w:name w:val="Normal1"/>
    <w:rsid w:val="008118CC"/>
    <w:pPr>
      <w:tabs>
        <w:tab w:val="left" w:pos="567"/>
        <w:tab w:val="left" w:pos="1134"/>
        <w:tab w:val="left" w:pos="1701"/>
        <w:tab w:val="left" w:pos="2268"/>
        <w:tab w:val="left" w:pos="2835"/>
      </w:tabs>
      <w:spacing w:before="120"/>
    </w:pPr>
    <w:rPr>
      <w:rFonts w:ascii="Calibri" w:eastAsia="Calibri" w:hAnsi="Calibri" w:cs="Calibri"/>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en/ITU-T/wtsa16/Pages/default.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en/council/2016/Pages/default.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plenipotentiary/2014/Pages/default.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tu.int/en/wcit-12/Pages/default.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tu.int/pub/S-CONF-WCIT-2012/en" TargetMode="External"/><Relationship Id="rId14" Type="http://schemas.openxmlformats.org/officeDocument/2006/relationships/hyperlink" Target="http://www.itu.int/en/council/eg-itrs/Pages/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rnbulk\AppData\Roaming\Microsoft\Templates\POOL%20E%20-%20ITU\PE_CWG%20STB%20CS%2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F77E2-F83D-4EDD-8CF0-98E6B3024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PE_CWG STB CS 5.dotm</Template>
  <TotalTime>2</TotalTime>
  <Pages>2</Pages>
  <Words>632</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4656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Council 2011</dc:subject>
  <dc:creator>baba</dc:creator>
  <cp:keywords/>
  <dc:description/>
  <cp:lastModifiedBy>Janin</cp:lastModifiedBy>
  <cp:revision>3</cp:revision>
  <cp:lastPrinted>2017-01-27T15:07:00Z</cp:lastPrinted>
  <dcterms:created xsi:type="dcterms:W3CDTF">2017-01-30T14:35:00Z</dcterms:created>
  <dcterms:modified xsi:type="dcterms:W3CDTF">2017-01-30T14:37:00Z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