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F83EE7" w:rsidRPr="00C67C21" w:rsidTr="00587A3A">
        <w:trPr>
          <w:cantSplit/>
        </w:trPr>
        <w:tc>
          <w:tcPr>
            <w:tcW w:w="6912" w:type="dxa"/>
            <w:vAlign w:val="center"/>
          </w:tcPr>
          <w:p w:rsidR="00F83EE7" w:rsidRPr="00C67C21" w:rsidRDefault="00F83EE7" w:rsidP="00587A3A">
            <w:pPr>
              <w:spacing w:before="0"/>
              <w:rPr>
                <w:szCs w:val="24"/>
              </w:rPr>
            </w:pPr>
            <w:bookmarkStart w:id="0" w:name="dbluepink" w:colFirst="0" w:colLast="0"/>
            <w:r w:rsidRPr="00C67C21">
              <w:rPr>
                <w:b/>
                <w:bCs/>
                <w:sz w:val="30"/>
                <w:szCs w:val="30"/>
              </w:rPr>
              <w:t xml:space="preserve">Grupo de Expertos sobre el Reglamento de las </w:t>
            </w:r>
            <w:r w:rsidRPr="00C67C21">
              <w:rPr>
                <w:b/>
                <w:bCs/>
                <w:sz w:val="30"/>
                <w:szCs w:val="30"/>
              </w:rPr>
              <w:br/>
              <w:t>Telecomunicaciones Internacionales (GE-RTI)</w:t>
            </w:r>
          </w:p>
        </w:tc>
        <w:tc>
          <w:tcPr>
            <w:tcW w:w="3261" w:type="dxa"/>
          </w:tcPr>
          <w:p w:rsidR="00F83EE7" w:rsidRPr="00C67C21" w:rsidRDefault="00F83EE7" w:rsidP="00F83EE7">
            <w:pPr>
              <w:spacing w:before="0"/>
              <w:jc w:val="right"/>
              <w:rPr>
                <w:szCs w:val="24"/>
              </w:rPr>
            </w:pPr>
            <w:bookmarkStart w:id="1" w:name="ditulogo"/>
            <w:bookmarkEnd w:id="1"/>
            <w:r w:rsidRPr="00C67C21">
              <w:rPr>
                <w:rFonts w:cstheme="minorHAnsi"/>
                <w:b/>
                <w:bCs/>
                <w:noProof/>
                <w:szCs w:val="24"/>
                <w:lang w:val="en-GB" w:eastAsia="zh-CN"/>
              </w:rPr>
              <w:drawing>
                <wp:inline distT="0" distB="0" distL="0" distR="0" wp14:anchorId="20716D67" wp14:editId="3A7EBAD8">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F83EE7" w:rsidRPr="00C67C21">
        <w:trPr>
          <w:cantSplit/>
          <w:trHeight w:val="20"/>
        </w:trPr>
        <w:tc>
          <w:tcPr>
            <w:tcW w:w="10173" w:type="dxa"/>
            <w:gridSpan w:val="2"/>
            <w:tcBorders>
              <w:bottom w:val="single" w:sz="12" w:space="0" w:color="auto"/>
            </w:tcBorders>
          </w:tcPr>
          <w:p w:rsidR="00F83EE7" w:rsidRPr="00C67C21" w:rsidRDefault="00F83EE7">
            <w:pPr>
              <w:spacing w:before="0"/>
              <w:rPr>
                <w:b/>
                <w:bCs/>
                <w:szCs w:val="24"/>
              </w:rPr>
            </w:pPr>
            <w:r w:rsidRPr="00C67C21">
              <w:rPr>
                <w:b/>
                <w:bCs/>
                <w:szCs w:val="24"/>
              </w:rPr>
              <w:t>Primera reunión – Ginebra, 9-10 de febrero de 2017</w:t>
            </w:r>
          </w:p>
        </w:tc>
      </w:tr>
      <w:tr w:rsidR="00F83EE7" w:rsidRPr="00C67C21">
        <w:trPr>
          <w:cantSplit/>
          <w:trHeight w:val="20"/>
        </w:trPr>
        <w:tc>
          <w:tcPr>
            <w:tcW w:w="6912" w:type="dxa"/>
            <w:tcBorders>
              <w:top w:val="single" w:sz="12" w:space="0" w:color="auto"/>
            </w:tcBorders>
          </w:tcPr>
          <w:p w:rsidR="00F83EE7" w:rsidRPr="00C67C21" w:rsidRDefault="00F83EE7">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F83EE7" w:rsidRPr="00C67C21" w:rsidRDefault="00F83EE7">
            <w:pPr>
              <w:spacing w:before="0"/>
              <w:rPr>
                <w:b/>
                <w:bCs/>
                <w:szCs w:val="24"/>
              </w:rPr>
            </w:pPr>
          </w:p>
        </w:tc>
      </w:tr>
      <w:tr w:rsidR="00F83EE7" w:rsidRPr="00C67C21">
        <w:trPr>
          <w:cantSplit/>
          <w:trHeight w:val="20"/>
        </w:trPr>
        <w:tc>
          <w:tcPr>
            <w:tcW w:w="6912" w:type="dxa"/>
            <w:shd w:val="clear" w:color="auto" w:fill="auto"/>
          </w:tcPr>
          <w:p w:rsidR="00F83EE7" w:rsidRPr="00C67C21" w:rsidRDefault="00F83EE7">
            <w:pPr>
              <w:tabs>
                <w:tab w:val="clear" w:pos="2268"/>
                <w:tab w:val="left" w:pos="1560"/>
                <w:tab w:val="left" w:pos="2269"/>
                <w:tab w:val="left" w:pos="3544"/>
                <w:tab w:val="left" w:pos="3969"/>
              </w:tabs>
              <w:spacing w:before="0" w:line="240" w:lineRule="atLeast"/>
              <w:rPr>
                <w:rFonts w:cs="Times"/>
                <w:b/>
                <w:szCs w:val="24"/>
              </w:rPr>
            </w:pPr>
            <w:bookmarkStart w:id="2" w:name="dnum" w:colFirst="1" w:colLast="1"/>
            <w:bookmarkStart w:id="3" w:name="dmeeting" w:colFirst="0" w:colLast="0"/>
          </w:p>
        </w:tc>
        <w:tc>
          <w:tcPr>
            <w:tcW w:w="3261" w:type="dxa"/>
          </w:tcPr>
          <w:p w:rsidR="00F83EE7" w:rsidRPr="00C67C21" w:rsidRDefault="00F83EE7" w:rsidP="00F83EE7">
            <w:pPr>
              <w:spacing w:before="0"/>
              <w:rPr>
                <w:b/>
                <w:bCs/>
                <w:szCs w:val="24"/>
              </w:rPr>
            </w:pPr>
            <w:r w:rsidRPr="00C67C21">
              <w:rPr>
                <w:b/>
                <w:bCs/>
                <w:szCs w:val="24"/>
              </w:rPr>
              <w:t>Documento EG-ITRs 1</w:t>
            </w:r>
            <w:r w:rsidR="005817A9" w:rsidRPr="00C67C21">
              <w:rPr>
                <w:b/>
                <w:bCs/>
                <w:szCs w:val="24"/>
              </w:rPr>
              <w:t>/6</w:t>
            </w:r>
            <w:r w:rsidRPr="00C67C21">
              <w:rPr>
                <w:b/>
                <w:bCs/>
                <w:szCs w:val="24"/>
              </w:rPr>
              <w:t>-S</w:t>
            </w:r>
          </w:p>
        </w:tc>
      </w:tr>
      <w:tr w:rsidR="00F83EE7" w:rsidRPr="00C67C21">
        <w:trPr>
          <w:cantSplit/>
          <w:trHeight w:val="20"/>
        </w:trPr>
        <w:tc>
          <w:tcPr>
            <w:tcW w:w="6912" w:type="dxa"/>
            <w:shd w:val="clear" w:color="auto" w:fill="auto"/>
          </w:tcPr>
          <w:p w:rsidR="00F83EE7" w:rsidRPr="00C67C21" w:rsidRDefault="00F83EE7">
            <w:pPr>
              <w:shd w:val="solid" w:color="FFFFFF" w:fill="FFFFFF"/>
              <w:spacing w:before="0"/>
              <w:rPr>
                <w:smallCaps/>
                <w:szCs w:val="24"/>
              </w:rPr>
            </w:pPr>
            <w:bookmarkStart w:id="4" w:name="ddate" w:colFirst="1" w:colLast="1"/>
            <w:bookmarkEnd w:id="2"/>
            <w:bookmarkEnd w:id="3"/>
          </w:p>
        </w:tc>
        <w:tc>
          <w:tcPr>
            <w:tcW w:w="3261" w:type="dxa"/>
          </w:tcPr>
          <w:p w:rsidR="00F83EE7" w:rsidRPr="00C67C21" w:rsidRDefault="005817A9" w:rsidP="00F83EE7">
            <w:pPr>
              <w:spacing w:before="0"/>
              <w:rPr>
                <w:b/>
                <w:bCs/>
                <w:szCs w:val="24"/>
              </w:rPr>
            </w:pPr>
            <w:r w:rsidRPr="00C67C21">
              <w:rPr>
                <w:b/>
                <w:bCs/>
                <w:szCs w:val="24"/>
              </w:rPr>
              <w:t>10</w:t>
            </w:r>
            <w:r w:rsidR="00F83EE7" w:rsidRPr="00C67C21">
              <w:rPr>
                <w:b/>
                <w:bCs/>
                <w:szCs w:val="24"/>
              </w:rPr>
              <w:t xml:space="preserve"> de enero de 2017</w:t>
            </w:r>
          </w:p>
        </w:tc>
      </w:tr>
      <w:tr w:rsidR="00F83EE7" w:rsidRPr="00C67C21">
        <w:trPr>
          <w:cantSplit/>
          <w:trHeight w:val="20"/>
        </w:trPr>
        <w:tc>
          <w:tcPr>
            <w:tcW w:w="6912" w:type="dxa"/>
            <w:shd w:val="clear" w:color="auto" w:fill="auto"/>
          </w:tcPr>
          <w:p w:rsidR="00F83EE7" w:rsidRPr="00C67C21" w:rsidRDefault="00F83EE7">
            <w:pPr>
              <w:shd w:val="solid" w:color="FFFFFF" w:fill="FFFFFF"/>
              <w:spacing w:before="0"/>
              <w:rPr>
                <w:smallCaps/>
                <w:szCs w:val="24"/>
              </w:rPr>
            </w:pPr>
            <w:bookmarkStart w:id="5" w:name="dorlang" w:colFirst="1" w:colLast="1"/>
            <w:bookmarkEnd w:id="4"/>
          </w:p>
        </w:tc>
        <w:tc>
          <w:tcPr>
            <w:tcW w:w="3261" w:type="dxa"/>
          </w:tcPr>
          <w:p w:rsidR="00F83EE7" w:rsidRPr="00C67C21" w:rsidRDefault="00F83EE7" w:rsidP="005817A9">
            <w:pPr>
              <w:spacing w:before="0"/>
              <w:rPr>
                <w:b/>
                <w:bCs/>
                <w:szCs w:val="24"/>
              </w:rPr>
            </w:pPr>
            <w:r w:rsidRPr="00C67C21">
              <w:rPr>
                <w:b/>
                <w:bCs/>
                <w:szCs w:val="24"/>
              </w:rPr>
              <w:t xml:space="preserve">Original: </w:t>
            </w:r>
            <w:r w:rsidR="005817A9" w:rsidRPr="00C67C21">
              <w:rPr>
                <w:b/>
                <w:bCs/>
                <w:szCs w:val="24"/>
              </w:rPr>
              <w:t>ruso</w:t>
            </w:r>
          </w:p>
        </w:tc>
      </w:tr>
      <w:tr w:rsidR="00F83EE7" w:rsidRPr="00C67C21">
        <w:trPr>
          <w:cantSplit/>
        </w:trPr>
        <w:tc>
          <w:tcPr>
            <w:tcW w:w="10173" w:type="dxa"/>
            <w:gridSpan w:val="2"/>
          </w:tcPr>
          <w:p w:rsidR="00F83EE7" w:rsidRPr="00F8482F" w:rsidRDefault="005817A9" w:rsidP="00F8482F">
            <w:pPr>
              <w:pStyle w:val="Source"/>
            </w:pPr>
            <w:bookmarkStart w:id="6" w:name="dsource" w:colFirst="0" w:colLast="0"/>
            <w:bookmarkEnd w:id="0"/>
            <w:bookmarkEnd w:id="5"/>
            <w:r w:rsidRPr="00F8482F">
              <w:t>Comunidad Regional de Comunicaciones (CRC)</w:t>
            </w:r>
          </w:p>
        </w:tc>
      </w:tr>
      <w:tr w:rsidR="00F83EE7" w:rsidRPr="00C67C21">
        <w:trPr>
          <w:cantSplit/>
        </w:trPr>
        <w:tc>
          <w:tcPr>
            <w:tcW w:w="10173" w:type="dxa"/>
            <w:gridSpan w:val="2"/>
          </w:tcPr>
          <w:p w:rsidR="00F83EE7" w:rsidRPr="00F8482F" w:rsidRDefault="005817A9" w:rsidP="00F8482F">
            <w:pPr>
              <w:pStyle w:val="Title1"/>
            </w:pPr>
            <w:bookmarkStart w:id="7" w:name="dtitle1" w:colFirst="0" w:colLast="0"/>
            <w:bookmarkEnd w:id="6"/>
            <w:r w:rsidRPr="00F8482F">
              <w:t>PROPUESTAS PARA LA PREPARACIÓN DEL INFORME FINAL DEL GRUPO DE</w:t>
            </w:r>
            <w:r w:rsidRPr="00F8482F">
              <w:br/>
              <w:t>EXPERTOS SOBRE EL REGLAMENTO DE LAS TELECOMUNICACIONES</w:t>
            </w:r>
            <w:r w:rsidRPr="00F8482F">
              <w:br/>
              <w:t>INTERNACIONALES (GE-RTI)</w:t>
            </w:r>
          </w:p>
        </w:tc>
      </w:tr>
      <w:tr w:rsidR="00374835" w:rsidRPr="00C67C21">
        <w:trPr>
          <w:cantSplit/>
        </w:trPr>
        <w:tc>
          <w:tcPr>
            <w:tcW w:w="10173" w:type="dxa"/>
            <w:gridSpan w:val="2"/>
          </w:tcPr>
          <w:p w:rsidR="00374835" w:rsidRPr="00C67C21" w:rsidRDefault="00374835" w:rsidP="00374835">
            <w:pPr>
              <w:pStyle w:val="Title2"/>
            </w:pPr>
          </w:p>
        </w:tc>
      </w:tr>
    </w:tbl>
    <w:bookmarkEnd w:id="7"/>
    <w:p w:rsidR="005817A9" w:rsidRPr="00C67C21" w:rsidRDefault="005817A9" w:rsidP="005817A9">
      <w:pPr>
        <w:pStyle w:val="Headingb"/>
      </w:pPr>
      <w:r w:rsidRPr="00C67C21">
        <w:t>Introducción</w:t>
      </w:r>
    </w:p>
    <w:p w:rsidR="005817A9" w:rsidRPr="00C67C21" w:rsidRDefault="005817A9" w:rsidP="005817A9">
      <w:r w:rsidRPr="00C67C21">
        <w:t>El Reglamento de las Telecomunicaciones Internacionales (RTI) es uno de los instrumentos de la Unión, a saber, el reglamento administrativo que rige la utilización de las telecomunicaciones y que tendrá carácter vinculante para todos los Estados Miembros (CS29 y CS31). El RTI complementa la Constitución y el Convenio de la UIT con el fin de cumplir la meta de la Unión de promover el desarrollo y la explotación eficiente de las telecomunicaciones.</w:t>
      </w:r>
    </w:p>
    <w:p w:rsidR="005817A9" w:rsidRPr="00C67C21" w:rsidRDefault="005817A9" w:rsidP="005817A9">
      <w:r w:rsidRPr="00C67C21">
        <w:t>La Conferencia Mundial de Telecomunicaciones Internacionales (CMTI) puede revisar parcialmente o, en casos excepcionales, totalmente el RTI, y tratar cualquier otra cuestión de carácter mundial que sea de su competencia y guarde relación con su orden del día (CS146).</w:t>
      </w:r>
    </w:p>
    <w:p w:rsidR="005817A9" w:rsidRPr="00C67C21" w:rsidRDefault="005817A9" w:rsidP="005817A9">
      <w:r w:rsidRPr="00C67C21">
        <w:t xml:space="preserve">La CMTI-12 (Dubái, Emiratos Árabes Unidos) revisó el RTI de 1988. El </w:t>
      </w:r>
      <w:r w:rsidR="00515182" w:rsidRPr="00C67C21">
        <w:t>RTI de 2012 entró en vigor el </w:t>
      </w:r>
      <w:r w:rsidRPr="00C67C21">
        <w:t>1 de enero de 2015 (Artículo 54 del Convenio):</w:t>
      </w:r>
    </w:p>
    <w:p w:rsidR="005817A9" w:rsidRPr="00C67C21" w:rsidRDefault="005817A9" w:rsidP="00FA33AF">
      <w:pPr>
        <w:pStyle w:val="enumlev1"/>
      </w:pPr>
      <w:r w:rsidRPr="00C67C21">
        <w:t>–</w:t>
      </w:r>
      <w:r w:rsidRPr="00C67C21">
        <w:tab/>
      </w:r>
      <w:r w:rsidR="00FA33AF">
        <w:t>p</w:t>
      </w:r>
      <w:r w:rsidRPr="00C67C21">
        <w:t>rovisionalmente para los Estados Miembros que hayan firmado el RTI pero no lo hayan notificado al Secretario General, hasta el momento en que formalicen dicha notificación (CS218)</w:t>
      </w:r>
      <w:r w:rsidR="00FA33AF">
        <w:t>;</w:t>
      </w:r>
    </w:p>
    <w:p w:rsidR="005817A9" w:rsidRPr="00C67C21" w:rsidRDefault="005817A9" w:rsidP="00FA33AF">
      <w:pPr>
        <w:pStyle w:val="enumlev1"/>
      </w:pPr>
      <w:r w:rsidRPr="00C67C21">
        <w:t>–</w:t>
      </w:r>
      <w:r w:rsidRPr="00C67C21">
        <w:tab/>
      </w:r>
      <w:r w:rsidR="00FA33AF">
        <w:t>e</w:t>
      </w:r>
      <w:r w:rsidRPr="00C67C21">
        <w:t>ntre Estados Miembros que hayan notificado, antes de dicha fecha, al Secretario General su consentimiento en obligarse por el tratado.</w:t>
      </w:r>
    </w:p>
    <w:p w:rsidR="005817A9" w:rsidRPr="00C67C21" w:rsidRDefault="005817A9" w:rsidP="005817A9">
      <w:r w:rsidRPr="00C67C21">
        <w:t>Hay también Estados Miembros que, por diversos motivos, con frecuencia relacionados con su afiliación a uniones económicas o políticas, no han firmado el nuevo tratado. En tal caso:</w:t>
      </w:r>
    </w:p>
    <w:p w:rsidR="005817A9" w:rsidRPr="00C67C21" w:rsidRDefault="005817A9" w:rsidP="00FA33AF">
      <w:pPr>
        <w:pStyle w:val="enumlev1"/>
      </w:pPr>
      <w:r w:rsidRPr="00C67C21">
        <w:t>–</w:t>
      </w:r>
      <w:r w:rsidRPr="00C67C21">
        <w:tab/>
      </w:r>
      <w:r w:rsidR="00FA33AF">
        <w:t>l</w:t>
      </w:r>
      <w:r w:rsidRPr="00C67C21">
        <w:t>os Estados Miembros que no son parte en el RTI de 2012 siguen estando sujetos a las disposiciones del RTI de 1988, si son</w:t>
      </w:r>
      <w:r w:rsidR="00B86D8D" w:rsidRPr="00C67C21">
        <w:t xml:space="preserve"> parte del mismo</w:t>
      </w:r>
      <w:r w:rsidR="00FA33AF">
        <w:t>;</w:t>
      </w:r>
    </w:p>
    <w:p w:rsidR="005817A9" w:rsidRPr="00C67C21" w:rsidRDefault="005817A9" w:rsidP="00FA33AF">
      <w:pPr>
        <w:pStyle w:val="enumlev1"/>
      </w:pPr>
      <w:r w:rsidRPr="00C67C21">
        <w:t>–</w:t>
      </w:r>
      <w:r w:rsidRPr="00C67C21">
        <w:tab/>
      </w:r>
      <w:r w:rsidR="00FA33AF">
        <w:t>l</w:t>
      </w:r>
      <w:r w:rsidRPr="00C67C21">
        <w:t>as relaciones entre los Estados Miembros que no son parte del RTI de 2012 y los Estados Miembros que son parte del RTI de 2012 se rigen por las disposiciones del RTI de 1988.</w:t>
      </w:r>
    </w:p>
    <w:p w:rsidR="005817A9" w:rsidRPr="00C67C21" w:rsidRDefault="005817A9" w:rsidP="005817A9">
      <w:r w:rsidRPr="00C67C21">
        <w:t>Por otra parte, si un Estado Miembro no notifica al Secretario General antes del 31 de diciembre de 2017 su decisión sobre el consentimiento para ser parte en el tratado, se considerará que ese Estado Miembro ha dado su consentimiento en obligarse por el nuevo tratado (CS221A).</w:t>
      </w:r>
    </w:p>
    <w:p w:rsidR="005817A9" w:rsidRPr="00C67C21" w:rsidRDefault="005817A9" w:rsidP="005817A9">
      <w:pPr>
        <w:pStyle w:val="Headingb"/>
      </w:pPr>
      <w:r w:rsidRPr="00C67C21">
        <w:lastRenderedPageBreak/>
        <w:t>Análisis</w:t>
      </w:r>
    </w:p>
    <w:p w:rsidR="005817A9" w:rsidRPr="00C67C21" w:rsidRDefault="005817A9" w:rsidP="005817A9">
      <w:r w:rsidRPr="00C67C21">
        <w:t>La CMTI-12 (Dubái, Emiratos Árabes Unidos) adoptó la Resolución 4 (Dubái, 2012) sobre el examen periódico del RTI, en la que se reconoce:</w:t>
      </w:r>
    </w:p>
    <w:p w:rsidR="005817A9" w:rsidRPr="00C67C21" w:rsidRDefault="005817A9" w:rsidP="005817A9">
      <w:pPr>
        <w:pStyle w:val="enumlev1"/>
      </w:pPr>
      <w:r w:rsidRPr="00C67C21">
        <w:t>a)</w:t>
      </w:r>
      <w:r w:rsidRPr="00C67C21">
        <w:tab/>
        <w:t>que el RTI es uno de los pilares que soporta la misión de la UIT;</w:t>
      </w:r>
    </w:p>
    <w:p w:rsidR="005817A9" w:rsidRPr="00C67C21" w:rsidRDefault="005817A9" w:rsidP="005817A9">
      <w:pPr>
        <w:pStyle w:val="enumlev1"/>
      </w:pPr>
      <w:r w:rsidRPr="00C67C21">
        <w:t>b)</w:t>
      </w:r>
      <w:r w:rsidRPr="00C67C21">
        <w:tab/>
        <w:t>que el RTI consta de principios rectores de alto nivel que no deberían requerir una modificación frecuente pero que en el sector dinámico de las telecomunicaciones/TIC puede ser necesario revisarlos con periodicidad;</w:t>
      </w:r>
    </w:p>
    <w:p w:rsidR="005817A9" w:rsidRPr="00C67C21" w:rsidRDefault="005817A9" w:rsidP="005817A9">
      <w:r w:rsidRPr="00C67C21">
        <w:t>y observó que el RTI:</w:t>
      </w:r>
    </w:p>
    <w:p w:rsidR="005817A9" w:rsidRPr="00C67C21" w:rsidRDefault="002A6CE5" w:rsidP="005817A9">
      <w:pPr>
        <w:pStyle w:val="enumlev1"/>
      </w:pPr>
      <w:r w:rsidRPr="00C67C21">
        <w:t>a)</w:t>
      </w:r>
      <w:r w:rsidR="005817A9" w:rsidRPr="00C67C21">
        <w:tab/>
        <w:t>establece principios generales relativos a la prestación y explotación de las telecomunicaciones internacionales;</w:t>
      </w:r>
    </w:p>
    <w:p w:rsidR="005817A9" w:rsidRPr="00C67C21" w:rsidRDefault="002A6CE5" w:rsidP="005817A9">
      <w:pPr>
        <w:pStyle w:val="enumlev1"/>
      </w:pPr>
      <w:r w:rsidRPr="00C67C21">
        <w:t>b)</w:t>
      </w:r>
      <w:r w:rsidR="005817A9" w:rsidRPr="00C67C21">
        <w:tab/>
        <w:t>facilita la interconexión y el interfuncionamiento a escala mundial;</w:t>
      </w:r>
    </w:p>
    <w:p w:rsidR="005817A9" w:rsidRPr="00C67C21" w:rsidRDefault="002A6CE5" w:rsidP="005817A9">
      <w:pPr>
        <w:pStyle w:val="enumlev1"/>
      </w:pPr>
      <w:r w:rsidRPr="00C67C21">
        <w:t>c)</w:t>
      </w:r>
      <w:r w:rsidR="005817A9" w:rsidRPr="00C67C21">
        <w:tab/>
        <w:t>promueve la eficacia, utilidad y disponibilidad de los servicios internacionales de telecomunicación.</w:t>
      </w:r>
    </w:p>
    <w:p w:rsidR="005817A9" w:rsidRPr="00C67C21" w:rsidRDefault="005817A9" w:rsidP="00FA33AF">
      <w:r w:rsidRPr="00C67C21">
        <w:t>La Conferencia de Plenipotenciarios (Busán, 2014) (PP-14), tras examinar los resultados de la CMTI-12, adoptó la Resolución 146 (Rev. Busán</w:t>
      </w:r>
      <w:r w:rsidR="00FA33AF">
        <w:t>,</w:t>
      </w:r>
      <w:r w:rsidRPr="00C67C21">
        <w:t xml:space="preserve"> 2014), relativa al examen periódico y revisión del</w:t>
      </w:r>
      <w:r w:rsidR="00FA33AF">
        <w:t> </w:t>
      </w:r>
      <w:r w:rsidRPr="00C67C21">
        <w:t>RTI, en la que se resuelve que se lleve a cabo un examen periódico del Reglamento de las Telecomunicaciones Internacionales cada ocho años y que el proceso de revisión del Reglamento de las Telecomunicaciones Internacionales comience en 2017, preferentemente a principios de año. A tal efecto, la PP-14 encargó al Secretario General que convoque un Grupo de Expertos sobre el Reglamento de las Telecomunicaciones Internacionales (GE-RTI) abierto a la participación de los Estados Miembros y Miembros de Sector de la UIT, cuyo mandato y métodos de trabajo establecerá el Consejo de la UIT, para efectuar el examen de dicho Reglamento y que presente el Informe del GE-RTI al Consejo, en su reunión de 2018, para su examen, publicación y presentación subsiguiente a la PP-18.</w:t>
      </w:r>
    </w:p>
    <w:p w:rsidR="005817A9" w:rsidRPr="00C67C21" w:rsidRDefault="005817A9" w:rsidP="005817A9">
      <w:r w:rsidRPr="00C67C21">
        <w:t>En su reunión de 2016, el Consejo adoptó la Resolución 1379, en la que se resuelve:</w:t>
      </w:r>
    </w:p>
    <w:p w:rsidR="005817A9" w:rsidRPr="00C67C21" w:rsidRDefault="005817A9" w:rsidP="005817A9">
      <w:pPr>
        <w:pStyle w:val="enumlev1"/>
      </w:pPr>
      <w:r w:rsidRPr="00C67C21">
        <w:t>a)</w:t>
      </w:r>
      <w:r w:rsidRPr="00C67C21">
        <w:tab/>
        <w:t>crear el GE-RTI abierto a todos los Estados Miembros y Miembros de Sector con el mandato que se recoge en el Anexo 1 a dicha Resolución;</w:t>
      </w:r>
    </w:p>
    <w:p w:rsidR="005817A9" w:rsidRPr="00C67C21" w:rsidRDefault="005817A9" w:rsidP="005817A9">
      <w:pPr>
        <w:pStyle w:val="enumlev1"/>
      </w:pPr>
      <w:r w:rsidRPr="00C67C21">
        <w:t>b)</w:t>
      </w:r>
      <w:r w:rsidRPr="00C67C21">
        <w:tab/>
        <w:t>que el GE-RTI prepare:</w:t>
      </w:r>
    </w:p>
    <w:p w:rsidR="005817A9" w:rsidRPr="00C67C21" w:rsidRDefault="005817A9" w:rsidP="005817A9">
      <w:pPr>
        <w:pStyle w:val="enumlev2"/>
      </w:pPr>
      <w:r w:rsidRPr="00C67C21">
        <w:tab/>
        <w:t>–</w:t>
      </w:r>
      <w:r w:rsidRPr="00C67C21">
        <w:tab/>
        <w:t>un informe provisional para la reunión de 2017 del Consejo;</w:t>
      </w:r>
    </w:p>
    <w:p w:rsidR="005817A9" w:rsidRPr="00C67C21" w:rsidRDefault="005817A9" w:rsidP="005817A9">
      <w:pPr>
        <w:pStyle w:val="enumlev2"/>
      </w:pPr>
      <w:r w:rsidRPr="00C67C21">
        <w:tab/>
        <w:t>–</w:t>
      </w:r>
      <w:r w:rsidRPr="00C67C21">
        <w:tab/>
        <w:t>un Informe final para la reunión de 2018 del Consejo para su presentación a la PP-18 con los comentarios del Consejo;</w:t>
      </w:r>
    </w:p>
    <w:p w:rsidR="005817A9" w:rsidRPr="00C67C21" w:rsidRDefault="005817A9" w:rsidP="005817A9">
      <w:pPr>
        <w:pStyle w:val="enumlev1"/>
      </w:pPr>
      <w:r w:rsidRPr="00C67C21">
        <w:t>c)</w:t>
      </w:r>
      <w:r w:rsidRPr="00C67C21">
        <w:tab/>
        <w:t>encargar a los Directores de las Oficinas:</w:t>
      </w:r>
    </w:p>
    <w:p w:rsidR="005817A9" w:rsidRPr="00C67C21" w:rsidRDefault="005817A9" w:rsidP="005817A9">
      <w:pPr>
        <w:pStyle w:val="enumlev2"/>
      </w:pPr>
      <w:r w:rsidRPr="00C67C21">
        <w:t>–</w:t>
      </w:r>
      <w:r w:rsidRPr="00C67C21">
        <w:tab/>
        <w:t>que, en su ámbito de competencia y con el asesoramiento de los grupos asesores correspondientes, contribuyan a los trabajos del GE-RTI, reconociendo que son los trabajos del Sector de Normalización de las Telecomunicaciones de la UIT (UIT-T) los más pertinentes al RTI;</w:t>
      </w:r>
    </w:p>
    <w:p w:rsidR="005817A9" w:rsidRPr="00C67C21" w:rsidRDefault="005817A9" w:rsidP="005817A9">
      <w:pPr>
        <w:pStyle w:val="enumlev2"/>
      </w:pPr>
      <w:r w:rsidRPr="00C67C21">
        <w:t>–</w:t>
      </w:r>
      <w:r w:rsidRPr="00C67C21">
        <w:tab/>
        <w:t>que presenten los resultados de sus trabajos al GE-RTI.</w:t>
      </w:r>
    </w:p>
    <w:p w:rsidR="005817A9" w:rsidRPr="00C67C21" w:rsidRDefault="005817A9" w:rsidP="005817A9">
      <w:r w:rsidRPr="00C67C21">
        <w:t xml:space="preserve">La Asamblea Mundial de Normalización de las Telecomunicaciones (Hammamet, 2016), teniendo en cuenta el reconocido liderazgo del UIT-T en la labor de examen y revisión del RTI, adoptado en la Resolución 87 (Hammamet, 2016), sobre la participación del UIT-T en el examen periódico y revisión del RTI, en el que, reconociendo en particular el importante papel de las Comisiones de </w:t>
      </w:r>
      <w:r w:rsidRPr="00C67C21">
        <w:lastRenderedPageBreak/>
        <w:t>Estudio del UIT</w:t>
      </w:r>
      <w:r w:rsidR="00FA33AF">
        <w:t>-T</w:t>
      </w:r>
      <w:r w:rsidRPr="00C67C21">
        <w:t xml:space="preserve"> en el proceso de contribución al UIT-T para el GE-RTI, según proceda y sea necesario, resolvió presentar el resultado de tales actividades al GE-RTI.</w:t>
      </w:r>
    </w:p>
    <w:p w:rsidR="005817A9" w:rsidRPr="00C67C21" w:rsidRDefault="005817A9" w:rsidP="005817A9">
      <w:pPr>
        <w:pStyle w:val="Headingb"/>
      </w:pPr>
      <w:r w:rsidRPr="00C67C21">
        <w:t>Propuestas</w:t>
      </w:r>
    </w:p>
    <w:p w:rsidR="005817A9" w:rsidRPr="00C67C21" w:rsidRDefault="005817A9" w:rsidP="00F8482F">
      <w:r w:rsidRPr="00C67C21">
        <w:t>Habida cuenta de lo anterior y de las Resoluciones sobre este particular adoptadas por la PP-14, la</w:t>
      </w:r>
      <w:r w:rsidR="00F8482F">
        <w:t> </w:t>
      </w:r>
      <w:r w:rsidRPr="00C67C21">
        <w:t>CMTI-12, la AMNT-16 y en la reunión de 2016 del Consejo, y tomando en consideración la experiencia anterior en los preparativos para el examen y revisión del RTI, se propone lo siguiente:</w:t>
      </w:r>
    </w:p>
    <w:p w:rsidR="005817A9" w:rsidRPr="00C67C21" w:rsidRDefault="005817A9" w:rsidP="005817A9">
      <w:pPr>
        <w:pStyle w:val="enumlev1"/>
      </w:pPr>
      <w:r w:rsidRPr="00C67C21">
        <w:t>1)</w:t>
      </w:r>
      <w:r w:rsidRPr="00C67C21">
        <w:tab/>
        <w:t xml:space="preserve">Determinar la estructura del </w:t>
      </w:r>
      <w:r w:rsidR="00FA33AF" w:rsidRPr="00C67C21">
        <w:t xml:space="preserve">Informe </w:t>
      </w:r>
      <w:r w:rsidRPr="00C67C21">
        <w:t>final del GE-RTI en la primera reunión del Grupo.</w:t>
      </w:r>
    </w:p>
    <w:p w:rsidR="005817A9" w:rsidRPr="00C67C21" w:rsidRDefault="005817A9" w:rsidP="005817A9">
      <w:pPr>
        <w:pStyle w:val="enumlev1"/>
      </w:pPr>
      <w:r w:rsidRPr="00C67C21">
        <w:t>2)</w:t>
      </w:r>
      <w:r w:rsidRPr="00C67C21">
        <w:tab/>
        <w:t xml:space="preserve">Considerar como punto de partida la siguiente estructura del </w:t>
      </w:r>
      <w:r w:rsidR="00FA33AF" w:rsidRPr="00C67C21">
        <w:t xml:space="preserve">Informe </w:t>
      </w:r>
      <w:r w:rsidRPr="00C67C21">
        <w:t>del final del GT-RTI:</w:t>
      </w:r>
    </w:p>
    <w:p w:rsidR="005817A9" w:rsidRPr="00C67C21" w:rsidRDefault="00407B9B" w:rsidP="00407B9B">
      <w:pPr>
        <w:pStyle w:val="enumlev2"/>
      </w:pPr>
      <w:r w:rsidRPr="00C67C21">
        <w:t>a)</w:t>
      </w:r>
      <w:r w:rsidRPr="00C67C21">
        <w:tab/>
      </w:r>
      <w:r w:rsidR="00B86D8D" w:rsidRPr="00C67C21">
        <w:t>T</w:t>
      </w:r>
      <w:r w:rsidR="005817A9" w:rsidRPr="00C67C21">
        <w:t xml:space="preserve">exto principal del </w:t>
      </w:r>
      <w:r w:rsidR="00FA33AF" w:rsidRPr="00C67C21">
        <w:t xml:space="preserve">Informe </w:t>
      </w:r>
      <w:r w:rsidR="005817A9" w:rsidRPr="00C67C21">
        <w:t>final, que consta de las siguiente</w:t>
      </w:r>
      <w:r w:rsidR="00C67C21">
        <w:t>s</w:t>
      </w:r>
      <w:r w:rsidR="005817A9" w:rsidRPr="00C67C21">
        <w:t xml:space="preserve"> secciones:</w:t>
      </w:r>
    </w:p>
    <w:p w:rsidR="005817A9" w:rsidRPr="00C67C21" w:rsidRDefault="00B86D8D" w:rsidP="00407B9B">
      <w:pPr>
        <w:pStyle w:val="enumlev3"/>
      </w:pPr>
      <w:r w:rsidRPr="00C67C21">
        <w:t>•</w:t>
      </w:r>
      <w:r w:rsidR="00407B9B" w:rsidRPr="00C67C21">
        <w:tab/>
      </w:r>
      <w:r w:rsidRPr="00C67C21">
        <w:t>I</w:t>
      </w:r>
      <w:r w:rsidR="005817A9" w:rsidRPr="00C67C21">
        <w:t>ntroducción</w:t>
      </w:r>
    </w:p>
    <w:p w:rsidR="005817A9" w:rsidRPr="00C67C21" w:rsidRDefault="00B86D8D" w:rsidP="00407B9B">
      <w:pPr>
        <w:pStyle w:val="enumlev3"/>
      </w:pPr>
      <w:r w:rsidRPr="00C67C21">
        <w:t>•</w:t>
      </w:r>
      <w:r w:rsidR="00407B9B" w:rsidRPr="00C67C21">
        <w:tab/>
      </w:r>
      <w:r w:rsidRPr="00C67C21">
        <w:t>I</w:t>
      </w:r>
      <w:r w:rsidR="005817A9" w:rsidRPr="00C67C21">
        <w:t>nformación básica</w:t>
      </w:r>
    </w:p>
    <w:p w:rsidR="005817A9" w:rsidRPr="00C67C21" w:rsidRDefault="00B86D8D" w:rsidP="00B86D8D">
      <w:pPr>
        <w:pStyle w:val="enumlev3"/>
      </w:pPr>
      <w:r w:rsidRPr="00C67C21">
        <w:t>•</w:t>
      </w:r>
      <w:r w:rsidR="00407B9B" w:rsidRPr="00C67C21">
        <w:tab/>
      </w:r>
      <w:r w:rsidRPr="00C67C21">
        <w:t>L</w:t>
      </w:r>
      <w:r w:rsidR="005817A9" w:rsidRPr="00C67C21">
        <w:t>a labor del GE-RTI</w:t>
      </w:r>
    </w:p>
    <w:p w:rsidR="005817A9" w:rsidRPr="00C67C21" w:rsidRDefault="00B86D8D" w:rsidP="00FA33AF">
      <w:pPr>
        <w:pStyle w:val="enumlev3"/>
      </w:pPr>
      <w:r w:rsidRPr="00C67C21">
        <w:t>•</w:t>
      </w:r>
      <w:r w:rsidR="00407B9B" w:rsidRPr="00C67C21">
        <w:tab/>
      </w:r>
      <w:r w:rsidRPr="00C67C21">
        <w:t>L</w:t>
      </w:r>
      <w:r w:rsidR="005817A9" w:rsidRPr="00C67C21">
        <w:t>os resultados de la labor del G</w:t>
      </w:r>
      <w:r w:rsidR="00FA33AF">
        <w:t>E</w:t>
      </w:r>
      <w:r w:rsidR="005817A9" w:rsidRPr="00C67C21">
        <w:t>-RTI</w:t>
      </w:r>
    </w:p>
    <w:p w:rsidR="005817A9" w:rsidRPr="00C67C21" w:rsidRDefault="00407B9B" w:rsidP="00407B9B">
      <w:pPr>
        <w:pStyle w:val="enumlev2"/>
      </w:pPr>
      <w:r w:rsidRPr="00C67C21">
        <w:t>b)</w:t>
      </w:r>
      <w:r w:rsidRPr="00C67C21">
        <w:tab/>
      </w:r>
      <w:r w:rsidR="00B86D8D" w:rsidRPr="00C67C21">
        <w:t>A</w:t>
      </w:r>
      <w:r w:rsidR="005817A9" w:rsidRPr="00C67C21">
        <w:t xml:space="preserve">nexos al </w:t>
      </w:r>
      <w:r w:rsidR="00FA33AF" w:rsidRPr="00C67C21">
        <w:t xml:space="preserve">Informe </w:t>
      </w:r>
      <w:r w:rsidR="005817A9" w:rsidRPr="00C67C21">
        <w:t xml:space="preserve">final </w:t>
      </w:r>
      <w:r w:rsidR="00FA33AF">
        <w:t>d</w:t>
      </w:r>
      <w:r w:rsidR="005817A9" w:rsidRPr="00C67C21">
        <w:t>el GE-RTI</w:t>
      </w:r>
      <w:r w:rsidR="00B86D8D" w:rsidRPr="00C67C21">
        <w:t>.</w:t>
      </w:r>
    </w:p>
    <w:p w:rsidR="005817A9" w:rsidRPr="00C67C21" w:rsidRDefault="005817A9" w:rsidP="005817A9">
      <w:pPr>
        <w:pStyle w:val="enumlev1"/>
      </w:pPr>
      <w:r w:rsidRPr="00C67C21">
        <w:t>3)</w:t>
      </w:r>
      <w:r w:rsidRPr="00C67C21">
        <w:tab/>
        <w:t xml:space="preserve">Refundir el contenido del </w:t>
      </w:r>
      <w:r w:rsidR="00FA33AF" w:rsidRPr="00C67C21">
        <w:t xml:space="preserve">Informe </w:t>
      </w:r>
      <w:r w:rsidRPr="00C67C21">
        <w:t>final del GE-RTI de modo que guarde relación sobre todo con el examen y revisión del RTI de 2012, en particular los cambios y/o supresiones de las disposiciones del RTI de 2012 y la adición de nuevas disposiciones del futuro RTI.</w:t>
      </w:r>
    </w:p>
    <w:p w:rsidR="005817A9" w:rsidRPr="00C67C21" w:rsidRDefault="005817A9" w:rsidP="005817A9">
      <w:pPr>
        <w:pStyle w:val="enumlev1"/>
      </w:pPr>
      <w:r w:rsidRPr="00C67C21">
        <w:t>4)</w:t>
      </w:r>
      <w:r w:rsidRPr="00C67C21">
        <w:tab/>
        <w:t xml:space="preserve">Incluir la siguiente información en los anexos al </w:t>
      </w:r>
      <w:r w:rsidR="00FA33AF" w:rsidRPr="00C67C21">
        <w:t xml:space="preserve">Informe </w:t>
      </w:r>
      <w:r w:rsidRPr="00C67C21">
        <w:t>final del GE-RTI:</w:t>
      </w:r>
    </w:p>
    <w:p w:rsidR="005817A9" w:rsidRPr="00C67C21" w:rsidRDefault="00407B9B" w:rsidP="00407B9B">
      <w:pPr>
        <w:pStyle w:val="enumlev2"/>
      </w:pPr>
      <w:r w:rsidRPr="00C67C21">
        <w:t>a)</w:t>
      </w:r>
      <w:r w:rsidRPr="00C67C21">
        <w:tab/>
      </w:r>
      <w:r w:rsidR="005817A9" w:rsidRPr="00C67C21">
        <w:t xml:space="preserve">Anexo 1: </w:t>
      </w:r>
      <w:r w:rsidR="00F8482F">
        <w:t>"</w:t>
      </w:r>
      <w:r w:rsidR="005817A9" w:rsidRPr="00C67C21">
        <w:t>Recopilación de propuestas recibidas</w:t>
      </w:r>
      <w:r w:rsidR="00F8482F">
        <w:t>"</w:t>
      </w:r>
      <w:r w:rsidR="005817A9" w:rsidRPr="00C67C21">
        <w:t xml:space="preserve"> de los Estados Miembros y Miembros de Sector, con propuestas de revisión del RTI de 2012.</w:t>
      </w:r>
    </w:p>
    <w:p w:rsidR="005817A9" w:rsidRPr="00C67C21" w:rsidRDefault="00407B9B" w:rsidP="00407B9B">
      <w:pPr>
        <w:pStyle w:val="enumlev2"/>
      </w:pPr>
      <w:r w:rsidRPr="00C67C21">
        <w:t>b)</w:t>
      </w:r>
      <w:r w:rsidRPr="00C67C21">
        <w:tab/>
      </w:r>
      <w:r w:rsidR="005817A9" w:rsidRPr="00C67C21">
        <w:t xml:space="preserve">Anexo 2: </w:t>
      </w:r>
      <w:r w:rsidR="00F8482F">
        <w:t>"</w:t>
      </w:r>
      <w:r w:rsidR="005817A9" w:rsidRPr="00C67C21">
        <w:t>Proyecto de texto que contiene el RTI de 2012 con propuestas de revisión de cada artículo</w:t>
      </w:r>
      <w:r w:rsidR="00F8482F">
        <w:t>"</w:t>
      </w:r>
      <w:r w:rsidR="005817A9" w:rsidRPr="00C67C21">
        <w:t xml:space="preserve"> (NOC, MOD, SUP, ADD), basadas en la compilación de contribuciones recibidas de los Estados Miembros y Miembros de Sector.</w:t>
      </w:r>
    </w:p>
    <w:p w:rsidR="005817A9" w:rsidRPr="00C67C21" w:rsidRDefault="00407B9B" w:rsidP="00407B9B">
      <w:pPr>
        <w:pStyle w:val="enumlev2"/>
      </w:pPr>
      <w:r w:rsidRPr="00C67C21">
        <w:t>c)</w:t>
      </w:r>
      <w:r w:rsidRPr="00C67C21">
        <w:tab/>
      </w:r>
      <w:r w:rsidR="005817A9" w:rsidRPr="00C67C21">
        <w:t xml:space="preserve">Anexo 3: </w:t>
      </w:r>
      <w:r w:rsidR="00F8482F">
        <w:t>"</w:t>
      </w:r>
      <w:r w:rsidR="005817A9" w:rsidRPr="00C67C21">
        <w:t>Recopilación de las contribuciones recibidas de los Estados Miembros que no son parte en el RTI de 2012</w:t>
      </w:r>
      <w:r w:rsidR="00F8482F">
        <w:t>"</w:t>
      </w:r>
      <w:r w:rsidR="005817A9" w:rsidRPr="00C67C21">
        <w:t xml:space="preserve">, con información sobre las dificultades experimentadas por los Estados Miembros y sus </w:t>
      </w:r>
      <w:r w:rsidR="00F8482F">
        <w:t>"</w:t>
      </w:r>
      <w:r w:rsidR="005817A9" w:rsidRPr="00C67C21">
        <w:t>empresas de explotación autorizadas</w:t>
      </w:r>
      <w:r w:rsidR="00F8482F">
        <w:t>"</w:t>
      </w:r>
      <w:r w:rsidR="005817A9" w:rsidRPr="00C67C21">
        <w:t xml:space="preserve"> y, en particular:</w:t>
      </w:r>
    </w:p>
    <w:p w:rsidR="005817A9" w:rsidRPr="00C67C21" w:rsidRDefault="00407B9B" w:rsidP="00FA33AF">
      <w:pPr>
        <w:pStyle w:val="enumlev3"/>
      </w:pPr>
      <w:r w:rsidRPr="00C67C21">
        <w:t>–</w:t>
      </w:r>
      <w:r w:rsidRPr="00C67C21">
        <w:tab/>
      </w:r>
      <w:r w:rsidR="00FA33AF">
        <w:t>d</w:t>
      </w:r>
      <w:r w:rsidR="005817A9" w:rsidRPr="00C67C21">
        <w:t xml:space="preserve">ificultades encontradas por los Estados Miembros y sus </w:t>
      </w:r>
      <w:r w:rsidR="00F8482F">
        <w:t>"</w:t>
      </w:r>
      <w:r w:rsidR="005817A9" w:rsidRPr="00C67C21">
        <w:t>empresas de explotación autorizadas</w:t>
      </w:r>
      <w:r w:rsidR="00F8482F">
        <w:t>"</w:t>
      </w:r>
      <w:r w:rsidR="005817A9" w:rsidRPr="00C67C21">
        <w:t xml:space="preserve"> en aplicación de las disposicione</w:t>
      </w:r>
      <w:r w:rsidR="00B86D8D" w:rsidRPr="00C67C21">
        <w:t>s del RTI de 2012, con ejemplos</w:t>
      </w:r>
      <w:r w:rsidR="00FA33AF">
        <w:t>;</w:t>
      </w:r>
    </w:p>
    <w:p w:rsidR="005817A9" w:rsidRPr="00C67C21" w:rsidRDefault="00407B9B" w:rsidP="00FA33AF">
      <w:pPr>
        <w:pStyle w:val="enumlev3"/>
      </w:pPr>
      <w:r w:rsidRPr="00C67C21">
        <w:t>–</w:t>
      </w:r>
      <w:r w:rsidRPr="00C67C21">
        <w:tab/>
      </w:r>
      <w:r w:rsidR="00FA33AF">
        <w:t>d</w:t>
      </w:r>
      <w:r w:rsidR="005817A9" w:rsidRPr="00C67C21">
        <w:t xml:space="preserve">ificultades encontradas por los Estados Miembros y sus </w:t>
      </w:r>
      <w:r w:rsidR="00F8482F">
        <w:t>"</w:t>
      </w:r>
      <w:r w:rsidR="005817A9" w:rsidRPr="00C67C21">
        <w:t>empresas de explotación autorizadas</w:t>
      </w:r>
      <w:r w:rsidR="00F8482F">
        <w:t>"</w:t>
      </w:r>
      <w:r w:rsidR="005817A9" w:rsidRPr="00C67C21">
        <w:t xml:space="preserve"> en el cumplimiento de las disposicione</w:t>
      </w:r>
      <w:r w:rsidR="00B86D8D" w:rsidRPr="00C67C21">
        <w:t>s del RTI de</w:t>
      </w:r>
      <w:r w:rsidR="00F8482F">
        <w:t> </w:t>
      </w:r>
      <w:r w:rsidR="00B86D8D" w:rsidRPr="00C67C21">
        <w:t>2012, con ejemplos</w:t>
      </w:r>
      <w:r w:rsidR="00FA33AF">
        <w:t>;</w:t>
      </w:r>
    </w:p>
    <w:p w:rsidR="005817A9" w:rsidRPr="00C67C21" w:rsidRDefault="00407B9B" w:rsidP="00FA33AF">
      <w:pPr>
        <w:pStyle w:val="enumlev3"/>
      </w:pPr>
      <w:r w:rsidRPr="00C67C21">
        <w:t>–</w:t>
      </w:r>
      <w:r w:rsidRPr="00C67C21">
        <w:tab/>
      </w:r>
      <w:r w:rsidR="00FA33AF">
        <w:t>c</w:t>
      </w:r>
      <w:r w:rsidR="005817A9" w:rsidRPr="00C67C21">
        <w:t>onflictos entre las disposiciones del RTI de 2012 y los compromisos adoptados por los Estados Miembros en otros foros internacionales, así como en el marco de uniones económicas y política</w:t>
      </w:r>
      <w:r w:rsidR="00B86D8D" w:rsidRPr="00C67C21">
        <w:t>s, con ejemplos</w:t>
      </w:r>
      <w:r w:rsidR="00FA33AF">
        <w:t>;</w:t>
      </w:r>
    </w:p>
    <w:p w:rsidR="005817A9" w:rsidRPr="00C67C21" w:rsidRDefault="00407B9B" w:rsidP="00FA33AF">
      <w:pPr>
        <w:pStyle w:val="enumlev3"/>
      </w:pPr>
      <w:r w:rsidRPr="00C67C21">
        <w:t>–</w:t>
      </w:r>
      <w:r w:rsidRPr="00C67C21">
        <w:tab/>
      </w:r>
      <w:r w:rsidR="00FA33AF">
        <w:t>c</w:t>
      </w:r>
      <w:r w:rsidR="005817A9" w:rsidRPr="00C67C21">
        <w:t>onflictos entre las obligaciones de los signatarios del RTI de 2012 y los signatarios del RTI de 1988, en lo que respecta a la aplicación de las disposiciones del RTI de 1988 y de 2012, con ejemplos.</w:t>
      </w:r>
    </w:p>
    <w:p w:rsidR="005817A9" w:rsidRPr="00C67C21" w:rsidRDefault="00407B9B" w:rsidP="00FA33AF">
      <w:pPr>
        <w:pStyle w:val="enumlev2"/>
      </w:pPr>
      <w:r w:rsidRPr="00C67C21">
        <w:lastRenderedPageBreak/>
        <w:t>d)</w:t>
      </w:r>
      <w:r w:rsidRPr="00C67C21">
        <w:tab/>
      </w:r>
      <w:r w:rsidR="005817A9" w:rsidRPr="00C67C21">
        <w:t>Anexo 4: Documentos, preparados por la Secretaría General de la UIT, relativos al examen y revisión del RTI, relativ</w:t>
      </w:r>
      <w:r w:rsidR="00FA33AF">
        <w:t>o</w:t>
      </w:r>
      <w:r w:rsidR="005817A9" w:rsidRPr="00C67C21">
        <w:t>s especialmente a problemas jurídicos y de otra índole. Por ejemplo:</w:t>
      </w:r>
    </w:p>
    <w:p w:rsidR="005817A9" w:rsidRPr="00C67C21" w:rsidRDefault="00407B9B" w:rsidP="00FA33AF">
      <w:pPr>
        <w:pStyle w:val="enumlev3"/>
      </w:pPr>
      <w:r w:rsidRPr="00C67C21">
        <w:t>–</w:t>
      </w:r>
      <w:r w:rsidRPr="00C67C21">
        <w:tab/>
      </w:r>
      <w:r w:rsidR="00FA33AF">
        <w:t>a</w:t>
      </w:r>
      <w:r w:rsidR="005817A9" w:rsidRPr="00C67C21">
        <w:t>nálisis jurídico del RTI de 2012: procedimiento y situación de la adhesión</w:t>
      </w:r>
      <w:r w:rsidR="00FA33AF">
        <w:t>;</w:t>
      </w:r>
    </w:p>
    <w:p w:rsidR="005817A9" w:rsidRPr="00C67C21" w:rsidRDefault="002C0A4D" w:rsidP="00FA33AF">
      <w:pPr>
        <w:pStyle w:val="enumlev3"/>
      </w:pPr>
      <w:r w:rsidRPr="00C67C21">
        <w:t>–</w:t>
      </w:r>
      <w:r w:rsidRPr="00C67C21">
        <w:tab/>
      </w:r>
      <w:r w:rsidR="00FA33AF">
        <w:t>i</w:t>
      </w:r>
      <w:r w:rsidR="005817A9" w:rsidRPr="00C67C21">
        <w:t xml:space="preserve">nformación de referencia sobre las repercusiones jurídicas del RTI y sus </w:t>
      </w:r>
      <w:r w:rsidR="00B86D8D" w:rsidRPr="00C67C21">
        <w:t>disposiciones</w:t>
      </w:r>
      <w:r w:rsidR="00FA33AF">
        <w:t>;</w:t>
      </w:r>
    </w:p>
    <w:p w:rsidR="005817A9" w:rsidRPr="00C67C21" w:rsidRDefault="00407B9B" w:rsidP="00FA33AF">
      <w:pPr>
        <w:pStyle w:val="enumlev3"/>
      </w:pPr>
      <w:r w:rsidRPr="00C67C21">
        <w:t>–</w:t>
      </w:r>
      <w:r w:rsidRPr="00C67C21">
        <w:tab/>
      </w:r>
      <w:r w:rsidR="00FA33AF">
        <w:t>i</w:t>
      </w:r>
      <w:r w:rsidR="005817A9" w:rsidRPr="00C67C21">
        <w:t xml:space="preserve">nformación de referencia sobre los instrumentos jurídicos de las organizaciones internacionales, como forma de </w:t>
      </w:r>
      <w:r w:rsidR="00B86D8D" w:rsidRPr="00C67C21">
        <w:t>expresar su autoridad normativa</w:t>
      </w:r>
      <w:r w:rsidR="00FA33AF">
        <w:t>;</w:t>
      </w:r>
    </w:p>
    <w:p w:rsidR="005817A9" w:rsidRPr="00C67C21" w:rsidRDefault="00407B9B" w:rsidP="00FA33AF">
      <w:pPr>
        <w:pStyle w:val="enumlev3"/>
      </w:pPr>
      <w:r w:rsidRPr="00C67C21">
        <w:t>–</w:t>
      </w:r>
      <w:r w:rsidRPr="00C67C21">
        <w:tab/>
      </w:r>
      <w:r w:rsidR="00FA33AF">
        <w:t>a</w:t>
      </w:r>
      <w:r w:rsidR="005817A9" w:rsidRPr="00C67C21">
        <w:t>cuerdos internacionales y el RTI, en particular la aplicación del RTI en el contexto de las disposiciones de la Convención de Viena sobre el Derecho de los</w:t>
      </w:r>
      <w:r w:rsidR="00B86D8D" w:rsidRPr="00C67C21">
        <w:t xml:space="preserve"> Tratados de 23 de mayo de 1969</w:t>
      </w:r>
      <w:r w:rsidR="00FA33AF">
        <w:t>;</w:t>
      </w:r>
    </w:p>
    <w:p w:rsidR="005817A9" w:rsidRPr="00C67C21" w:rsidRDefault="00407B9B" w:rsidP="00FA33AF">
      <w:pPr>
        <w:pStyle w:val="enumlev3"/>
      </w:pPr>
      <w:r w:rsidRPr="00C67C21">
        <w:t>–</w:t>
      </w:r>
      <w:r w:rsidRPr="00C67C21">
        <w:tab/>
      </w:r>
      <w:r w:rsidR="00FA33AF">
        <w:t>o</w:t>
      </w:r>
      <w:r w:rsidR="005817A9" w:rsidRPr="00C67C21">
        <w:t>tros aspectos relacionados con información de apoyo a los trabajos del GE-RTI.</w:t>
      </w:r>
    </w:p>
    <w:p w:rsidR="005817A9" w:rsidRPr="00C67C21" w:rsidRDefault="005817A9" w:rsidP="005817A9">
      <w:pPr>
        <w:pStyle w:val="enumlev1"/>
      </w:pPr>
      <w:r w:rsidRPr="00C67C21">
        <w:t>5)</w:t>
      </w:r>
      <w:r w:rsidRPr="00C67C21">
        <w:tab/>
        <w:t>Invitar a las Comisiones de Estudio interesadas de los tres Sectores, especialmente del UIT-T, a remitir, por conducto de sus respectivos grupos asesores, contribuciones y declaraciones de coordinación con informació</w:t>
      </w:r>
      <w:r w:rsidR="00F8482F">
        <w:t xml:space="preserve">n y resultados de sus trabajos </w:t>
      </w:r>
      <w:r w:rsidRPr="00C67C21">
        <w:t xml:space="preserve">que podrían tomar en consideración el GE-RTI en sus actividades relativas al examen y revisión </w:t>
      </w:r>
      <w:r w:rsidR="00D967E2" w:rsidRPr="00C67C21">
        <w:t>d</w:t>
      </w:r>
      <w:r w:rsidRPr="00C67C21">
        <w:t>el RTI de 2012. Se adjunta a la presente contribución un proyecto de declaración de coordinación, en nombre del GE-RTI a los grupos asesores y las Comisiones de Estudio de los tres Sectores.</w:t>
      </w:r>
    </w:p>
    <w:p w:rsidR="005817A9" w:rsidRPr="00C67C21" w:rsidRDefault="005817A9" w:rsidP="005817A9">
      <w:pPr>
        <w:pStyle w:val="enumlev1"/>
      </w:pPr>
      <w:r w:rsidRPr="00C67C21">
        <w:t>6)</w:t>
      </w:r>
      <w:r w:rsidRPr="00C67C21">
        <w:tab/>
        <w:t>En caso necesario para optimizar el tiempo del GE-RTI en el periodo entre dos reuniones presenciales, nombrar relatores para temas específicos (secciones, capítulos, etc.) a fin de prestar asistencia en la preparación de texto que sentará las</w:t>
      </w:r>
      <w:r w:rsidR="00D967E2" w:rsidRPr="00C67C21">
        <w:t xml:space="preserve"> bases del </w:t>
      </w:r>
      <w:r w:rsidR="00FA33AF" w:rsidRPr="00C67C21">
        <w:t xml:space="preserve">Informe </w:t>
      </w:r>
      <w:r w:rsidR="00D967E2" w:rsidRPr="00C67C21">
        <w:t>final del GE</w:t>
      </w:r>
      <w:r w:rsidR="00D967E2" w:rsidRPr="00C67C21">
        <w:noBreakHyphen/>
      </w:r>
      <w:r w:rsidRPr="00C67C21">
        <w:t xml:space="preserve">RTI y en la recopilación de los textos presentados en las contribuciones de los Estados Miembros, los Miembros de Sector y los correspondientes Grupos de la UIT en el proyecto de </w:t>
      </w:r>
      <w:r w:rsidR="00FA33AF" w:rsidRPr="00C67C21">
        <w:t xml:space="preserve">Informe </w:t>
      </w:r>
      <w:r w:rsidRPr="00C67C21">
        <w:t>final del GE-RTI. Se debe refrendar a los vicepresidentes del GE-RTI que deseen actuar de relatores de capítulo.</w:t>
      </w:r>
    </w:p>
    <w:p w:rsidR="00407B9B" w:rsidRPr="00C67C21" w:rsidRDefault="00407B9B" w:rsidP="0032202E">
      <w:pPr>
        <w:pStyle w:val="Reasons"/>
      </w:pPr>
    </w:p>
    <w:p w:rsidR="00407B9B" w:rsidRPr="00C67C21" w:rsidRDefault="00407B9B">
      <w:pPr>
        <w:jc w:val="center"/>
      </w:pPr>
      <w:r w:rsidRPr="00C67C21">
        <w:t>______________</w:t>
      </w:r>
      <w:bookmarkStart w:id="8" w:name="_GoBack"/>
      <w:bookmarkEnd w:id="8"/>
    </w:p>
    <w:sectPr w:rsidR="00407B9B" w:rsidRPr="00C67C21" w:rsidSect="006710F6">
      <w:headerReference w:type="default"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EE7" w:rsidRDefault="00F83EE7">
      <w:r>
        <w:separator/>
      </w:r>
    </w:p>
  </w:endnote>
  <w:endnote w:type="continuationSeparator" w:id="0">
    <w:p w:rsidR="00F83EE7" w:rsidRDefault="00F8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Pr="00653D52" w:rsidRDefault="00843D6F" w:rsidP="00653D52">
    <w:pPr>
      <w:pStyle w:val="Footer"/>
      <w:rPr>
        <w:lang w:val="en-US"/>
      </w:rPr>
    </w:pPr>
    <w:r>
      <w:fldChar w:fldCharType="begin"/>
    </w:r>
    <w:r>
      <w:instrText xml:space="preserve"> FILENAME \p  \* MERGEFORMAT </w:instrText>
    </w:r>
    <w:r>
      <w:fldChar w:fldCharType="separate"/>
    </w:r>
    <w:r w:rsidR="00F8482F">
      <w:t>P:\ESP\SG\CONSEIL\EG-ITR-1\000\006S.docx</w:t>
    </w:r>
    <w:r>
      <w:fldChar w:fldCharType="end"/>
    </w:r>
    <w:r w:rsidR="00653D52">
      <w:t xml:space="preserve"> (411802)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965A6A" w:rsidP="00655A9F">
    <w:pPr>
      <w:pStyle w:val="Footer"/>
      <w:rPr>
        <w:lang w:val="en-US"/>
      </w:rPr>
    </w:pPr>
    <w:fldSimple w:instr=" FILENAME \p  \* MERGEFORMAT ">
      <w:r w:rsidR="00F8482F">
        <w:t>P:\ESP\SG\CONSEIL\EG-ITR-1\000\006S.docx</w:t>
      </w:r>
    </w:fldSimple>
    <w:r w:rsidR="00D35723">
      <w:t xml:space="preserve"> (411802</w:t>
    </w:r>
    <w:r w:rsidR="00655A9F">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EE7" w:rsidRDefault="00F83EE7">
      <w:r>
        <w:t>____________________</w:t>
      </w:r>
    </w:p>
  </w:footnote>
  <w:footnote w:type="continuationSeparator" w:id="0">
    <w:p w:rsidR="00F83EE7" w:rsidRDefault="00F83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FD9" w:rsidRDefault="000B7C15" w:rsidP="00EA7FD9">
    <w:pPr>
      <w:pStyle w:val="Header"/>
      <w:rPr>
        <w:noProof/>
      </w:rPr>
    </w:pPr>
    <w:r>
      <w:fldChar w:fldCharType="begin"/>
    </w:r>
    <w:r>
      <w:instrText>PAGE</w:instrText>
    </w:r>
    <w:r>
      <w:fldChar w:fldCharType="separate"/>
    </w:r>
    <w:r w:rsidR="00843D6F">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C2EAF"/>
    <w:multiLevelType w:val="hybridMultilevel"/>
    <w:tmpl w:val="7CC623D8"/>
    <w:lvl w:ilvl="0" w:tplc="1EBC65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13FD4"/>
    <w:multiLevelType w:val="hybridMultilevel"/>
    <w:tmpl w:val="AE5222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10D4E"/>
    <w:multiLevelType w:val="hybridMultilevel"/>
    <w:tmpl w:val="C87A9930"/>
    <w:lvl w:ilvl="0" w:tplc="F09070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9BAF300">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022BE"/>
    <w:multiLevelType w:val="hybridMultilevel"/>
    <w:tmpl w:val="8EC6D446"/>
    <w:lvl w:ilvl="0" w:tplc="19A66168">
      <w:start w:val="1"/>
      <w:numFmt w:val="lowerLetter"/>
      <w:pStyle w:val="enumBodyCalibri"/>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957F20"/>
    <w:multiLevelType w:val="hybridMultilevel"/>
    <w:tmpl w:val="97B684EC"/>
    <w:lvl w:ilvl="0" w:tplc="F09070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9BAF300">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AA176F"/>
    <w:multiLevelType w:val="hybridMultilevel"/>
    <w:tmpl w:val="38044096"/>
    <w:lvl w:ilvl="0" w:tplc="328444D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EE7"/>
    <w:rsid w:val="000B0D00"/>
    <w:rsid w:val="000B7C15"/>
    <w:rsid w:val="000D1D0F"/>
    <w:rsid w:val="000F5290"/>
    <w:rsid w:val="0010165C"/>
    <w:rsid w:val="00146BFB"/>
    <w:rsid w:val="00177CE2"/>
    <w:rsid w:val="001F14A2"/>
    <w:rsid w:val="002801AA"/>
    <w:rsid w:val="002A6CE5"/>
    <w:rsid w:val="002C0A4D"/>
    <w:rsid w:val="002C4676"/>
    <w:rsid w:val="002C70B0"/>
    <w:rsid w:val="002F3CC4"/>
    <w:rsid w:val="00374835"/>
    <w:rsid w:val="00407B9B"/>
    <w:rsid w:val="004C5079"/>
    <w:rsid w:val="00513630"/>
    <w:rsid w:val="00515182"/>
    <w:rsid w:val="00560125"/>
    <w:rsid w:val="005817A9"/>
    <w:rsid w:val="00585553"/>
    <w:rsid w:val="00587A3A"/>
    <w:rsid w:val="005B34D9"/>
    <w:rsid w:val="005D0CCF"/>
    <w:rsid w:val="005F410F"/>
    <w:rsid w:val="0060149A"/>
    <w:rsid w:val="00601924"/>
    <w:rsid w:val="006447EA"/>
    <w:rsid w:val="0064731F"/>
    <w:rsid w:val="00653D52"/>
    <w:rsid w:val="00655A9F"/>
    <w:rsid w:val="006710F6"/>
    <w:rsid w:val="00693AD6"/>
    <w:rsid w:val="006C1B56"/>
    <w:rsid w:val="006D4761"/>
    <w:rsid w:val="00726872"/>
    <w:rsid w:val="00760F1C"/>
    <w:rsid w:val="007657F0"/>
    <w:rsid w:val="007E5DD3"/>
    <w:rsid w:val="007F350B"/>
    <w:rsid w:val="00820BE4"/>
    <w:rsid w:val="00843D6F"/>
    <w:rsid w:val="008451E8"/>
    <w:rsid w:val="00913B9C"/>
    <w:rsid w:val="00956E77"/>
    <w:rsid w:val="00965A6A"/>
    <w:rsid w:val="00A60CB4"/>
    <w:rsid w:val="00AA390C"/>
    <w:rsid w:val="00B0200A"/>
    <w:rsid w:val="00B574DB"/>
    <w:rsid w:val="00B65271"/>
    <w:rsid w:val="00B826C2"/>
    <w:rsid w:val="00B8298E"/>
    <w:rsid w:val="00B86D8D"/>
    <w:rsid w:val="00BC5B0A"/>
    <w:rsid w:val="00BD0723"/>
    <w:rsid w:val="00BD2518"/>
    <w:rsid w:val="00BF1D1C"/>
    <w:rsid w:val="00C20C59"/>
    <w:rsid w:val="00C55B1F"/>
    <w:rsid w:val="00C67C21"/>
    <w:rsid w:val="00CF1A67"/>
    <w:rsid w:val="00D2750E"/>
    <w:rsid w:val="00D35723"/>
    <w:rsid w:val="00D62446"/>
    <w:rsid w:val="00D9541A"/>
    <w:rsid w:val="00D967E2"/>
    <w:rsid w:val="00DA4EA2"/>
    <w:rsid w:val="00DC3D3E"/>
    <w:rsid w:val="00DE2C90"/>
    <w:rsid w:val="00DE3B24"/>
    <w:rsid w:val="00E06947"/>
    <w:rsid w:val="00E3592D"/>
    <w:rsid w:val="00E92DE8"/>
    <w:rsid w:val="00E944A3"/>
    <w:rsid w:val="00EA7FD9"/>
    <w:rsid w:val="00EB1212"/>
    <w:rsid w:val="00ED65AB"/>
    <w:rsid w:val="00F12850"/>
    <w:rsid w:val="00F33BF4"/>
    <w:rsid w:val="00F7105E"/>
    <w:rsid w:val="00F75F57"/>
    <w:rsid w:val="00F82FEE"/>
    <w:rsid w:val="00F83EE7"/>
    <w:rsid w:val="00F8482F"/>
    <w:rsid w:val="00FA33AF"/>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A3C2DFC-5850-462E-8FAF-20567482B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F83EE7"/>
    <w:pPr>
      <w:keepNext/>
      <w:overflowPunct/>
      <w:autoSpaceDE/>
      <w:autoSpaceDN/>
      <w:adjustRightInd/>
      <w:spacing w:before="560" w:after="120"/>
      <w:jc w:val="center"/>
      <w:textAlignment w:val="auto"/>
    </w:pPr>
    <w:rPr>
      <w:caps/>
      <w:lang w:val="en-GB"/>
    </w:rPr>
  </w:style>
  <w:style w:type="paragraph" w:styleId="ListParagraph">
    <w:name w:val="List Paragraph"/>
    <w:basedOn w:val="Normal"/>
    <w:uiPriority w:val="34"/>
    <w:qFormat/>
    <w:rsid w:val="005817A9"/>
    <w:pPr>
      <w:tabs>
        <w:tab w:val="clear" w:pos="567"/>
        <w:tab w:val="clear" w:pos="1134"/>
        <w:tab w:val="clear" w:pos="1701"/>
        <w:tab w:val="clear" w:pos="2268"/>
        <w:tab w:val="clear" w:pos="2835"/>
        <w:tab w:val="left" w:pos="794"/>
        <w:tab w:val="left" w:pos="1191"/>
        <w:tab w:val="left" w:pos="1588"/>
        <w:tab w:val="left" w:pos="1985"/>
      </w:tabs>
      <w:ind w:left="720"/>
      <w:contextualSpacing/>
    </w:pPr>
    <w:rPr>
      <w:rFonts w:ascii="Times New Roman" w:hAnsi="Times New Roman"/>
      <w:lang w:val="en-GB"/>
    </w:rPr>
  </w:style>
  <w:style w:type="paragraph" w:customStyle="1" w:styleId="enumBodyCalibri">
    <w:name w:val="enum + +Body (Calibri)"/>
    <w:aliases w:val="14 pt,(Complex) Bold"/>
    <w:basedOn w:val="ListParagraph"/>
    <w:rsid w:val="005817A9"/>
    <w:pPr>
      <w:numPr>
        <w:numId w:val="1"/>
      </w:numPr>
    </w:pPr>
    <w:rPr>
      <w:rFonts w:asciiTheme="minorHAnsi" w:hAnsiTheme="minorHAnsi"/>
      <w:bCs/>
      <w:sz w:val="28"/>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nandf\AppData\Roaming\Microsoft\Templates\POOL%20S%20-%20ITU\PS_C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782DA-E3CA-4CAA-9FBA-4AD47617C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PS_C17.dotm</Template>
  <TotalTime>70</TotalTime>
  <Pages>4</Pages>
  <Words>1554</Words>
  <Characters>8179</Characters>
  <Application>Microsoft Office Word</Application>
  <DocSecurity>0</DocSecurity>
  <Lines>149</Lines>
  <Paragraphs>63</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PROPUESTAS PARA LA PREPARACIÓN DEL INFORME FINAL DEL GRUPO DE EXPERTOS SOBRE EL REGLAMENTO DE LAS TELECOMUNICACIONES INTERNACIONALES (GE-RTI)</vt:lpstr>
    </vt:vector>
  </TitlesOfParts>
  <Manager>Secretaría General - Pool</Manager>
  <Company>Unión Internacional de Telecomunicaciones (UIT)</Company>
  <LinksUpToDate>false</LinksUpToDate>
  <CharactersWithSpaces>9695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PROPUESTAS PARA LA PREPARACIÓN DEL INFORME FINAL DEL GRUPO DE EXPERTOS SOBRE EL REGLAMENTO DE LAS TELECOMUNICACIONES INTERNACIONALES (GE-RTI)</dc:title>
  <dc:subject>Consejo 2010</dc:subject>
  <dc:creator>Comunidad Regional de Comunicaciones (CRC)</dc:creator>
  <cp:keywords>C2010, C10</cp:keywords>
  <dc:description>Documento EG-ITRs 1/6-S  Para: _x000d_Fecha del documento: 10 de enero de 2017_x000d_Registrado por ITU51007802 a 09:35:58 el 01/02/2017</dc:description>
  <cp:lastModifiedBy>FHernández</cp:lastModifiedBy>
  <cp:revision>16</cp:revision>
  <cp:lastPrinted>2017-01-31T14:07:00Z</cp:lastPrinted>
  <dcterms:created xsi:type="dcterms:W3CDTF">2017-01-31T10:40:00Z</dcterms:created>
  <dcterms:modified xsi:type="dcterms:W3CDTF">2017-02-01T08:35:00Z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EG-ITRs 1/6-S</vt:lpwstr>
  </property>
  <property fmtid="{D5CDD505-2E9C-101B-9397-08002B2CF9AE}" pid="3" name="Docdate">
    <vt:lpwstr>10 de enero de 2017</vt:lpwstr>
  </property>
  <property fmtid="{D5CDD505-2E9C-101B-9397-08002B2CF9AE}" pid="4" name="Docorlang">
    <vt:lpwstr>Original: ruso</vt:lpwstr>
  </property>
  <property fmtid="{D5CDD505-2E9C-101B-9397-08002B2CF9AE}" pid="5" name="Docbluepink">
    <vt:lpwstr>Grupo de Expertos sobre el Reglamento de las Telecomunicaciones Internacionales (GE-RTI)</vt:lpwstr>
  </property>
  <property fmtid="{D5CDD505-2E9C-101B-9397-08002B2CF9AE}" pid="6" name="Docdest">
    <vt:lpwstr/>
  </property>
  <property fmtid="{D5CDD505-2E9C-101B-9397-08002B2CF9AE}" pid="7" name="Docauthor">
    <vt:lpwstr>Comunidad Regional de Comunicaciones (CRC)</vt:lpwstr>
  </property>
</Properties>
</file>