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43927" w:rsidTr="00821479">
        <w:trPr>
          <w:cantSplit/>
        </w:trPr>
        <w:tc>
          <w:tcPr>
            <w:tcW w:w="6911" w:type="dxa"/>
          </w:tcPr>
          <w:p w:rsidR="00821479" w:rsidRPr="00543927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5439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543927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543927">
              <w:rPr>
                <w:noProof/>
                <w:lang w:val="en-US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E10D9A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543927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43927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5439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10D9A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543927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5439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43927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543927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543927" w:rsidRDefault="00821479" w:rsidP="0067528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>Документ EG-ITRs 1/</w:t>
            </w:r>
            <w:r w:rsidR="0067528A" w:rsidRPr="00543927">
              <w:rPr>
                <w:b/>
                <w:bCs/>
                <w:szCs w:val="22"/>
                <w:lang w:val="ru-RU"/>
              </w:rPr>
              <w:t>5</w:t>
            </w:r>
            <w:r w:rsidRPr="0054392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543927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5439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543927" w:rsidRDefault="0067528A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>10</w:t>
            </w:r>
            <w:r w:rsidR="00821479" w:rsidRPr="00543927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543927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5439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543927" w:rsidRDefault="00821479" w:rsidP="006752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7528A" w:rsidRPr="00543927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E10D9A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67528A" w:rsidP="0067528A">
            <w:pPr>
              <w:pStyle w:val="Source"/>
              <w:rPr>
                <w:lang w:val="ru-RU"/>
              </w:rPr>
            </w:pPr>
            <w:r w:rsidRPr="00543927">
              <w:rPr>
                <w:lang w:val="ru-RU"/>
              </w:rPr>
              <w:t>Региональное содружество в области связи</w:t>
            </w:r>
          </w:p>
        </w:tc>
      </w:tr>
      <w:tr w:rsidR="00821479" w:rsidRPr="00E10D9A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67528A" w:rsidP="00DC1BB8">
            <w:pPr>
              <w:pStyle w:val="Title1"/>
              <w:rPr>
                <w:lang w:val="ru-RU"/>
              </w:rPr>
            </w:pPr>
            <w:r w:rsidRPr="00543927">
              <w:rPr>
                <w:lang w:val="ru-RU"/>
              </w:rPr>
              <w:t>Предложения по пересмотру РМЭ 2012 ГОДА</w:t>
            </w:r>
          </w:p>
        </w:tc>
      </w:tr>
      <w:tr w:rsidR="00821479" w:rsidRPr="00E10D9A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67528A" w:rsidRPr="00543927" w:rsidRDefault="0067528A" w:rsidP="0067528A">
      <w:pPr>
        <w:pStyle w:val="Headingb"/>
        <w:rPr>
          <w:lang w:val="ru-RU"/>
        </w:rPr>
      </w:pPr>
      <w:r w:rsidRPr="00543927">
        <w:rPr>
          <w:lang w:val="ru-RU"/>
        </w:rPr>
        <w:t>Введение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 xml:space="preserve">Всемирная конференция по международной электросвязи (ВКМЭ) 2012 года (Дубай, ОАЭ) пересмотрела Регламент международной электросвязи (РМЭ) 1988 года. </w:t>
      </w:r>
    </w:p>
    <w:p w:rsidR="0067528A" w:rsidRPr="00543927" w:rsidRDefault="00D429B0" w:rsidP="00D429B0">
      <w:pPr>
        <w:rPr>
          <w:lang w:val="ru-RU"/>
        </w:rPr>
      </w:pPr>
      <w:r w:rsidRPr="00543927">
        <w:rPr>
          <w:lang w:val="ru-RU"/>
        </w:rPr>
        <w:t>Однако</w:t>
      </w:r>
      <w:r w:rsidR="0067528A" w:rsidRPr="00543927">
        <w:rPr>
          <w:lang w:val="ru-RU"/>
        </w:rPr>
        <w:t xml:space="preserve"> в связи с тем, что до 2012 года РМЭ не пересматривался на протяжении 24 лет, ВКМЭ в силу объективных причин не успела в достаточной степени обсудить и прийти к компромиссу по всем поступившим предложениям от Государств-Членов и Членов Секторов МСЭ и учесть все современные тенденции в электросвязи. 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 xml:space="preserve">В этой связи в настоящее время сохраняется прекрасная возможность на основании поступивших вкладов от Государств-Членов и Членов Секторов рассмотреть и обобщить информацию по вопросам, не нашедших достаточного отражения в РМЭ 2012 года и представить ее в Заключительном отчете Группы экспертов по Регламенту международной электросвязи (ГЭ-РМЭ) Совету 2018 года для рассмотрения в интересах достижения необходимого прогресса в вопросе пересмотра РМЭ 2012 года. </w:t>
      </w:r>
    </w:p>
    <w:p w:rsidR="0067528A" w:rsidRPr="00543927" w:rsidRDefault="0067528A" w:rsidP="0067528A">
      <w:pPr>
        <w:pStyle w:val="Headingb"/>
        <w:rPr>
          <w:lang w:val="ru-RU"/>
        </w:rPr>
      </w:pPr>
      <w:r w:rsidRPr="00543927">
        <w:rPr>
          <w:lang w:val="ru-RU"/>
        </w:rPr>
        <w:t>Предложения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 xml:space="preserve">Учитывая изложенное, а также принимая во внимание мандат ГЭ-РМЭ полагаем целесообразным рассмотреть следующие предложения </w:t>
      </w:r>
      <w:r w:rsidRPr="00543927">
        <w:rPr>
          <w:bCs/>
          <w:lang w:val="ru-RU"/>
        </w:rPr>
        <w:t>Регионального содружества в области связи</w:t>
      </w:r>
      <w:r w:rsidRPr="00543927">
        <w:rPr>
          <w:lang w:val="ru-RU"/>
        </w:rPr>
        <w:t>.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I</w:t>
      </w:r>
      <w:r w:rsidRPr="00543927">
        <w:rPr>
          <w:lang w:val="ru-RU"/>
        </w:rPr>
        <w:tab/>
        <w:t>В качестве основного подхода по пересмотру РМЭ предлагается рассматривать основной текст Регламента 2012</w:t>
      </w:r>
      <w:r w:rsidR="00543927" w:rsidRPr="00543927">
        <w:rPr>
          <w:lang w:val="ru-RU"/>
        </w:rPr>
        <w:t xml:space="preserve"> года</w:t>
      </w:r>
      <w:r w:rsidRPr="00543927">
        <w:rPr>
          <w:lang w:val="ru-RU"/>
        </w:rPr>
        <w:t xml:space="preserve"> в качестве базового, который должен содержать основные положения высокого уровня. Тексты, содержащиеся в действующих Приложениях (англ. – Appendix), а также, возможно, новых приложениях (Annex) будущего РМЭ, должны раскрывать основные положения соответствующих статей РМЭ, а также отражать соответствующих прогресс в работе МСЭ-Т по каждому из направлений работы и нормы соответствующих Рекомендаций МСЭ-Т.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II</w:t>
      </w:r>
      <w:r w:rsidRPr="00543927">
        <w:rPr>
          <w:lang w:val="ru-RU"/>
        </w:rPr>
        <w:tab/>
        <w:t xml:space="preserve">В качестве наиболее приоритетных направлений пересмотра РМЭ 2012 года, которые требуют уточнения в будущем РМЭ, предлагаем выделить следующие вопросы: 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1</w:t>
      </w:r>
      <w:r w:rsidRPr="00543927">
        <w:rPr>
          <w:lang w:val="ru-RU"/>
        </w:rPr>
        <w:tab/>
        <w:t>Статья 2 "Определения"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Уточнить определения субъектов РМЭ помимо Государств-Членов, а именно: "уполномоченные эксплуатационные организации"</w:t>
      </w:r>
      <w:r w:rsidRPr="00543927">
        <w:rPr>
          <w:rStyle w:val="FootnoteReference"/>
          <w:lang w:val="ru-RU"/>
        </w:rPr>
        <w:footnoteReference w:id="1"/>
      </w:r>
      <w:r w:rsidRPr="00543927">
        <w:rPr>
          <w:lang w:val="ru-RU"/>
        </w:rPr>
        <w:t xml:space="preserve"> и "эксплуатационные организации", а также их трактовку в соответствии с подпунктом </w:t>
      </w:r>
      <w:r w:rsidRPr="00543927">
        <w:rPr>
          <w:i/>
          <w:lang w:val="ru-RU"/>
        </w:rPr>
        <w:t>c)</w:t>
      </w:r>
      <w:r w:rsidRPr="00543927">
        <w:rPr>
          <w:lang w:val="ru-RU"/>
        </w:rPr>
        <w:t xml:space="preserve"> Статьи 5 Устава (36/У).</w:t>
      </w:r>
    </w:p>
    <w:p w:rsidR="0067528A" w:rsidRPr="00543927" w:rsidRDefault="0067528A" w:rsidP="0067528A">
      <w:pPr>
        <w:keepNext/>
        <w:keepLines/>
        <w:rPr>
          <w:lang w:val="ru-RU"/>
        </w:rPr>
      </w:pPr>
      <w:r w:rsidRPr="00543927">
        <w:rPr>
          <w:lang w:val="ru-RU"/>
        </w:rPr>
        <w:lastRenderedPageBreak/>
        <w:t>Рассмотреть новые, необходимые к внесению в РМЭ, определения, такие как: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международная сеть;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ресурсы нумерации, наименования, адресации и идентификации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незапрашиваемые массовые электронные сообщения (СПАМ);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международный роуминг;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 xml:space="preserve">ненадлежащее использование – мошенничество (действия, связанные с незаконным присвоением и использованием ресурсов нумерации, наименования, адресации и идентификации международной электросвязи, манипуляциями с </w:t>
      </w:r>
      <w:r w:rsidRPr="00543927">
        <w:rPr>
          <w:bCs/>
          <w:lang w:val="ru-RU"/>
        </w:rPr>
        <w:t>доставкой номера вызывающего абонента, идентификацией линии вызывающего абонента и идентификацией происхождения</w:t>
      </w:r>
      <w:r w:rsidRPr="00543927">
        <w:rPr>
          <w:lang w:val="ru-RU"/>
        </w:rPr>
        <w:t>);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региональный пункт обмена трафиком;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ОТТ и пр.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2</w:t>
      </w:r>
      <w:r w:rsidRPr="00543927">
        <w:rPr>
          <w:lang w:val="ru-RU"/>
        </w:rPr>
        <w:tab/>
        <w:t>Статья 3 "Международная сеть"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противодействие неправомерному присвоению и использованию ресурсов нумерации, наименования, адресации и идентификации международной электросвязи и борьба с их неправомерным присвоением и использованием;</w:t>
      </w:r>
      <w:bookmarkStart w:id="2" w:name="_Toc349120772"/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наименование доменов верхнего уровня, имеющих код страны;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соответствие и функциональная совместимость сетей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доставка номера вызывающего абонента, идентификации линии вызывающего абонента и идентификации происхождения;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право Государства-Члена знать, какие международные маршруты используются для пропуска трафика;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завершение трафика и обмен трафиком услуг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организация, эксплуатация и защита каналов и оборудования электросвязи (положения Статьи 38 Устава (186−189A/У), пункты 3.7−3.11);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принципы управления трафиком;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обеспечение конфиденциальности сообщений международной электросвязи и связанного с ними трафика.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3</w:t>
      </w:r>
      <w:r w:rsidRPr="00543927">
        <w:rPr>
          <w:lang w:val="ru-RU"/>
        </w:rPr>
        <w:tab/>
        <w:t>Статья 4 "Услуги международной электросвязи"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альтернативные процедуры вызова в международных сетях электросвязи</w:t>
      </w:r>
      <w:bookmarkEnd w:id="2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ОТТ;</w:t>
      </w:r>
    </w:p>
    <w:p w:rsidR="0067528A" w:rsidRPr="00543927" w:rsidRDefault="0067528A" w:rsidP="00543927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 xml:space="preserve">классификация услуг международной электросвязи, к которым применяется требование п. 6.3 (42J "Налогообложение", </w:t>
      </w:r>
      <w:hyperlink r:id="rId8" w:tgtFrame="_blank" w:history="1">
        <w:r w:rsidRPr="00543927">
          <w:rPr>
            <w:rStyle w:val="Hyperlink"/>
            <w:lang w:val="ru-RU"/>
          </w:rPr>
          <w:t>Signed version</w:t>
        </w:r>
      </w:hyperlink>
      <w:r w:rsidRPr="00543927">
        <w:rPr>
          <w:lang w:val="ru-RU"/>
        </w:rPr>
        <w:t xml:space="preserve"> (</w:t>
      </w:r>
      <w:r w:rsidR="00D429B0" w:rsidRPr="00543927">
        <w:rPr>
          <w:lang w:val="ru-RU"/>
        </w:rPr>
        <w:t>Дубай</w:t>
      </w:r>
      <w:r w:rsidRPr="00543927">
        <w:rPr>
          <w:lang w:val="ru-RU"/>
        </w:rPr>
        <w:t xml:space="preserve">, 14 </w:t>
      </w:r>
      <w:r w:rsidR="00D429B0" w:rsidRPr="00543927">
        <w:rPr>
          <w:lang w:val="ru-RU"/>
        </w:rPr>
        <w:t>декабря</w:t>
      </w:r>
      <w:r w:rsidRPr="00543927">
        <w:rPr>
          <w:lang w:val="ru-RU"/>
        </w:rPr>
        <w:t xml:space="preserve"> 2012</w:t>
      </w:r>
      <w:r w:rsidR="00D429B0" w:rsidRPr="00543927">
        <w:rPr>
          <w:lang w:val="ru-RU"/>
        </w:rPr>
        <w:t> г.</w:t>
      </w:r>
      <w:r w:rsidRPr="00543927">
        <w:rPr>
          <w:lang w:val="ru-RU"/>
        </w:rPr>
        <w:t>)</w:t>
      </w:r>
      <w:r w:rsidR="00D429B0" w:rsidRPr="00543927">
        <w:rPr>
          <w:lang w:val="ru-RU"/>
        </w:rPr>
        <w:t>)</w:t>
      </w:r>
      <w:r w:rsidRPr="00543927">
        <w:rPr>
          <w:lang w:val="ru-RU"/>
        </w:rPr>
        <w:t>. Например: услуги по пропуску трафика; услуги электросвязи в роуминге (международный роуминг); услуги по предоставлению каналов электросвязи в любой форме;</w:t>
      </w:r>
      <w:r w:rsidR="00543927" w:rsidRPr="00543927">
        <w:rPr>
          <w:lang w:val="ru-RU"/>
        </w:rPr>
        <w:t xml:space="preserve"> </w:t>
      </w:r>
      <w:r w:rsidRPr="00543927">
        <w:rPr>
          <w:lang w:val="ru-RU"/>
        </w:rPr>
        <w:t xml:space="preserve">услуги международной телеграфной службы общего пользования; услуги международной службы телекса; телематические услуги электросвязи; конвергентные услуги электросвязи; 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защита пользователей услуг международной электросвязи, включая вопросы качества обслуживания, тайны связи и защиты персональных данных;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международный роуминг;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услуги интернета вещей и умных городов и сообществ;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соответствие и функциональная совместимость услуг международной электросвязи;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услуги международной электросвязи с заданным качеством.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4</w:t>
      </w:r>
      <w:r w:rsidRPr="00543927">
        <w:rPr>
          <w:lang w:val="ru-RU"/>
        </w:rPr>
        <w:tab/>
        <w:t>Статья 5 "Безопасность человеческой жизни и приоритеты электросвязи"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согласование на глобальном уровне национальных номеров для доступа к экстренным оперативным службам;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обеспечение доступности вызова экстренных оперативных служб пользователям из различных регионов, включая вопросы пребывания в роуминге при использовании сетей передачи данных.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5</w:t>
      </w:r>
      <w:r w:rsidRPr="00543927">
        <w:rPr>
          <w:lang w:val="ru-RU"/>
        </w:rPr>
        <w:tab/>
        <w:t>Статья 5В "Незапрашиваемые массовые электронные сообщения"</w:t>
      </w:r>
    </w:p>
    <w:p w:rsidR="0067528A" w:rsidRPr="00543927" w:rsidRDefault="0067528A" w:rsidP="00D429B0">
      <w:pPr>
        <w:rPr>
          <w:bCs/>
          <w:lang w:val="ru-RU"/>
        </w:rPr>
      </w:pPr>
      <w:r w:rsidRPr="00543927">
        <w:rPr>
          <w:bCs/>
          <w:lang w:val="ru-RU"/>
        </w:rPr>
        <w:t>В рамках рассмотрения вопроса включения нового определения в Статью 2 по этому вопросу целесообразно изменить название данной Статьи на новое – "Спам" или изложить его в следующей редакции: "</w:t>
      </w:r>
      <w:r w:rsidRPr="00543927">
        <w:rPr>
          <w:lang w:val="ru-RU"/>
        </w:rPr>
        <w:t>Незапрашиваемые массовые электронные сообщения</w:t>
      </w:r>
      <w:r w:rsidRPr="00543927">
        <w:rPr>
          <w:bCs/>
          <w:lang w:val="ru-RU"/>
        </w:rPr>
        <w:t>, спам".</w:t>
      </w:r>
    </w:p>
    <w:p w:rsidR="0067528A" w:rsidRPr="00543927" w:rsidRDefault="0067528A" w:rsidP="0067528A">
      <w:pPr>
        <w:rPr>
          <w:bCs/>
          <w:lang w:val="ru-RU"/>
        </w:rPr>
      </w:pPr>
      <w:r w:rsidRPr="00543927">
        <w:rPr>
          <w:lang w:val="ru-RU"/>
        </w:rPr>
        <w:t xml:space="preserve">Необходимо дополнить текст Статьи, либо вынести в соответствующее Приложение (Annex), следующий вопрос – </w:t>
      </w:r>
      <w:bookmarkStart w:id="3" w:name="_Toc349120787"/>
      <w:r w:rsidRPr="00543927">
        <w:rPr>
          <w:bCs/>
          <w:lang w:val="ru-RU"/>
        </w:rPr>
        <w:t>противодействие распространению спама и борьба со спамом</w:t>
      </w:r>
      <w:bookmarkEnd w:id="3"/>
      <w:r w:rsidRPr="00543927">
        <w:rPr>
          <w:bCs/>
          <w:lang w:val="ru-RU"/>
        </w:rPr>
        <w:t>.</w:t>
      </w:r>
    </w:p>
    <w:p w:rsidR="0067528A" w:rsidRPr="00543927" w:rsidRDefault="0067528A" w:rsidP="0067528A">
      <w:pPr>
        <w:pStyle w:val="Heading1"/>
        <w:rPr>
          <w:bCs/>
          <w:lang w:val="ru-RU"/>
        </w:rPr>
      </w:pPr>
      <w:r w:rsidRPr="00543927">
        <w:rPr>
          <w:lang w:val="ru-RU"/>
        </w:rPr>
        <w:t>6</w:t>
      </w:r>
      <w:r w:rsidRPr="00543927">
        <w:rPr>
          <w:lang w:val="ru-RU"/>
        </w:rPr>
        <w:tab/>
        <w:t>Статья 6 "Тарификация и расчеты"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 и вынести в соответствующие Приложения (Annex) 1 и/или 2,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общие принципы тарификации и взаиморасчетов за услуги международной электросвязи;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взаиморасчеты за услуги международной электросвязи в роуминге;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избежание двойного налогообложения;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урегулирование разногласий.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7</w:t>
      </w:r>
      <w:r w:rsidRPr="00543927">
        <w:rPr>
          <w:lang w:val="ru-RU"/>
        </w:rPr>
        <w:tab/>
        <w:t>Статья 7 "Временное прекращение услуг"</w:t>
      </w:r>
    </w:p>
    <w:p w:rsidR="0067528A" w:rsidRPr="00543927" w:rsidRDefault="0067528A" w:rsidP="00D429B0">
      <w:pPr>
        <w:rPr>
          <w:bCs/>
          <w:lang w:val="ru-RU"/>
        </w:rPr>
      </w:pPr>
      <w:r w:rsidRPr="00543927">
        <w:rPr>
          <w:bCs/>
          <w:lang w:val="ru-RU"/>
        </w:rPr>
        <w:t>Целесообразно изложить название данной Статьи в следующей редакции: "</w:t>
      </w:r>
      <w:r w:rsidRPr="00543927">
        <w:rPr>
          <w:lang w:val="ru-RU"/>
        </w:rPr>
        <w:t>Прекращение услуг и остановка электросвязи</w:t>
      </w:r>
      <w:r w:rsidRPr="00543927">
        <w:rPr>
          <w:bCs/>
          <w:lang w:val="ru-RU"/>
        </w:rPr>
        <w:t>".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приостановка оказания услуг электросвязи в целях обеспечения требований Статьи 5 РМЭ 2012</w:t>
      </w:r>
      <w:r w:rsidR="00D429B0" w:rsidRPr="00543927">
        <w:rPr>
          <w:lang w:val="ru-RU"/>
        </w:rPr>
        <w:t xml:space="preserve"> года</w:t>
      </w:r>
      <w:r w:rsidRPr="00543927">
        <w:rPr>
          <w:lang w:val="ru-RU"/>
        </w:rPr>
        <w:t xml:space="preserve"> по предоставлению приоритета международной электросвязи, в особенности для обеспечения человеческой жизни;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приостановка оказания услуг электросвязи в целях обеспечения требований национального законодательства Государств-Членов в области безопасности по недопущению распространения сообщений, которые могут представлять угрозу безопасности Государства-Члена или противоречить его законам, общественному порядку или правилам приличия;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прекращение услуг электросвязи (услуги, оказание которых больше не поддерживается).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8</w:t>
      </w:r>
      <w:r w:rsidRPr="00543927">
        <w:rPr>
          <w:lang w:val="ru-RU"/>
        </w:rPr>
        <w:tab/>
        <w:t>Статья 8А "Энергоэффективность/электронные отходы"</w:t>
      </w:r>
    </w:p>
    <w:p w:rsidR="0067528A" w:rsidRPr="00543927" w:rsidRDefault="0067528A" w:rsidP="00D429B0">
      <w:pPr>
        <w:rPr>
          <w:bCs/>
          <w:lang w:val="ru-RU"/>
        </w:rPr>
      </w:pPr>
      <w:r w:rsidRPr="00543927">
        <w:rPr>
          <w:bCs/>
          <w:lang w:val="ru-RU"/>
        </w:rPr>
        <w:t>Целесообразно изложить название данной Статьи в следующей редакции: "Энергоэффективность, электронные отходы и окружающая среда".</w:t>
      </w:r>
    </w:p>
    <w:p w:rsidR="0067528A" w:rsidRPr="00543927" w:rsidRDefault="0067528A" w:rsidP="00D429B0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bookmarkStart w:id="4" w:name="_Toc349120805"/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электросвязь, окружающая среда и изменение климата</w:t>
      </w:r>
      <w:bookmarkEnd w:id="4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роль электросвязи в переработке и контроле электронных отходов от оборудования электросвязи и информационных технологий, а также методы их обработки.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9</w:t>
      </w:r>
      <w:r w:rsidRPr="00543927">
        <w:rPr>
          <w:lang w:val="ru-RU"/>
        </w:rPr>
        <w:tab/>
        <w:t>Статья 8B "Доступность"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(Annex),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bookmarkStart w:id="5" w:name="_Toc349120801"/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доступ Государств-Членов, "уполномоченных эксплуатационных организаций" и пользователей к ресурсам интернета и электросвязи и/или информационно-коммуникационных технологий и их использование на недискриминационной основе</w:t>
      </w:r>
      <w:bookmarkEnd w:id="5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интернационализированные (многоязычные) наименования доменов.</w:t>
      </w:r>
    </w:p>
    <w:p w:rsidR="009B0766" w:rsidRPr="00543927" w:rsidRDefault="00821479" w:rsidP="00821479">
      <w:pPr>
        <w:spacing w:before="480"/>
        <w:jc w:val="center"/>
        <w:rPr>
          <w:lang w:val="ru-RU"/>
        </w:rPr>
      </w:pPr>
      <w:r w:rsidRPr="00543927">
        <w:rPr>
          <w:lang w:val="ru-RU"/>
        </w:rPr>
        <w:t>______________</w:t>
      </w:r>
    </w:p>
    <w:sectPr w:rsidR="009B0766" w:rsidRPr="00543927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67528A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543927">
      <w:rPr>
        <w:lang w:val="fr-CH"/>
      </w:rPr>
      <w:t>P:\RUS\SG\CONSEIL\EG-ITR-1\000\005R.docx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67528A" w:rsidRPr="00E10D9A">
      <w:rPr>
        <w:lang w:val="fr-CH"/>
      </w:rPr>
      <w:t>411797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D9A">
      <w:t>02.02.17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927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67528A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543927">
      <w:rPr>
        <w:lang w:val="fr-CH"/>
      </w:rPr>
      <w:t>P:\RUS\SG\CONSEIL\EG-ITR-1\000\005R.docx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67528A" w:rsidRPr="00E10D9A">
      <w:rPr>
        <w:lang w:val="fr-CH"/>
      </w:rPr>
      <w:t>411797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D9A">
      <w:t>02.02.17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927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  <w:footnote w:id="1">
    <w:p w:rsidR="0067528A" w:rsidRPr="0067528A" w:rsidRDefault="0067528A" w:rsidP="0067528A">
      <w:pPr>
        <w:pStyle w:val="FootnoteText"/>
        <w:rPr>
          <w:lang w:val="ru-RU"/>
        </w:rPr>
      </w:pPr>
      <w:r w:rsidRPr="0067528A">
        <w:rPr>
          <w:rStyle w:val="FootnoteReference"/>
          <w:lang w:val="ru-RU"/>
        </w:rPr>
        <w:footnoteRef/>
      </w:r>
      <w:r w:rsidRPr="0067528A">
        <w:rPr>
          <w:lang w:val="ru-RU"/>
        </w:rPr>
        <w:tab/>
        <w:t>Здесь и далее термин приводится в кавычках, как термин, применяющийся только в РМЭ 2012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10D9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43927"/>
    <w:rsid w:val="005A64D5"/>
    <w:rsid w:val="005F54EB"/>
    <w:rsid w:val="00601994"/>
    <w:rsid w:val="006077E5"/>
    <w:rsid w:val="00626678"/>
    <w:rsid w:val="0067528A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F629C"/>
    <w:rsid w:val="00D1411E"/>
    <w:rsid w:val="00D36D92"/>
    <w:rsid w:val="00D429B0"/>
    <w:rsid w:val="00D92EEA"/>
    <w:rsid w:val="00DA5D4E"/>
    <w:rsid w:val="00DC1BB8"/>
    <w:rsid w:val="00DE14AF"/>
    <w:rsid w:val="00E10D9A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wcit-12/Documents/final-acts-wcit-1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4</Pages>
  <Words>975</Words>
  <Characters>7256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8215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2017-01-31T10:04:00Z</cp:lastPrinted>
  <dcterms:created xsi:type="dcterms:W3CDTF">2017-02-03T07:21:00Z</dcterms:created>
  <dcterms:modified xsi:type="dcterms:W3CDTF">2017-02-03T07:21:00Z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