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FE5A0" w14:textId="77777777" w:rsidR="00B915C1" w:rsidRDefault="00B915C1" w:rsidP="00B915C1">
      <w:pPr>
        <w:rPr>
          <w:rFonts w:cs="Arial"/>
          <w:sz w:val="20"/>
          <w:szCs w:val="20"/>
        </w:rPr>
      </w:pPr>
      <w:bookmarkStart w:id="0" w:name="_GoBack"/>
      <w:bookmarkEnd w:id="0"/>
    </w:p>
    <w:tbl>
      <w:tblPr>
        <w:tblpPr w:leftFromText="181" w:rightFromText="181" w:horzAnchor="margin" w:tblpY="-674"/>
        <w:tblW w:w="10206" w:type="dxa"/>
        <w:tblLayout w:type="fixed"/>
        <w:tblLook w:val="0000" w:firstRow="0" w:lastRow="0" w:firstColumn="0" w:lastColumn="0" w:noHBand="0" w:noVBand="0"/>
      </w:tblPr>
      <w:tblGrid>
        <w:gridCol w:w="5954"/>
        <w:gridCol w:w="4252"/>
      </w:tblGrid>
      <w:tr w:rsidR="005F153A" w14:paraId="685A2700" w14:textId="77777777" w:rsidTr="00B761FE">
        <w:trPr>
          <w:cantSplit/>
        </w:trPr>
        <w:tc>
          <w:tcPr>
            <w:tcW w:w="5954" w:type="dxa"/>
          </w:tcPr>
          <w:p w14:paraId="10F8D3AA" w14:textId="77777777" w:rsidR="004E5922" w:rsidRDefault="000F2E67" w:rsidP="000E654D">
            <w:pPr>
              <w:spacing w:before="0" w:after="0"/>
              <w:jc w:val="left"/>
              <w:rPr>
                <w:b/>
                <w:position w:val="6"/>
                <w:sz w:val="30"/>
                <w:szCs w:val="30"/>
              </w:rPr>
            </w:pPr>
            <w:bookmarkStart w:id="1" w:name="dc06"/>
            <w:bookmarkEnd w:id="1"/>
            <w:r w:rsidRPr="000F2E67">
              <w:rPr>
                <w:b/>
                <w:position w:val="6"/>
                <w:sz w:val="30"/>
                <w:szCs w:val="30"/>
              </w:rPr>
              <w:t xml:space="preserve">Council Working Group </w:t>
            </w:r>
            <w:r w:rsidR="00131780">
              <w:rPr>
                <w:b/>
                <w:position w:val="6"/>
                <w:sz w:val="30"/>
                <w:szCs w:val="30"/>
              </w:rPr>
              <w:t>for</w:t>
            </w:r>
            <w:r w:rsidRPr="000F2E67">
              <w:rPr>
                <w:b/>
                <w:position w:val="6"/>
                <w:sz w:val="30"/>
                <w:szCs w:val="30"/>
              </w:rPr>
              <w:br/>
            </w:r>
            <w:r w:rsidR="00131780">
              <w:rPr>
                <w:b/>
                <w:position w:val="6"/>
                <w:sz w:val="30"/>
                <w:szCs w:val="30"/>
              </w:rPr>
              <w:t>Strategic and Financial Plans 2020-2023</w:t>
            </w:r>
          </w:p>
          <w:p w14:paraId="34DCDE80" w14:textId="77777777" w:rsidR="005F153A" w:rsidRPr="00D613F6" w:rsidRDefault="00131780" w:rsidP="000E654D">
            <w:pPr>
              <w:spacing w:before="0" w:after="0"/>
              <w:rPr>
                <w:b/>
                <w:position w:val="6"/>
                <w:sz w:val="26"/>
                <w:szCs w:val="26"/>
              </w:rPr>
            </w:pPr>
            <w:r>
              <w:rPr>
                <w:rFonts w:cs="Times New Roman Bold"/>
                <w:b/>
                <w:sz w:val="24"/>
              </w:rPr>
              <w:t>Second</w:t>
            </w:r>
            <w:r w:rsidR="001B506B">
              <w:rPr>
                <w:rFonts w:cs="Times New Roman Bold"/>
                <w:b/>
                <w:sz w:val="24"/>
              </w:rPr>
              <w:t xml:space="preserve"> meeting</w:t>
            </w:r>
            <w:r w:rsidR="001B506B" w:rsidRPr="001B506B">
              <w:rPr>
                <w:rFonts w:cs="Times New Roman Bold"/>
                <w:b/>
                <w:sz w:val="24"/>
              </w:rPr>
              <w:t xml:space="preserve"> </w:t>
            </w:r>
            <w:r w:rsidR="001B506B" w:rsidRPr="001B506B">
              <w:rPr>
                <w:rFonts w:ascii="Calibri" w:eastAsia="Calibri" w:hAnsi="Calibri" w:cs="Calibri"/>
                <w:b/>
                <w:color w:val="000000"/>
                <w:sz w:val="24"/>
              </w:rPr>
              <w:t>–</w:t>
            </w:r>
            <w:r w:rsidR="005F153A" w:rsidRPr="000F2E67">
              <w:rPr>
                <w:rFonts w:cs="Times New Roman Bold"/>
                <w:b/>
                <w:sz w:val="24"/>
              </w:rPr>
              <w:t xml:space="preserve"> Geneva, </w:t>
            </w:r>
            <w:r>
              <w:rPr>
                <w:rFonts w:cs="Times New Roman Bold"/>
                <w:b/>
                <w:sz w:val="24"/>
              </w:rPr>
              <w:t>11-12</w:t>
            </w:r>
            <w:r w:rsidR="000F2E67" w:rsidRPr="000F2E67">
              <w:rPr>
                <w:rFonts w:cs="Times New Roman Bold"/>
                <w:b/>
                <w:sz w:val="24"/>
              </w:rPr>
              <w:t xml:space="preserve"> September</w:t>
            </w:r>
            <w:r w:rsidR="005F153A" w:rsidRPr="000F2E67">
              <w:rPr>
                <w:rFonts w:cs="Times New Roman Bold"/>
                <w:b/>
                <w:sz w:val="24"/>
              </w:rPr>
              <w:t xml:space="preserve"> 2017</w:t>
            </w:r>
          </w:p>
        </w:tc>
        <w:tc>
          <w:tcPr>
            <w:tcW w:w="4252" w:type="dxa"/>
          </w:tcPr>
          <w:p w14:paraId="1850A1C1" w14:textId="77777777" w:rsidR="005F153A" w:rsidRPr="00D613F6" w:rsidRDefault="005F153A" w:rsidP="000E654D">
            <w:pPr>
              <w:spacing w:before="0" w:after="0" w:line="240" w:lineRule="atLeast"/>
            </w:pPr>
            <w:bookmarkStart w:id="2" w:name="ditulogo"/>
            <w:bookmarkEnd w:id="2"/>
            <w:r>
              <w:rPr>
                <w:noProof/>
              </w:rPr>
              <w:drawing>
                <wp:inline distT="0" distB="0" distL="0" distR="0" wp14:anchorId="4A485E11" wp14:editId="554D95FB">
                  <wp:extent cx="1765300" cy="7442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0" cy="744220"/>
                          </a:xfrm>
                          <a:prstGeom prst="rect">
                            <a:avLst/>
                          </a:prstGeom>
                          <a:noFill/>
                          <a:ln>
                            <a:noFill/>
                          </a:ln>
                        </pic:spPr>
                      </pic:pic>
                    </a:graphicData>
                  </a:graphic>
                </wp:inline>
              </w:drawing>
            </w:r>
          </w:p>
        </w:tc>
      </w:tr>
      <w:tr w:rsidR="005F153A" w:rsidRPr="00617BE4" w14:paraId="352A4EBC" w14:textId="77777777" w:rsidTr="00B761FE">
        <w:trPr>
          <w:cantSplit/>
        </w:trPr>
        <w:tc>
          <w:tcPr>
            <w:tcW w:w="5954" w:type="dxa"/>
            <w:tcBorders>
              <w:top w:val="single" w:sz="12" w:space="0" w:color="auto"/>
            </w:tcBorders>
          </w:tcPr>
          <w:p w14:paraId="65972C8D" w14:textId="77777777" w:rsidR="005F153A" w:rsidRPr="00D613F6" w:rsidRDefault="005F153A" w:rsidP="000E654D">
            <w:pPr>
              <w:snapToGrid w:val="0"/>
              <w:spacing w:before="0" w:after="0"/>
              <w:rPr>
                <w:b/>
                <w:smallCaps/>
              </w:rPr>
            </w:pPr>
          </w:p>
        </w:tc>
        <w:tc>
          <w:tcPr>
            <w:tcW w:w="4252" w:type="dxa"/>
            <w:tcBorders>
              <w:top w:val="single" w:sz="12" w:space="0" w:color="auto"/>
            </w:tcBorders>
          </w:tcPr>
          <w:p w14:paraId="7394F93B" w14:textId="77777777" w:rsidR="005F153A" w:rsidRPr="00D613F6" w:rsidRDefault="005F153A" w:rsidP="000E654D">
            <w:pPr>
              <w:snapToGrid w:val="0"/>
              <w:spacing w:before="0" w:after="0"/>
              <w:ind w:left="209"/>
              <w:rPr>
                <w:rFonts w:ascii="Verdana" w:hAnsi="Verdana"/>
              </w:rPr>
            </w:pPr>
          </w:p>
        </w:tc>
      </w:tr>
      <w:tr w:rsidR="005F153A" w:rsidRPr="00131780" w14:paraId="04D8425B" w14:textId="77777777" w:rsidTr="00B761FE">
        <w:trPr>
          <w:cantSplit/>
          <w:trHeight w:val="23"/>
        </w:trPr>
        <w:tc>
          <w:tcPr>
            <w:tcW w:w="5954" w:type="dxa"/>
            <w:vMerge w:val="restart"/>
          </w:tcPr>
          <w:p w14:paraId="331B5757" w14:textId="77777777" w:rsidR="005F153A" w:rsidRPr="00D613F6" w:rsidRDefault="005F153A" w:rsidP="000E654D">
            <w:pPr>
              <w:snapToGrid w:val="0"/>
              <w:spacing w:before="0" w:after="0"/>
              <w:rPr>
                <w:b/>
              </w:rPr>
            </w:pPr>
            <w:bookmarkStart w:id="3" w:name="dmeeting" w:colFirst="0" w:colLast="0"/>
            <w:bookmarkStart w:id="4" w:name="dnum" w:colFirst="1" w:colLast="1"/>
          </w:p>
        </w:tc>
        <w:tc>
          <w:tcPr>
            <w:tcW w:w="4252" w:type="dxa"/>
          </w:tcPr>
          <w:p w14:paraId="3AF284AA" w14:textId="5D91A439" w:rsidR="005F153A" w:rsidRPr="000F2E67" w:rsidRDefault="0043749C" w:rsidP="00B761FE">
            <w:pPr>
              <w:snapToGrid w:val="0"/>
              <w:spacing w:before="0" w:after="0"/>
              <w:ind w:left="57"/>
              <w:jc w:val="left"/>
              <w:rPr>
                <w:rFonts w:cs="Times New Roman Bold"/>
                <w:b/>
                <w:spacing w:val="-4"/>
                <w:sz w:val="24"/>
                <w:lang w:val="de-CH"/>
              </w:rPr>
            </w:pPr>
            <w:r>
              <w:rPr>
                <w:rFonts w:cs="Times New Roman Bold"/>
                <w:b/>
                <w:spacing w:val="-4"/>
                <w:sz w:val="24"/>
                <w:lang w:val="de-CH"/>
              </w:rPr>
              <w:t>Revision 1 to</w:t>
            </w:r>
            <w:r>
              <w:rPr>
                <w:rFonts w:cs="Times New Roman Bold"/>
                <w:b/>
                <w:spacing w:val="-4"/>
                <w:sz w:val="24"/>
                <w:lang w:val="de-CH"/>
              </w:rPr>
              <w:br/>
            </w:r>
            <w:r w:rsidR="005F153A" w:rsidRPr="000F2E67">
              <w:rPr>
                <w:rFonts w:cs="Times New Roman Bold"/>
                <w:b/>
                <w:spacing w:val="-4"/>
                <w:sz w:val="24"/>
                <w:lang w:val="de-CH"/>
              </w:rPr>
              <w:t xml:space="preserve">Document </w:t>
            </w:r>
            <w:r w:rsidR="00131780">
              <w:rPr>
                <w:rFonts w:cs="Times New Roman Bold"/>
                <w:b/>
                <w:spacing w:val="-4"/>
                <w:sz w:val="24"/>
                <w:lang w:val="de-CH"/>
              </w:rPr>
              <w:t>CWG-SFP-2</w:t>
            </w:r>
            <w:r w:rsidR="005F153A" w:rsidRPr="000F2E67">
              <w:rPr>
                <w:rFonts w:cs="Times New Roman Bold"/>
                <w:b/>
                <w:spacing w:val="-4"/>
                <w:sz w:val="24"/>
                <w:lang w:val="de-CH"/>
              </w:rPr>
              <w:t>/</w:t>
            </w:r>
            <w:r w:rsidR="009545B9">
              <w:rPr>
                <w:rFonts w:cs="Times New Roman Bold"/>
                <w:b/>
                <w:spacing w:val="-4"/>
                <w:sz w:val="24"/>
                <w:lang w:val="de-CH"/>
              </w:rPr>
              <w:t>INF</w:t>
            </w:r>
            <w:r w:rsidR="00AF54B0">
              <w:rPr>
                <w:rFonts w:cs="Times New Roman Bold"/>
                <w:b/>
                <w:spacing w:val="-4"/>
                <w:sz w:val="24"/>
                <w:lang w:val="de-CH"/>
              </w:rPr>
              <w:t>/1-E</w:t>
            </w:r>
          </w:p>
        </w:tc>
      </w:tr>
      <w:tr w:rsidR="005F153A" w:rsidRPr="00E544AC" w14:paraId="2E933B79" w14:textId="77777777" w:rsidTr="00B761FE">
        <w:trPr>
          <w:cantSplit/>
          <w:trHeight w:val="23"/>
        </w:trPr>
        <w:tc>
          <w:tcPr>
            <w:tcW w:w="5954" w:type="dxa"/>
            <w:vMerge/>
          </w:tcPr>
          <w:p w14:paraId="7776534E" w14:textId="77777777" w:rsidR="005F153A" w:rsidRPr="00D613F6" w:rsidRDefault="005F153A" w:rsidP="000E654D">
            <w:pPr>
              <w:snapToGrid w:val="0"/>
              <w:spacing w:before="0" w:after="0"/>
              <w:rPr>
                <w:b/>
                <w:lang w:val="de-CH"/>
              </w:rPr>
            </w:pPr>
            <w:bookmarkStart w:id="5" w:name="ddate" w:colFirst="1" w:colLast="1"/>
            <w:bookmarkEnd w:id="3"/>
            <w:bookmarkEnd w:id="4"/>
          </w:p>
        </w:tc>
        <w:tc>
          <w:tcPr>
            <w:tcW w:w="4252" w:type="dxa"/>
          </w:tcPr>
          <w:p w14:paraId="1166C4A9" w14:textId="527B092B" w:rsidR="005F153A" w:rsidRPr="000F2E67" w:rsidRDefault="00CE33BB" w:rsidP="00C14DB7">
            <w:pPr>
              <w:snapToGrid w:val="0"/>
              <w:spacing w:before="0" w:after="0"/>
              <w:ind w:left="57"/>
              <w:rPr>
                <w:b/>
                <w:sz w:val="24"/>
              </w:rPr>
            </w:pPr>
            <w:r>
              <w:rPr>
                <w:b/>
                <w:sz w:val="24"/>
              </w:rPr>
              <w:t xml:space="preserve">22 </w:t>
            </w:r>
            <w:r w:rsidR="00C725F7">
              <w:rPr>
                <w:b/>
                <w:sz w:val="24"/>
              </w:rPr>
              <w:t xml:space="preserve">August </w:t>
            </w:r>
            <w:r w:rsidR="000F2E67">
              <w:rPr>
                <w:b/>
                <w:sz w:val="24"/>
              </w:rPr>
              <w:t>2017</w:t>
            </w:r>
          </w:p>
        </w:tc>
      </w:tr>
      <w:tr w:rsidR="005F153A" w:rsidRPr="00E544AC" w14:paraId="593B1B94" w14:textId="77777777" w:rsidTr="00B761FE">
        <w:trPr>
          <w:cantSplit/>
          <w:trHeight w:val="80"/>
        </w:trPr>
        <w:tc>
          <w:tcPr>
            <w:tcW w:w="5954" w:type="dxa"/>
            <w:vMerge/>
          </w:tcPr>
          <w:p w14:paraId="615D4DA6" w14:textId="77777777" w:rsidR="005F153A" w:rsidRPr="00E544AC" w:rsidRDefault="005F153A" w:rsidP="000E654D">
            <w:pPr>
              <w:snapToGrid w:val="0"/>
              <w:spacing w:before="0" w:after="0"/>
              <w:rPr>
                <w:b/>
              </w:rPr>
            </w:pPr>
            <w:bookmarkStart w:id="6" w:name="dorlang" w:colFirst="1" w:colLast="1"/>
            <w:bookmarkEnd w:id="5"/>
          </w:p>
        </w:tc>
        <w:tc>
          <w:tcPr>
            <w:tcW w:w="4252" w:type="dxa"/>
          </w:tcPr>
          <w:p w14:paraId="5378B817" w14:textId="21DC16FC" w:rsidR="005F153A" w:rsidRPr="000F2E67" w:rsidRDefault="007D6408" w:rsidP="009545B9">
            <w:pPr>
              <w:snapToGrid w:val="0"/>
              <w:spacing w:before="0" w:after="0"/>
              <w:ind w:left="57"/>
              <w:rPr>
                <w:b/>
                <w:sz w:val="24"/>
              </w:rPr>
            </w:pPr>
            <w:r>
              <w:rPr>
                <w:b/>
                <w:sz w:val="24"/>
              </w:rPr>
              <w:t>English</w:t>
            </w:r>
            <w:r w:rsidR="009545B9">
              <w:rPr>
                <w:b/>
                <w:sz w:val="24"/>
              </w:rPr>
              <w:t xml:space="preserve"> only</w:t>
            </w:r>
          </w:p>
        </w:tc>
      </w:tr>
    </w:tbl>
    <w:bookmarkEnd w:id="6"/>
    <w:p w14:paraId="36D9FFA7" w14:textId="650F775D" w:rsidR="00985B8A" w:rsidRPr="00394C20" w:rsidRDefault="00985B8A" w:rsidP="00985B8A">
      <w:pPr>
        <w:spacing w:before="840"/>
        <w:jc w:val="center"/>
        <w:rPr>
          <w:b/>
          <w:sz w:val="28"/>
          <w:szCs w:val="32"/>
          <w:lang w:val="en-GB"/>
        </w:rPr>
      </w:pPr>
      <w:r w:rsidRPr="0021539B">
        <w:rPr>
          <w:b/>
          <w:sz w:val="28"/>
          <w:szCs w:val="32"/>
        </w:rPr>
        <w:t xml:space="preserve">Chairman </w:t>
      </w:r>
      <w:r>
        <w:rPr>
          <w:b/>
          <w:sz w:val="28"/>
          <w:szCs w:val="32"/>
        </w:rPr>
        <w:t>o</w:t>
      </w:r>
      <w:r w:rsidRPr="0021539B">
        <w:rPr>
          <w:b/>
          <w:sz w:val="28"/>
          <w:szCs w:val="32"/>
        </w:rPr>
        <w:t xml:space="preserve">f </w:t>
      </w:r>
      <w:r>
        <w:rPr>
          <w:b/>
          <w:sz w:val="28"/>
          <w:szCs w:val="32"/>
        </w:rPr>
        <w:t>t</w:t>
      </w:r>
      <w:r w:rsidRPr="0021539B">
        <w:rPr>
          <w:b/>
          <w:sz w:val="28"/>
          <w:szCs w:val="32"/>
        </w:rPr>
        <w:t>he Council Working Group</w:t>
      </w:r>
      <w:r>
        <w:rPr>
          <w:b/>
          <w:sz w:val="28"/>
          <w:szCs w:val="32"/>
        </w:rPr>
        <w:t xml:space="preserve"> f</w:t>
      </w:r>
      <w:r w:rsidRPr="0021539B">
        <w:rPr>
          <w:b/>
          <w:sz w:val="28"/>
          <w:szCs w:val="32"/>
        </w:rPr>
        <w:t xml:space="preserve">or Strategic </w:t>
      </w:r>
      <w:r>
        <w:rPr>
          <w:b/>
          <w:sz w:val="28"/>
          <w:szCs w:val="32"/>
        </w:rPr>
        <w:t>a</w:t>
      </w:r>
      <w:r w:rsidRPr="0021539B">
        <w:rPr>
          <w:b/>
          <w:sz w:val="28"/>
          <w:szCs w:val="32"/>
        </w:rPr>
        <w:t>nd Financial Plans 2020-2023</w:t>
      </w:r>
    </w:p>
    <w:p w14:paraId="4B9DD2B5" w14:textId="26053B43" w:rsidR="00AF50A8" w:rsidRDefault="000E654D" w:rsidP="009F1531">
      <w:pPr>
        <w:spacing w:before="840"/>
        <w:jc w:val="center"/>
        <w:rPr>
          <w:b/>
          <w:sz w:val="28"/>
          <w:szCs w:val="32"/>
          <w:lang w:val="en-GB"/>
        </w:rPr>
      </w:pPr>
      <w:r>
        <w:rPr>
          <w:b/>
          <w:sz w:val="28"/>
          <w:szCs w:val="32"/>
          <w:lang w:val="en-GB"/>
        </w:rPr>
        <w:t xml:space="preserve">REPORT OF THE </w:t>
      </w:r>
      <w:r w:rsidRPr="000E654D">
        <w:rPr>
          <w:b/>
          <w:sz w:val="28"/>
          <w:szCs w:val="32"/>
          <w:lang w:val="en-GB"/>
        </w:rPr>
        <w:t>CWG-SFP</w:t>
      </w:r>
      <w:r w:rsidR="009F1531">
        <w:rPr>
          <w:b/>
          <w:sz w:val="28"/>
          <w:szCs w:val="32"/>
          <w:lang w:val="en-GB"/>
        </w:rPr>
        <w:t xml:space="preserve"> </w:t>
      </w:r>
      <w:r w:rsidR="001B18BE">
        <w:rPr>
          <w:b/>
          <w:sz w:val="28"/>
          <w:szCs w:val="32"/>
          <w:lang w:val="en-GB"/>
        </w:rPr>
        <w:br/>
      </w:r>
      <w:r w:rsidR="009F1531">
        <w:rPr>
          <w:b/>
          <w:sz w:val="28"/>
          <w:szCs w:val="32"/>
          <w:lang w:val="en-GB"/>
        </w:rPr>
        <w:t>1</w:t>
      </w:r>
      <w:r w:rsidR="009F1531" w:rsidRPr="009F1531">
        <w:rPr>
          <w:b/>
          <w:sz w:val="28"/>
          <w:szCs w:val="32"/>
          <w:vertAlign w:val="superscript"/>
          <w:lang w:val="en-GB"/>
        </w:rPr>
        <w:t>ST</w:t>
      </w:r>
      <w:r w:rsidR="009F1531">
        <w:rPr>
          <w:b/>
          <w:sz w:val="28"/>
          <w:szCs w:val="32"/>
          <w:lang w:val="en-GB"/>
        </w:rPr>
        <w:t xml:space="preserve"> </w:t>
      </w:r>
      <w:r w:rsidRPr="000E654D">
        <w:rPr>
          <w:b/>
          <w:sz w:val="28"/>
          <w:szCs w:val="32"/>
          <w:lang w:val="en-GB"/>
        </w:rPr>
        <w:t>PUBLIC CONSULTATION ON THE ITU 2020-2023 STRATEGY</w:t>
      </w:r>
    </w:p>
    <w:p w14:paraId="43440D48" w14:textId="77777777" w:rsidR="000E654D" w:rsidRDefault="000E654D" w:rsidP="000E654D">
      <w:pPr>
        <w:rPr>
          <w:lang w:val="en-GB" w:eastAsia="en-US"/>
        </w:rPr>
      </w:pPr>
    </w:p>
    <w:p w14:paraId="0A2BD206" w14:textId="08783F6D" w:rsidR="000E654D" w:rsidRPr="002F4C5E" w:rsidRDefault="000E654D" w:rsidP="00953E17">
      <w:pPr>
        <w:pStyle w:val="Heading1"/>
        <w:rPr>
          <w:lang w:val="en-GB"/>
        </w:rPr>
      </w:pPr>
      <w:r w:rsidRPr="002F4C5E">
        <w:rPr>
          <w:lang w:val="en-GB"/>
        </w:rPr>
        <w:t>The CWG-SFP Public Consultation on the ITU 2020-2023 Strategy</w:t>
      </w:r>
    </w:p>
    <w:p w14:paraId="4E24DF4F" w14:textId="77777777" w:rsidR="000E654D" w:rsidRPr="002F4C5E" w:rsidRDefault="000E654D" w:rsidP="00953E17">
      <w:pPr>
        <w:rPr>
          <w:lang w:val="en-GB"/>
        </w:rPr>
      </w:pPr>
      <w:r w:rsidRPr="002F4C5E">
        <w:rPr>
          <w:lang w:val="en-GB"/>
        </w:rPr>
        <w:t>The 2017 Session of the ITU Council initiated the process for the elaboration of the draft Strategic plan for the Union for 2020-2023, by establishing the Council Working Group for Strategic and Financial plans for 2020-2023 (CWG-SFP). The group held its inaugural meeting on 23 May 2017, at the ITU Headquarters in Geneva, Switzerland, and decided to hold a first public and open consultation on the strategic priorities of the Union.</w:t>
      </w:r>
    </w:p>
    <w:p w14:paraId="7797BD33" w14:textId="77777777" w:rsidR="000E654D" w:rsidRPr="002F4C5E" w:rsidRDefault="000E654D" w:rsidP="000E654D">
      <w:pPr>
        <w:rPr>
          <w:lang w:val="en-GB"/>
        </w:rPr>
      </w:pPr>
      <w:r w:rsidRPr="007E0B62">
        <w:rPr>
          <w:lang w:val="en-GB"/>
        </w:rPr>
        <w:t>The Public Consultation was held from June 1 to July 7, 2017. The ITU web-based platform</w:t>
      </w:r>
      <w:r w:rsidRPr="002F4C5E">
        <w:rPr>
          <w:lang w:val="en-GB"/>
        </w:rPr>
        <w:t xml:space="preserve"> (</w:t>
      </w:r>
      <w:hyperlink r:id="rId13" w:history="1">
        <w:r w:rsidRPr="002F4C5E">
          <w:rPr>
            <w:rStyle w:val="Hyperlink"/>
            <w:lang w:val="en-GB"/>
          </w:rPr>
          <w:t>www.itu.int/PublicConsultations</w:t>
        </w:r>
      </w:hyperlink>
      <w:r w:rsidRPr="002F4C5E">
        <w:rPr>
          <w:lang w:val="en-GB"/>
        </w:rPr>
        <w:t xml:space="preserve">) was used for this purpose, and all contributions, including the ones received via e-mail to </w:t>
      </w:r>
      <w:hyperlink r:id="rId14" w:history="1">
        <w:r w:rsidRPr="002F4C5E">
          <w:rPr>
            <w:rStyle w:val="Hyperlink"/>
            <w:lang w:val="en-GB"/>
          </w:rPr>
          <w:t>strategy@itu.int</w:t>
        </w:r>
      </w:hyperlink>
      <w:r w:rsidRPr="002F4C5E">
        <w:rPr>
          <w:lang w:val="en-GB"/>
        </w:rPr>
        <w:t>, have been published on this platform.</w:t>
      </w:r>
    </w:p>
    <w:p w14:paraId="13425620" w14:textId="1F685076" w:rsidR="000E654D" w:rsidRPr="002F4C5E" w:rsidRDefault="000E654D" w:rsidP="00CE33BB">
      <w:pPr>
        <w:rPr>
          <w:lang w:val="en-GB"/>
        </w:rPr>
      </w:pPr>
      <w:r w:rsidRPr="007E0B62">
        <w:rPr>
          <w:lang w:val="en-GB"/>
        </w:rPr>
        <w:t xml:space="preserve">The public consultation received </w:t>
      </w:r>
      <w:r w:rsidR="00CE33BB">
        <w:rPr>
          <w:lang w:val="en-GB"/>
        </w:rPr>
        <w:t>24</w:t>
      </w:r>
      <w:r w:rsidR="00CE33BB" w:rsidRPr="007E0B62">
        <w:rPr>
          <w:lang w:val="en-GB"/>
        </w:rPr>
        <w:t xml:space="preserve"> </w:t>
      </w:r>
      <w:r w:rsidRPr="007E0B62">
        <w:rPr>
          <w:lang w:val="en-GB"/>
        </w:rPr>
        <w:t xml:space="preserve">contributions from </w:t>
      </w:r>
      <w:r w:rsidR="00CE33BB">
        <w:rPr>
          <w:lang w:val="en-GB"/>
        </w:rPr>
        <w:t>5</w:t>
      </w:r>
      <w:r w:rsidR="00CE33BB" w:rsidRPr="007E0B62">
        <w:rPr>
          <w:lang w:val="en-GB"/>
        </w:rPr>
        <w:t xml:space="preserve"> </w:t>
      </w:r>
      <w:r w:rsidRPr="007E0B62">
        <w:rPr>
          <w:lang w:val="en-GB"/>
        </w:rPr>
        <w:t xml:space="preserve">administrations, 2 regional organizations, </w:t>
      </w:r>
      <w:r w:rsidR="00357AFD">
        <w:rPr>
          <w:lang w:val="en-GB"/>
        </w:rPr>
        <w:t>5</w:t>
      </w:r>
      <w:r w:rsidR="00357AFD" w:rsidRPr="007E0B62">
        <w:rPr>
          <w:lang w:val="en-GB"/>
        </w:rPr>
        <w:t xml:space="preserve"> </w:t>
      </w:r>
      <w:r w:rsidRPr="007E0B62">
        <w:rPr>
          <w:lang w:val="en-GB"/>
        </w:rPr>
        <w:t>regulatory authorities, 5 associations, 3 industry entities, 2 non-governmental organizations (NGOs) and 2 individuals.</w:t>
      </w:r>
    </w:p>
    <w:p w14:paraId="72EEC231" w14:textId="77777777" w:rsidR="000E654D" w:rsidRPr="002F4C5E" w:rsidRDefault="000E654D" w:rsidP="000E654D">
      <w:pPr>
        <w:rPr>
          <w:lang w:val="en-GB"/>
        </w:rPr>
      </w:pPr>
      <w:r w:rsidRPr="002F4C5E">
        <w:rPr>
          <w:lang w:val="en-GB"/>
        </w:rPr>
        <w:t xml:space="preserve">This document highlights key trends of the consultation and </w:t>
      </w:r>
      <w:r>
        <w:rPr>
          <w:lang w:val="en-GB"/>
        </w:rPr>
        <w:t>suggestions received</w:t>
      </w:r>
      <w:r w:rsidRPr="002F4C5E">
        <w:rPr>
          <w:lang w:val="en-GB"/>
        </w:rPr>
        <w:t xml:space="preserve"> with regards to the ITU strategic priorities for 2020-2023. The report reflects solely the views of the authors and organizations who participated in the consultation.</w:t>
      </w:r>
      <w:r>
        <w:rPr>
          <w:lang w:val="en-GB"/>
        </w:rPr>
        <w:t xml:space="preserve"> </w:t>
      </w:r>
      <w:r w:rsidRPr="002F4C5E">
        <w:rPr>
          <w:lang w:val="en-GB"/>
        </w:rPr>
        <w:t xml:space="preserve">The main findings of the Consultation and overall suggestions for the 2020-2023 ITU Strategy </w:t>
      </w:r>
      <w:r>
        <w:rPr>
          <w:lang w:val="en-GB"/>
        </w:rPr>
        <w:t>are summarized below.</w:t>
      </w:r>
    </w:p>
    <w:p w14:paraId="4C9CD753" w14:textId="77777777" w:rsidR="000E654D" w:rsidRPr="002F4C5E" w:rsidRDefault="000E654D" w:rsidP="000E654D">
      <w:pPr>
        <w:pStyle w:val="Heading1"/>
        <w:ind w:left="432" w:hanging="432"/>
        <w:rPr>
          <w:lang w:val="en-GB"/>
        </w:rPr>
      </w:pPr>
      <w:r w:rsidRPr="002F4C5E">
        <w:rPr>
          <w:lang w:val="en-GB"/>
        </w:rPr>
        <w:t>Findings of the public consultation</w:t>
      </w:r>
    </w:p>
    <w:p w14:paraId="37FD5901" w14:textId="77777777" w:rsidR="000E654D" w:rsidRPr="002F4C5E" w:rsidRDefault="000E654D" w:rsidP="00953E17">
      <w:pPr>
        <w:pStyle w:val="Heading2"/>
        <w:rPr>
          <w:lang w:val="en-GB"/>
        </w:rPr>
      </w:pPr>
      <w:r w:rsidRPr="002F4C5E">
        <w:rPr>
          <w:lang w:val="en-GB"/>
        </w:rPr>
        <w:t>Key strategic priorities for ITU for 2020-2023 / taking into account the SDGs</w:t>
      </w:r>
    </w:p>
    <w:p w14:paraId="0D4C4AA4" w14:textId="77777777" w:rsidR="000E654D" w:rsidRDefault="000E654D" w:rsidP="000E654D">
      <w:pPr>
        <w:pStyle w:val="SimpleHeading"/>
        <w:spacing w:before="240"/>
        <w:rPr>
          <w:lang w:val="en-GB"/>
        </w:rPr>
      </w:pPr>
      <w:r>
        <w:rPr>
          <w:lang w:val="en-GB"/>
        </w:rPr>
        <w:t>Strategic priorities for 2020-2023</w:t>
      </w:r>
    </w:p>
    <w:p w14:paraId="42D82FCC" w14:textId="77777777" w:rsidR="000E654D" w:rsidRDefault="000E654D" w:rsidP="000E654D">
      <w:pPr>
        <w:rPr>
          <w:lang w:val="en-GB"/>
        </w:rPr>
      </w:pPr>
      <w:r>
        <w:rPr>
          <w:lang w:val="en-GB"/>
        </w:rPr>
        <w:t>Building on the continuity of the current Strategic Plan, contributions suggest key strategic priorities for the Union, taking into consideration key developments, such as the adoption of the 2030 Agenda for Sustainable Development.</w:t>
      </w:r>
    </w:p>
    <w:p w14:paraId="581B3D48" w14:textId="7FE372A4" w:rsidR="009762CB" w:rsidRDefault="000E654D" w:rsidP="00CE33BB">
      <w:pPr>
        <w:rPr>
          <w:lang w:val="en-GB"/>
        </w:rPr>
      </w:pPr>
      <w:r>
        <w:rPr>
          <w:lang w:val="en-GB"/>
        </w:rPr>
        <w:t>(Russian Federation) “</w:t>
      </w:r>
      <w:r w:rsidRPr="0038149B">
        <w:rPr>
          <w:lang w:val="en-GB"/>
        </w:rPr>
        <w:t xml:space="preserve">Retaining the succession of the Strategic Plans and thus, the common vision for systematic approach to elaboration of the balanced ITU strategic plan, as indicated in Resolution 71 (Busan, </w:t>
      </w:r>
      <w:r w:rsidRPr="0038149B">
        <w:rPr>
          <w:lang w:val="en-GB"/>
        </w:rPr>
        <w:lastRenderedPageBreak/>
        <w:t>2014) supposing to shape the ITU goals and targets for 2020-2023 in such a way that, on the one hand, to complete those goals that had been partially implemented in the previous planning period, and, on the other hand, consider new realities both in ICTs and other areas of human living activities which were outlined in the UNGA Resolution "The 2030 Agenda for Sustainable Development"</w:t>
      </w:r>
      <w:r>
        <w:rPr>
          <w:lang w:val="en-GB"/>
        </w:rPr>
        <w:t>.</w:t>
      </w:r>
    </w:p>
    <w:p w14:paraId="254FAA4F" w14:textId="1A0F7869" w:rsidR="00CE33BB" w:rsidRDefault="000E654D" w:rsidP="00CE33BB">
      <w:pPr>
        <w:rPr>
          <w:lang w:val="en-GB"/>
        </w:rPr>
      </w:pPr>
      <w:r>
        <w:rPr>
          <w:lang w:val="en-GB"/>
        </w:rPr>
        <w:t>The majority of the contributions in the public consultation suggest that the key strategic priority for ITU should be bridging the digital divide and focusing on fostering universal and affordable access to ICTs (Africa Region, CEPT, Russian Federation, ICTA/BTK, Solomon Islands, ESOA/GVF</w:t>
      </w:r>
      <w:r w:rsidR="00CE33BB">
        <w:rPr>
          <w:lang w:val="en-GB"/>
        </w:rPr>
        <w:t xml:space="preserve">, </w:t>
      </w:r>
      <w:r w:rsidR="00495FFC">
        <w:rPr>
          <w:lang w:val="en-GB"/>
        </w:rPr>
        <w:t>and Japan</w:t>
      </w:r>
      <w:r>
        <w:rPr>
          <w:lang w:val="en-GB"/>
        </w:rPr>
        <w:t>).</w:t>
      </w:r>
    </w:p>
    <w:p w14:paraId="2BD72B33" w14:textId="77777777" w:rsidR="000E654D" w:rsidRDefault="000E654D" w:rsidP="000E654D">
      <w:pPr>
        <w:rPr>
          <w:lang w:val="en-GB"/>
        </w:rPr>
      </w:pPr>
      <w:r>
        <w:rPr>
          <w:lang w:val="en-GB"/>
        </w:rPr>
        <w:t>Bridging the digital divide is also highlighted in view of the 2030 Agenda and the SDGs:</w:t>
      </w:r>
    </w:p>
    <w:p w14:paraId="78A10C34" w14:textId="77777777" w:rsidR="000E654D" w:rsidRDefault="000E654D" w:rsidP="00953E17">
      <w:pPr>
        <w:ind w:left="567"/>
        <w:rPr>
          <w:lang w:val="en-GB"/>
        </w:rPr>
      </w:pPr>
      <w:r w:rsidRPr="00B62D02">
        <w:rPr>
          <w:lang w:val="en-GB"/>
        </w:rPr>
        <w:t>(CEPT) Bridging the digital divide, or as indicated in “Goal 2 - Inclusiveness – Bridge the digital divide and provide broadband for all” should continue to be a key priority for ITU in the 2020-2023 period,</w:t>
      </w:r>
      <w:r w:rsidRPr="00D41CE3">
        <w:rPr>
          <w:lang w:val="en-GB"/>
        </w:rPr>
        <w:t xml:space="preserve"> particularly taking into consideration the UN 2030 Agenda for Sustainable Development and the Sustain</w:t>
      </w:r>
      <w:r>
        <w:rPr>
          <w:lang w:val="en-GB"/>
        </w:rPr>
        <w:t>able Development Goals (“SDGs”).</w:t>
      </w:r>
    </w:p>
    <w:p w14:paraId="29DF32A1" w14:textId="280AC6B4" w:rsidR="00CE33BB" w:rsidRDefault="00CE33BB">
      <w:pPr>
        <w:ind w:left="567"/>
        <w:rPr>
          <w:lang w:val="en-GB"/>
        </w:rPr>
      </w:pPr>
      <w:r>
        <w:rPr>
          <w:lang w:val="en-GB"/>
        </w:rPr>
        <w:t>(Japan) “</w:t>
      </w:r>
      <w:r w:rsidRPr="00CE33BB">
        <w:rPr>
          <w:lang w:val="en-GB"/>
        </w:rPr>
        <w:t>Towards achieving the UN 2030 Agenda for Sustainable Development and the Sustainable Development Goals, the key strategic priority for ITU for the 2020-2023 period is to ensure equal access and utilization of ICT for all people including education of digital literacy, and to contribute to improving the quality of life of people around the world.</w:t>
      </w:r>
      <w:r>
        <w:rPr>
          <w:lang w:val="en-GB"/>
        </w:rPr>
        <w:t>”</w:t>
      </w:r>
    </w:p>
    <w:p w14:paraId="555E2E6F" w14:textId="77777777" w:rsidR="000E654D" w:rsidRDefault="000E654D" w:rsidP="000E654D">
      <w:pPr>
        <w:rPr>
          <w:lang w:val="en-GB"/>
        </w:rPr>
      </w:pPr>
      <w:r>
        <w:rPr>
          <w:lang w:val="en-GB"/>
        </w:rPr>
        <w:t>Particular emphasis is given to the gender divide by several contributions (Africa Region, Russian Federation, UNESCO Chair in ICT4D).</w:t>
      </w:r>
    </w:p>
    <w:p w14:paraId="192848CB" w14:textId="0B6C04DE" w:rsidR="000E654D" w:rsidRDefault="000E654D" w:rsidP="00357AFD">
      <w:pPr>
        <w:rPr>
          <w:lang w:val="en-GB"/>
        </w:rPr>
      </w:pPr>
      <w:r>
        <w:rPr>
          <w:lang w:val="en-GB"/>
        </w:rPr>
        <w:t xml:space="preserve">Another strategic priority is </w:t>
      </w:r>
      <w:r w:rsidR="00357AFD">
        <w:rPr>
          <w:lang w:val="en-GB"/>
        </w:rPr>
        <w:t>for ITU to promote</w:t>
      </w:r>
      <w:r>
        <w:rPr>
          <w:lang w:val="en-GB"/>
        </w:rPr>
        <w:t xml:space="preserve"> closer international cooperation among governments, </w:t>
      </w:r>
      <w:r w:rsidRPr="00DE252A">
        <w:rPr>
          <w:lang w:val="en-GB"/>
        </w:rPr>
        <w:t>with other international agencies and organisations</w:t>
      </w:r>
      <w:r>
        <w:rPr>
          <w:lang w:val="en-GB"/>
        </w:rPr>
        <w:t xml:space="preserve"> and the private sector (ICTA/BTK, UNESCO ICT4D, Solomon Islands. ESOA/GVF).</w:t>
      </w:r>
    </w:p>
    <w:p w14:paraId="397D5FE0" w14:textId="77777777" w:rsidR="000E654D" w:rsidRDefault="000E654D" w:rsidP="000E654D">
      <w:pPr>
        <w:rPr>
          <w:lang w:val="en-GB"/>
        </w:rPr>
      </w:pPr>
      <w:r>
        <w:rPr>
          <w:lang w:val="en-GB"/>
        </w:rPr>
        <w:t>Other proposals highlight the need to further improve internal strategies –in working as One ITU, defining ITU’s added value and strengthening internal structures:</w:t>
      </w:r>
    </w:p>
    <w:p w14:paraId="19D3DCD5" w14:textId="77777777" w:rsidR="000E654D" w:rsidRPr="00953E17" w:rsidRDefault="000E654D" w:rsidP="00953E17">
      <w:pPr>
        <w:ind w:left="567"/>
        <w:rPr>
          <w:lang w:val="en-GB"/>
        </w:rPr>
      </w:pPr>
      <w:r w:rsidRPr="00953E17">
        <w:rPr>
          <w:lang w:val="en-GB"/>
        </w:rPr>
        <w:t>(Federal Office of Communications OFCOM – Switzerland): “Consistency (“United in action” &amp; “One ITU”) (…) For its own benefit, ITU must not content itself with an elementary strategy of coordination and internal cooperation aimed at avoiding overlaps in activities and optimizing the use of resources between the three Sectors. A real spirit of unity must be created within the organization, reflected by values and goals shared by all colleagues (within the three Sectors as well the General Secretariat)”.</w:t>
      </w:r>
    </w:p>
    <w:p w14:paraId="6FCBA3A7" w14:textId="77777777" w:rsidR="000E654D" w:rsidRPr="00953E17" w:rsidRDefault="000E654D" w:rsidP="00953E17">
      <w:pPr>
        <w:ind w:left="567"/>
        <w:rPr>
          <w:lang w:val="en-GB"/>
        </w:rPr>
      </w:pPr>
      <w:r w:rsidRPr="00953E17">
        <w:rPr>
          <w:lang w:val="en-GB"/>
        </w:rPr>
        <w:t>(Ericsson Canada) “(…) for ITU to ensure that its programs and activities meet the needs and expectations of its diverse membership, and for the Union, a) to focus on the delivery of its core competencies in the most efficient and effective manner possible, and b) to develop strategies which clearly define ITU’s value-added in an increasingly complex global ICT ecosystem”.</w:t>
      </w:r>
    </w:p>
    <w:p w14:paraId="72523A6C" w14:textId="1A70453E" w:rsidR="000E654D" w:rsidRDefault="000E654D" w:rsidP="00953E17">
      <w:pPr>
        <w:ind w:left="567"/>
        <w:rPr>
          <w:lang w:val="en-GB"/>
        </w:rPr>
      </w:pPr>
      <w:r w:rsidRPr="00953E17">
        <w:rPr>
          <w:lang w:val="en-GB"/>
        </w:rPr>
        <w:t>(Article 19) “As the mandate of the ITU has grown over time to address issues of global Internet infrastructure, its strategic plan moving forward must focus more on strengthening and refining its internal structures to facilitate more resilient decision-making”</w:t>
      </w:r>
      <w:r w:rsidR="00495FFC">
        <w:rPr>
          <w:lang w:val="en-GB"/>
        </w:rPr>
        <w:t>.</w:t>
      </w:r>
    </w:p>
    <w:p w14:paraId="5E8B20A5" w14:textId="5F362741" w:rsidR="00495FFC" w:rsidRPr="00953E17" w:rsidRDefault="00495FFC" w:rsidP="00953E17">
      <w:pPr>
        <w:ind w:left="567"/>
        <w:rPr>
          <w:lang w:val="en-GB"/>
        </w:rPr>
      </w:pPr>
      <w:r>
        <w:rPr>
          <w:lang w:val="en-GB"/>
        </w:rPr>
        <w:t xml:space="preserve">(Japan): “(…) </w:t>
      </w:r>
      <w:r w:rsidRPr="00495FFC">
        <w:rPr>
          <w:lang w:val="en-GB"/>
        </w:rPr>
        <w:t>enhance the collaboration between three Bureaux, General Secretariat and other international organizations with a view to avoid duplication of effort and optimize the use of resources</w:t>
      </w:r>
      <w:r>
        <w:rPr>
          <w:lang w:val="en-GB"/>
        </w:rPr>
        <w:t>”.</w:t>
      </w:r>
    </w:p>
    <w:p w14:paraId="57982BB5" w14:textId="77777777" w:rsidR="000E654D" w:rsidRDefault="000E654D" w:rsidP="000E654D">
      <w:pPr>
        <w:rPr>
          <w:lang w:val="en-GB"/>
        </w:rPr>
      </w:pPr>
      <w:r>
        <w:rPr>
          <w:lang w:val="en-GB"/>
        </w:rPr>
        <w:t>The need to maintain the essential role within the ITU’s traditional areas of strength and expertise is also highlighted, along with the need to allocate its resources to those core activities:</w:t>
      </w:r>
    </w:p>
    <w:p w14:paraId="03D19CF1" w14:textId="77777777" w:rsidR="000E654D" w:rsidRDefault="000E654D" w:rsidP="000E654D">
      <w:pPr>
        <w:ind w:left="567"/>
        <w:rPr>
          <w:lang w:val="en-GB"/>
        </w:rPr>
      </w:pPr>
      <w:r>
        <w:rPr>
          <w:lang w:val="en-GB"/>
        </w:rPr>
        <w:t>(CEPT) “</w:t>
      </w:r>
      <w:r w:rsidRPr="00F569B7">
        <w:rPr>
          <w:lang w:val="en-GB"/>
        </w:rPr>
        <w:t>ITU should be amongst the forefront of international telecoms/ ICT standardization and the management of radio spectrum including satellite filings</w:t>
      </w:r>
      <w:r>
        <w:rPr>
          <w:lang w:val="en-GB"/>
        </w:rPr>
        <w:t>”.</w:t>
      </w:r>
    </w:p>
    <w:p w14:paraId="1B7E8964" w14:textId="77777777" w:rsidR="000E654D" w:rsidRDefault="000E654D" w:rsidP="000E654D">
      <w:pPr>
        <w:ind w:left="567"/>
        <w:rPr>
          <w:lang w:val="en-GB"/>
        </w:rPr>
      </w:pPr>
      <w:r>
        <w:rPr>
          <w:lang w:val="en-GB"/>
        </w:rPr>
        <w:t>(OFCOM – Switzerland) “</w:t>
      </w:r>
      <w:r w:rsidRPr="0038149B">
        <w:rPr>
          <w:lang w:val="en-GB"/>
        </w:rPr>
        <w:t>Remain the leading forum for matters relating to radio spectrum management and harmonization at global level</w:t>
      </w:r>
      <w:r>
        <w:rPr>
          <w:lang w:val="en-GB"/>
        </w:rPr>
        <w:t>”.</w:t>
      </w:r>
    </w:p>
    <w:p w14:paraId="606991E0" w14:textId="77777777" w:rsidR="000E654D" w:rsidRDefault="000E654D" w:rsidP="000E654D">
      <w:pPr>
        <w:ind w:left="567"/>
      </w:pPr>
      <w:r w:rsidRPr="008D05BF">
        <w:lastRenderedPageBreak/>
        <w:t>(International Chamber of Commerce) “ITU should allocate resources to those activities that are core to its mission and unique role”.</w:t>
      </w:r>
    </w:p>
    <w:p w14:paraId="5CEA199A" w14:textId="7E1F57B6" w:rsidR="00210123" w:rsidRDefault="00210123" w:rsidP="000E654D">
      <w:pPr>
        <w:ind w:left="567"/>
      </w:pPr>
      <w:r>
        <w:t xml:space="preserve">(Japan) “[ITU should] </w:t>
      </w:r>
      <w:r w:rsidRPr="00210123">
        <w:t>fulfil the core mandates of the Union as fundamental and essential ITU’s activities by prioritizing in the 2020-2023 period</w:t>
      </w:r>
      <w:r>
        <w:t>”.</w:t>
      </w:r>
    </w:p>
    <w:p w14:paraId="4D0E2254" w14:textId="77777777" w:rsidR="000E654D" w:rsidRDefault="000E654D" w:rsidP="000E654D">
      <w:pPr>
        <w:rPr>
          <w:lang w:val="en-GB"/>
        </w:rPr>
      </w:pPr>
      <w:r>
        <w:rPr>
          <w:lang w:val="en-GB"/>
        </w:rPr>
        <w:t>Openness and transparency are also identified as a priority area for the organization (CEPT, Switzerland, GSMA, ASIET, Ericsson Canada, ESOA/GVF, Article 19):</w:t>
      </w:r>
    </w:p>
    <w:p w14:paraId="3247D632" w14:textId="77777777" w:rsidR="000E654D" w:rsidRDefault="000E654D" w:rsidP="000E654D">
      <w:pPr>
        <w:ind w:left="567"/>
        <w:rPr>
          <w:lang w:val="en-GB"/>
        </w:rPr>
      </w:pPr>
      <w:r>
        <w:rPr>
          <w:lang w:val="en-GB"/>
        </w:rPr>
        <w:t>(OFCOM – Switzerland) “</w:t>
      </w:r>
      <w:r w:rsidRPr="00326714">
        <w:rPr>
          <w:lang w:val="en-GB"/>
        </w:rPr>
        <w:t>ITU must associate the representatives of civil society, the private sector and the worlds of science and politics closely with the action it takes in regard to the 2030 Agenda and WSIS processes. Collaboration between state and non-state actors will be essential in achieving the global goals. The rules of the game, policies and responsibilities will be defined within the framework of a new global partnership for sustainable development, and ITU has a major role to play in creating a conducive international environment and in following-up and reporting on achievement of the goals of these processes</w:t>
      </w:r>
      <w:r>
        <w:rPr>
          <w:lang w:val="en-GB"/>
        </w:rPr>
        <w:t>”</w:t>
      </w:r>
      <w:r w:rsidRPr="00326714">
        <w:rPr>
          <w:lang w:val="en-GB"/>
        </w:rPr>
        <w:t>.</w:t>
      </w:r>
    </w:p>
    <w:p w14:paraId="08F1024D" w14:textId="77777777" w:rsidR="000E654D" w:rsidRDefault="000E654D" w:rsidP="000E654D">
      <w:pPr>
        <w:ind w:left="567"/>
        <w:rPr>
          <w:lang w:val="en-GB"/>
        </w:rPr>
      </w:pPr>
      <w:r w:rsidRPr="00B62D02">
        <w:rPr>
          <w:lang w:val="en-GB"/>
        </w:rPr>
        <w:t>(GSMA) “Enhance transparency: The ITU will benefit from allowing Sector Members to participate in all key discussions and meetings”</w:t>
      </w:r>
      <w:r>
        <w:rPr>
          <w:lang w:val="en-GB"/>
        </w:rPr>
        <w:t>.</w:t>
      </w:r>
    </w:p>
    <w:p w14:paraId="20F1F80D" w14:textId="77777777" w:rsidR="000E654D" w:rsidRPr="00B62D02" w:rsidRDefault="000E654D" w:rsidP="000E654D">
      <w:pPr>
        <w:rPr>
          <w:lang w:val="en-GB"/>
        </w:rPr>
      </w:pPr>
      <w:r>
        <w:rPr>
          <w:lang w:val="en-GB"/>
        </w:rPr>
        <w:t>The need for ITU to manage emerging risks and challenges due to the increased use of ICTs was also suggested:</w:t>
      </w:r>
    </w:p>
    <w:p w14:paraId="7DC5C769" w14:textId="77777777" w:rsidR="000E654D" w:rsidRDefault="000E654D" w:rsidP="000E654D">
      <w:pPr>
        <w:ind w:left="567"/>
      </w:pPr>
      <w:r>
        <w:t>(Russian Federation) “</w:t>
      </w:r>
      <w:r w:rsidRPr="00BF4789">
        <w:t>Manage the challenges resulting from telecommunication/ICT development, including security. To promote the beneficial use of telecommunication/ICTs for sustainable development goals, the Union recognizes the need to manage challenges that emerge from research and development achievements in ICTs and the rapid growth of telecommunication/ICTs and have a certain impact not only on the economy, but also on human’s personal abilities, psychological state, behavior in the information environment and world view.</w:t>
      </w:r>
      <w:r>
        <w:t>”</w:t>
      </w:r>
    </w:p>
    <w:p w14:paraId="27800C4B" w14:textId="77777777" w:rsidR="000E654D" w:rsidRDefault="000E654D" w:rsidP="000E654D">
      <w:pPr>
        <w:ind w:left="567"/>
      </w:pPr>
      <w:r w:rsidRPr="00B62D02">
        <w:t>(ICTA</w:t>
      </w:r>
      <w:r>
        <w:t>/BTK</w:t>
      </w:r>
      <w:r w:rsidRPr="00B62D02">
        <w:t>) “ITU should focus on newly emerged risks and challenges related to increased use of ICTs, especially about dangers mostly effecting young people such as internet addiction, exposure to harmful content and privacy violations, cyberbullying and internet abuse”.</w:t>
      </w:r>
    </w:p>
    <w:p w14:paraId="76646A8A" w14:textId="77777777" w:rsidR="000E654D" w:rsidRDefault="000E654D" w:rsidP="000E654D">
      <w:r>
        <w:t>The need for ITU to ensure it is seen as a ‘trustful’ organization has been identified:</w:t>
      </w:r>
    </w:p>
    <w:p w14:paraId="05583369" w14:textId="77777777" w:rsidR="000E654D" w:rsidRPr="002F4C5E" w:rsidRDefault="000E654D" w:rsidP="000E654D">
      <w:pPr>
        <w:ind w:left="567"/>
        <w:rPr>
          <w:lang w:val="en-GB"/>
        </w:rPr>
      </w:pPr>
      <w:r w:rsidRPr="002F4C5E">
        <w:rPr>
          <w:lang w:val="en-GB"/>
        </w:rPr>
        <w:t xml:space="preserve">(UNESCO Chair in ICT4D) </w:t>
      </w:r>
      <w:r>
        <w:rPr>
          <w:lang w:val="en-GB"/>
        </w:rPr>
        <w:t>“</w:t>
      </w:r>
      <w:r w:rsidRPr="002F4C5E">
        <w:rPr>
          <w:lang w:val="en-GB"/>
        </w:rPr>
        <w:t>Ensuring that the ITU is indeed seen as an organization that can be trusted</w:t>
      </w:r>
      <w:r>
        <w:rPr>
          <w:lang w:val="en-GB"/>
        </w:rPr>
        <w:t>”</w:t>
      </w:r>
    </w:p>
    <w:p w14:paraId="23B8FF9D" w14:textId="77777777" w:rsidR="000E654D" w:rsidRDefault="000E654D" w:rsidP="000E654D">
      <w:pPr>
        <w:spacing w:after="0"/>
        <w:rPr>
          <w:lang w:val="en-GB"/>
        </w:rPr>
      </w:pPr>
      <w:r>
        <w:rPr>
          <w:lang w:val="en-GB"/>
        </w:rPr>
        <w:t>Challenges for potential duplication of work with other organizations have been identified:</w:t>
      </w:r>
    </w:p>
    <w:p w14:paraId="0B32F3EB" w14:textId="77777777" w:rsidR="000E654D" w:rsidRPr="002F4C5E" w:rsidRDefault="000E654D" w:rsidP="000E654D">
      <w:pPr>
        <w:spacing w:after="0"/>
        <w:ind w:left="567"/>
        <w:rPr>
          <w:lang w:val="en-GB"/>
        </w:rPr>
      </w:pPr>
      <w:r w:rsidRPr="002F4C5E">
        <w:rPr>
          <w:lang w:val="en-GB"/>
        </w:rPr>
        <w:t xml:space="preserve">(GSMA) </w:t>
      </w:r>
      <w:r>
        <w:rPr>
          <w:lang w:val="en-GB"/>
        </w:rPr>
        <w:t>“</w:t>
      </w:r>
      <w:r w:rsidRPr="002F4C5E">
        <w:rPr>
          <w:lang w:val="en-GB"/>
        </w:rPr>
        <w:t>We find that many of the topics that are being introduced in these [ITU] meetings are duplicative of work already under way, either in other parts of the ITU or in other organisations and institutions</w:t>
      </w:r>
      <w:r>
        <w:rPr>
          <w:lang w:val="en-GB"/>
        </w:rPr>
        <w:t>”.</w:t>
      </w:r>
    </w:p>
    <w:p w14:paraId="3CC43598" w14:textId="77777777" w:rsidR="000E654D" w:rsidRDefault="000E654D" w:rsidP="000E654D">
      <w:pPr>
        <w:pStyle w:val="SimpleHeading"/>
        <w:spacing w:before="240"/>
        <w:rPr>
          <w:lang w:val="en-GB"/>
        </w:rPr>
      </w:pPr>
      <w:r>
        <w:rPr>
          <w:lang w:val="en-GB"/>
        </w:rPr>
        <w:t>The ITU and its contribution to the Sustainable Development Goals (SDGs)</w:t>
      </w:r>
    </w:p>
    <w:p w14:paraId="4E48DD09" w14:textId="77777777" w:rsidR="000E654D" w:rsidRDefault="000E654D" w:rsidP="000E654D">
      <w:pPr>
        <w:rPr>
          <w:lang w:val="en-GB"/>
        </w:rPr>
      </w:pPr>
      <w:r>
        <w:rPr>
          <w:lang w:val="en-GB"/>
        </w:rPr>
        <w:t>Several contributions highlight the role of ITU with regards to the implementation of the 2030 Agenda and the SDGs, suggesting focusing on specific SDGs (Russia, Oman, Switzerland, CRC-Colombia, EBU,</w:t>
      </w:r>
      <w:r w:rsidRPr="005733F8">
        <w:rPr>
          <w:lang w:val="en-GB"/>
        </w:rPr>
        <w:t xml:space="preserve"> </w:t>
      </w:r>
      <w:r>
        <w:rPr>
          <w:lang w:val="en-GB"/>
        </w:rPr>
        <w:t>Article 19).</w:t>
      </w:r>
    </w:p>
    <w:p w14:paraId="5C5493C9" w14:textId="77777777" w:rsidR="000E654D" w:rsidRDefault="000E654D" w:rsidP="000E654D">
      <w:pPr>
        <w:rPr>
          <w:lang w:val="en-GB"/>
        </w:rPr>
      </w:pPr>
      <w:r>
        <w:rPr>
          <w:lang w:val="en-GB"/>
        </w:rPr>
        <w:t>Contributions from the industry also make a similar point:</w:t>
      </w:r>
    </w:p>
    <w:p w14:paraId="33B666FA" w14:textId="77777777" w:rsidR="000E654D" w:rsidRDefault="000E654D" w:rsidP="000E654D">
      <w:pPr>
        <w:ind w:left="567"/>
        <w:rPr>
          <w:lang w:val="en-GB"/>
        </w:rPr>
      </w:pPr>
      <w:r>
        <w:rPr>
          <w:lang w:val="en-GB"/>
        </w:rPr>
        <w:t>(Ericsson AB) “</w:t>
      </w:r>
      <w:r w:rsidRPr="001145F6">
        <w:rPr>
          <w:lang w:val="en-GB"/>
        </w:rPr>
        <w:t>ITU has significant opportunities as we are moving into IMT 2020 to address Government and other Nations state bodies to promote programs to support deeper deployment of networks as well as focused programs to increase literacy and poverty eradication, well supporting the UN Sustainability Development Goals</w:t>
      </w:r>
      <w:r>
        <w:rPr>
          <w:lang w:val="en-GB"/>
        </w:rPr>
        <w:t>”.</w:t>
      </w:r>
    </w:p>
    <w:p w14:paraId="7799604E" w14:textId="77777777" w:rsidR="000E654D" w:rsidRDefault="000E654D" w:rsidP="000E654D">
      <w:pPr>
        <w:rPr>
          <w:lang w:val="en-GB"/>
        </w:rPr>
      </w:pPr>
      <w:r>
        <w:rPr>
          <w:lang w:val="en-GB"/>
        </w:rPr>
        <w:t>Several contributions highlight the key and enabling role of ICTs in the 2030 Agenda and the role that ITU has to play in the process:</w:t>
      </w:r>
    </w:p>
    <w:p w14:paraId="52108838" w14:textId="692574BB" w:rsidR="000E654D" w:rsidRDefault="000E654D" w:rsidP="00AE1765">
      <w:pPr>
        <w:ind w:left="567"/>
        <w:rPr>
          <w:lang w:val="en-GB"/>
        </w:rPr>
      </w:pPr>
      <w:r>
        <w:rPr>
          <w:lang w:val="en-GB"/>
        </w:rPr>
        <w:lastRenderedPageBreak/>
        <w:t>(</w:t>
      </w:r>
      <w:r w:rsidRPr="00C307D6">
        <w:rPr>
          <w:lang w:val="en-GB"/>
        </w:rPr>
        <w:t>OFCOM – Switzerland</w:t>
      </w:r>
      <w:r>
        <w:rPr>
          <w:lang w:val="en-GB"/>
        </w:rPr>
        <w:t>)</w:t>
      </w:r>
      <w:r w:rsidR="00AE1765">
        <w:rPr>
          <w:lang w:val="en-GB"/>
        </w:rPr>
        <w:t xml:space="preserve"> “</w:t>
      </w:r>
      <w:r w:rsidR="00AE1765" w:rsidRPr="00AE1765">
        <w:rPr>
          <w:lang w:val="en-GB"/>
        </w:rPr>
        <w:t>It is essential for ITU to strengthen the interaction between the process designed to achieve the 2030 Agenda sustainable development goals (SDGs) and the process designed to implement the goals of WSIS in order to ensure that the efforts made by the United Systems as a whole are consistent, concerted and coordinated to thus have maximum and sustainable impact</w:t>
      </w:r>
      <w:r w:rsidR="00AE1765">
        <w:rPr>
          <w:lang w:val="en-GB"/>
        </w:rPr>
        <w:t xml:space="preserve">. (…) </w:t>
      </w:r>
      <w:r w:rsidRPr="00C307D6">
        <w:rPr>
          <w:lang w:val="en-GB"/>
        </w:rPr>
        <w:t>Information and communication technologies (ICTs) will play a key role as catalysts for sustainable development. The transformation potential of ICTs must be used to accelerate the progress of humanity, by synchronizing ICT policies with national development plans and programmes in a way that promotes implementation of the 2030 Agenda</w:t>
      </w:r>
      <w:r>
        <w:rPr>
          <w:lang w:val="en-GB"/>
        </w:rPr>
        <w:t>”</w:t>
      </w:r>
      <w:r w:rsidRPr="00C307D6">
        <w:rPr>
          <w:lang w:val="en-GB"/>
        </w:rPr>
        <w:t>.</w:t>
      </w:r>
    </w:p>
    <w:p w14:paraId="5F46BE29" w14:textId="77777777" w:rsidR="000E654D" w:rsidRDefault="000E654D" w:rsidP="000E654D">
      <w:pPr>
        <w:ind w:left="567"/>
        <w:rPr>
          <w:lang w:val="en-GB"/>
        </w:rPr>
      </w:pPr>
      <w:r>
        <w:rPr>
          <w:lang w:val="en-GB"/>
        </w:rPr>
        <w:t xml:space="preserve">(Russian Federation) “(…) [ITU] </w:t>
      </w:r>
      <w:r w:rsidRPr="00D91AD4">
        <w:rPr>
          <w:lang w:val="en-GB"/>
        </w:rPr>
        <w:t>to contribute to the development of ICT environment that is sufficiently conducive to innovation, where advances in new technologies and strategic partnership become one of the most essential components of the 2030 Agenda for Sustainable Development. The Union recognizes the need to expand participation and cooperation with other entities and organizations to pursue a development-oriented policy (diversification, technical upgrade and innovation) that promotes productive activity and increases communications/ICTs efficiency</w:t>
      </w:r>
      <w:r>
        <w:rPr>
          <w:lang w:val="en-GB"/>
        </w:rPr>
        <w:t>”</w:t>
      </w:r>
      <w:r w:rsidRPr="00D91AD4">
        <w:rPr>
          <w:lang w:val="en-GB"/>
        </w:rPr>
        <w:t>.</w:t>
      </w:r>
    </w:p>
    <w:p w14:paraId="37FA015D" w14:textId="77777777" w:rsidR="000E654D" w:rsidRDefault="000E654D" w:rsidP="000E654D">
      <w:pPr>
        <w:rPr>
          <w:lang w:val="en-GB"/>
        </w:rPr>
      </w:pPr>
      <w:r>
        <w:rPr>
          <w:lang w:val="en-GB"/>
        </w:rPr>
        <w:t xml:space="preserve">The figure below summarizes the references to the various SDGs (showing contributions making a reference to a specific SDG). Most of the SDG are being referenced by the contributions, while </w:t>
      </w:r>
      <w:r w:rsidRPr="00C307D6">
        <w:rPr>
          <w:i/>
          <w:iCs/>
          <w:lang w:val="en-GB"/>
        </w:rPr>
        <w:t>SDG 9: Build resilient infrastructure, promote inclusive and sustainable industrialization and foster innovation</w:t>
      </w:r>
      <w:r>
        <w:rPr>
          <w:lang w:val="en-GB"/>
        </w:rPr>
        <w:t xml:space="preserve"> is being referenced in most of the contributions.</w:t>
      </w:r>
    </w:p>
    <w:p w14:paraId="0D1317CB" w14:textId="77777777" w:rsidR="000E654D" w:rsidRPr="00235FAF" w:rsidRDefault="000E654D" w:rsidP="000E654D">
      <w:pPr>
        <w:keepNext/>
        <w:rPr>
          <w:b/>
          <w:sz w:val="20"/>
          <w:szCs w:val="20"/>
          <w:lang w:val="en-GB"/>
        </w:rPr>
      </w:pPr>
      <w:r w:rsidRPr="00235FAF">
        <w:rPr>
          <w:b/>
          <w:sz w:val="20"/>
          <w:szCs w:val="20"/>
          <w:lang w:val="en-GB"/>
        </w:rPr>
        <w:t xml:space="preserve">Figure </w:t>
      </w:r>
      <w:r w:rsidRPr="00235FAF">
        <w:rPr>
          <w:b/>
          <w:sz w:val="20"/>
          <w:szCs w:val="20"/>
          <w:lang w:val="en-GB"/>
        </w:rPr>
        <w:fldChar w:fldCharType="begin"/>
      </w:r>
      <w:r w:rsidRPr="00235FAF">
        <w:rPr>
          <w:b/>
          <w:sz w:val="20"/>
          <w:szCs w:val="20"/>
          <w:lang w:val="en-GB"/>
        </w:rPr>
        <w:instrText xml:space="preserve"> SEQ Figure \* ARABIC </w:instrText>
      </w:r>
      <w:r w:rsidRPr="00235FAF">
        <w:rPr>
          <w:b/>
          <w:sz w:val="20"/>
          <w:szCs w:val="20"/>
          <w:lang w:val="en-GB"/>
        </w:rPr>
        <w:fldChar w:fldCharType="separate"/>
      </w:r>
      <w:r w:rsidR="004368AE">
        <w:rPr>
          <w:b/>
          <w:noProof/>
          <w:sz w:val="20"/>
          <w:szCs w:val="20"/>
          <w:lang w:val="en-GB"/>
        </w:rPr>
        <w:t>1</w:t>
      </w:r>
      <w:r w:rsidRPr="00235FAF">
        <w:rPr>
          <w:b/>
          <w:sz w:val="20"/>
          <w:szCs w:val="20"/>
          <w:lang w:val="en-GB"/>
        </w:rPr>
        <w:fldChar w:fldCharType="end"/>
      </w:r>
      <w:r>
        <w:rPr>
          <w:b/>
          <w:sz w:val="20"/>
          <w:szCs w:val="20"/>
          <w:lang w:val="en-GB"/>
        </w:rPr>
        <w:t>: Reference to specific SDGs (results of the public consultation)</w:t>
      </w:r>
    </w:p>
    <w:p w14:paraId="30847368" w14:textId="77777777" w:rsidR="000E654D" w:rsidRPr="00002BC8" w:rsidRDefault="000E654D" w:rsidP="000E654D">
      <w:pPr>
        <w:rPr>
          <w:lang w:val="en-GB"/>
        </w:rPr>
      </w:pPr>
      <w:r>
        <w:rPr>
          <w:noProof/>
        </w:rPr>
        <w:drawing>
          <wp:inline distT="0" distB="0" distL="0" distR="0" wp14:anchorId="1B668991" wp14:editId="47B84DD3">
            <wp:extent cx="5732145" cy="24384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992" b="8789"/>
                    <a:stretch/>
                  </pic:blipFill>
                  <pic:spPr bwMode="auto">
                    <a:xfrm>
                      <a:off x="0" y="0"/>
                      <a:ext cx="5732145" cy="2438400"/>
                    </a:xfrm>
                    <a:prstGeom prst="rect">
                      <a:avLst/>
                    </a:prstGeom>
                    <a:ln>
                      <a:noFill/>
                    </a:ln>
                    <a:extLst>
                      <a:ext uri="{53640926-AAD7-44D8-BBD7-CCE9431645EC}">
                        <a14:shadowObscured xmlns:a14="http://schemas.microsoft.com/office/drawing/2010/main"/>
                      </a:ext>
                    </a:extLst>
                  </pic:spPr>
                </pic:pic>
              </a:graphicData>
            </a:graphic>
          </wp:inline>
        </w:drawing>
      </w:r>
    </w:p>
    <w:p w14:paraId="644C1A25" w14:textId="77777777" w:rsidR="000E654D" w:rsidRPr="00953E17" w:rsidRDefault="000E654D" w:rsidP="00953E17">
      <w:pPr>
        <w:pStyle w:val="Heading2"/>
      </w:pPr>
      <w:r w:rsidRPr="00953E17">
        <w:t>Key technological trends to consider</w:t>
      </w:r>
    </w:p>
    <w:p w14:paraId="5693F494" w14:textId="77777777" w:rsidR="000E654D" w:rsidRDefault="000E654D" w:rsidP="000E654D">
      <w:pPr>
        <w:rPr>
          <w:lang w:val="en-GB"/>
        </w:rPr>
      </w:pPr>
      <w:r>
        <w:rPr>
          <w:lang w:val="en-GB"/>
        </w:rPr>
        <w:t>The following technological trends have been identified in the consultation as those that I</w:t>
      </w:r>
      <w:r w:rsidRPr="007E0B62">
        <w:rPr>
          <w:lang w:val="en-GB"/>
        </w:rPr>
        <w:t xml:space="preserve">TU should consider </w:t>
      </w:r>
      <w:r>
        <w:rPr>
          <w:lang w:val="en-GB"/>
        </w:rPr>
        <w:t xml:space="preserve">the most </w:t>
      </w:r>
      <w:r w:rsidRPr="007E0B62">
        <w:rPr>
          <w:lang w:val="en-GB"/>
        </w:rPr>
        <w:t>while planning its strategy</w:t>
      </w:r>
      <w:r>
        <w:rPr>
          <w:lang w:val="en-GB"/>
        </w:rPr>
        <w:t>:</w:t>
      </w:r>
    </w:p>
    <w:p w14:paraId="051AA444" w14:textId="77777777" w:rsidR="000E654D" w:rsidRDefault="000E654D" w:rsidP="0005237D">
      <w:pPr>
        <w:pStyle w:val="ListParagraph"/>
        <w:numPr>
          <w:ilvl w:val="0"/>
          <w:numId w:val="2"/>
        </w:numPr>
        <w:contextualSpacing/>
        <w:rPr>
          <w:lang w:val="en-GB"/>
        </w:rPr>
      </w:pPr>
      <w:r w:rsidRPr="002D724D">
        <w:rPr>
          <w:lang w:val="en-GB"/>
        </w:rPr>
        <w:t>5</w:t>
      </w:r>
      <w:r>
        <w:rPr>
          <w:lang w:val="en-GB"/>
        </w:rPr>
        <w:t xml:space="preserve">G </w:t>
      </w:r>
      <w:r w:rsidRPr="002D724D">
        <w:rPr>
          <w:lang w:val="en-GB"/>
        </w:rPr>
        <w:t>and IMT-2020</w:t>
      </w:r>
      <w:r>
        <w:rPr>
          <w:lang w:val="en-GB"/>
        </w:rPr>
        <w:t xml:space="preserve"> (</w:t>
      </w:r>
      <w:r w:rsidRPr="002D724D">
        <w:rPr>
          <w:lang w:val="en-GB"/>
        </w:rPr>
        <w:t>in 50% of the contributions</w:t>
      </w:r>
      <w:r>
        <w:rPr>
          <w:lang w:val="en-GB"/>
        </w:rPr>
        <w:t>);</w:t>
      </w:r>
    </w:p>
    <w:p w14:paraId="6A1C77A7" w14:textId="77777777" w:rsidR="000E654D" w:rsidRDefault="000E654D" w:rsidP="0005237D">
      <w:pPr>
        <w:pStyle w:val="ListParagraph"/>
        <w:numPr>
          <w:ilvl w:val="0"/>
          <w:numId w:val="2"/>
        </w:numPr>
        <w:contextualSpacing/>
        <w:rPr>
          <w:lang w:val="en-GB"/>
        </w:rPr>
      </w:pPr>
      <w:r w:rsidRPr="002D724D">
        <w:rPr>
          <w:lang w:val="en-GB"/>
        </w:rPr>
        <w:t>Internet of Things</w:t>
      </w:r>
      <w:r>
        <w:rPr>
          <w:lang w:val="en-GB"/>
        </w:rPr>
        <w:t xml:space="preserve"> (</w:t>
      </w:r>
      <w:r w:rsidRPr="002D724D">
        <w:rPr>
          <w:lang w:val="en-GB"/>
        </w:rPr>
        <w:t>in more than 35% of contributions</w:t>
      </w:r>
      <w:r>
        <w:rPr>
          <w:lang w:val="en-GB"/>
        </w:rPr>
        <w:t>)</w:t>
      </w:r>
      <w:r w:rsidRPr="002D724D">
        <w:rPr>
          <w:lang w:val="en-GB"/>
        </w:rPr>
        <w:t>;</w:t>
      </w:r>
    </w:p>
    <w:p w14:paraId="61272F49" w14:textId="77777777" w:rsidR="000E654D" w:rsidRDefault="000E654D" w:rsidP="0005237D">
      <w:pPr>
        <w:pStyle w:val="ListParagraph"/>
        <w:numPr>
          <w:ilvl w:val="0"/>
          <w:numId w:val="2"/>
        </w:numPr>
        <w:contextualSpacing/>
        <w:rPr>
          <w:lang w:val="en-GB"/>
        </w:rPr>
      </w:pPr>
      <w:r w:rsidRPr="002D724D">
        <w:rPr>
          <w:lang w:val="en-GB"/>
        </w:rPr>
        <w:t>Artificial Intelligence (</w:t>
      </w:r>
      <w:r>
        <w:rPr>
          <w:lang w:val="en-GB"/>
        </w:rPr>
        <w:t xml:space="preserve">in </w:t>
      </w:r>
      <w:r w:rsidRPr="002D724D">
        <w:rPr>
          <w:lang w:val="en-GB"/>
        </w:rPr>
        <w:t>more than 2</w:t>
      </w:r>
      <w:r>
        <w:rPr>
          <w:lang w:val="en-GB"/>
        </w:rPr>
        <w:t>5</w:t>
      </w:r>
      <w:r w:rsidRPr="002D724D">
        <w:rPr>
          <w:lang w:val="en-GB"/>
        </w:rPr>
        <w:t>%);</w:t>
      </w:r>
    </w:p>
    <w:p w14:paraId="374DF9C2" w14:textId="77777777" w:rsidR="000E654D" w:rsidRDefault="000E654D" w:rsidP="0005237D">
      <w:pPr>
        <w:pStyle w:val="ListParagraph"/>
        <w:numPr>
          <w:ilvl w:val="0"/>
          <w:numId w:val="2"/>
        </w:numPr>
        <w:contextualSpacing/>
        <w:rPr>
          <w:lang w:val="en-GB"/>
        </w:rPr>
      </w:pPr>
      <w:r w:rsidRPr="002D724D">
        <w:rPr>
          <w:lang w:val="en-GB"/>
        </w:rPr>
        <w:t>Big Data (around 20%); and</w:t>
      </w:r>
    </w:p>
    <w:p w14:paraId="45735314" w14:textId="77777777" w:rsidR="000E654D" w:rsidRDefault="000E654D" w:rsidP="0005237D">
      <w:pPr>
        <w:pStyle w:val="ListParagraph"/>
        <w:numPr>
          <w:ilvl w:val="0"/>
          <w:numId w:val="2"/>
        </w:numPr>
        <w:contextualSpacing/>
        <w:rPr>
          <w:lang w:val="en-GB"/>
        </w:rPr>
      </w:pPr>
      <w:r w:rsidRPr="002D724D">
        <w:rPr>
          <w:lang w:val="en-GB"/>
        </w:rPr>
        <w:t>Development of standards (around 15% of contributions).</w:t>
      </w:r>
    </w:p>
    <w:p w14:paraId="3B8CC022" w14:textId="46DDA297" w:rsidR="00495FFC" w:rsidRPr="002D724D" w:rsidRDefault="00495FFC" w:rsidP="00C703DE">
      <w:pPr>
        <w:pStyle w:val="ListParagraph"/>
        <w:numPr>
          <w:ilvl w:val="0"/>
          <w:numId w:val="2"/>
        </w:numPr>
        <w:contextualSpacing/>
        <w:rPr>
          <w:lang w:val="en-GB"/>
        </w:rPr>
      </w:pPr>
      <w:r>
        <w:rPr>
          <w:lang w:val="en-GB"/>
        </w:rPr>
        <w:t xml:space="preserve">In general, </w:t>
      </w:r>
      <w:r w:rsidR="00C703DE">
        <w:rPr>
          <w:lang w:val="en-GB"/>
        </w:rPr>
        <w:t>new</w:t>
      </w:r>
      <w:r w:rsidR="00C703DE" w:rsidRPr="00C703DE">
        <w:rPr>
          <w:lang w:val="en-GB"/>
        </w:rPr>
        <w:t xml:space="preserve"> technologies to support “ICT applications and services” (such as e-health, e-agriculture, e-learning, e-government</w:t>
      </w:r>
      <w:r w:rsidR="00C703DE">
        <w:rPr>
          <w:lang w:val="en-GB"/>
        </w:rPr>
        <w:t>) (around 10% of contributions).</w:t>
      </w:r>
    </w:p>
    <w:p w14:paraId="74470AAB" w14:textId="77777777" w:rsidR="000E654D" w:rsidRDefault="000E654D" w:rsidP="000E654D">
      <w:pPr>
        <w:rPr>
          <w:lang w:val="en-GB"/>
        </w:rPr>
      </w:pPr>
      <w:r>
        <w:rPr>
          <w:lang w:val="en-GB"/>
        </w:rPr>
        <w:t>A more detailed list of the trends identified is presented in the figure below.</w:t>
      </w:r>
    </w:p>
    <w:p w14:paraId="42AC238E" w14:textId="77777777" w:rsidR="00AE1765" w:rsidRPr="00235FAF" w:rsidRDefault="00AE1765" w:rsidP="00AE1765">
      <w:pPr>
        <w:keepNext/>
        <w:rPr>
          <w:b/>
          <w:sz w:val="20"/>
          <w:szCs w:val="20"/>
          <w:lang w:val="en-GB"/>
        </w:rPr>
      </w:pPr>
      <w:r w:rsidRPr="00235FAF">
        <w:rPr>
          <w:b/>
          <w:sz w:val="20"/>
          <w:szCs w:val="20"/>
          <w:lang w:val="en-GB"/>
        </w:rPr>
        <w:lastRenderedPageBreak/>
        <w:t xml:space="preserve">Figure </w:t>
      </w:r>
      <w:r w:rsidRPr="00235FAF">
        <w:rPr>
          <w:b/>
          <w:sz w:val="20"/>
          <w:szCs w:val="20"/>
          <w:lang w:val="en-GB"/>
        </w:rPr>
        <w:fldChar w:fldCharType="begin"/>
      </w:r>
      <w:r w:rsidRPr="00235FAF">
        <w:rPr>
          <w:b/>
          <w:sz w:val="20"/>
          <w:szCs w:val="20"/>
          <w:lang w:val="en-GB"/>
        </w:rPr>
        <w:instrText xml:space="preserve"> SEQ Figure \* ARABIC </w:instrText>
      </w:r>
      <w:r w:rsidRPr="00235FAF">
        <w:rPr>
          <w:b/>
          <w:sz w:val="20"/>
          <w:szCs w:val="20"/>
          <w:lang w:val="en-GB"/>
        </w:rPr>
        <w:fldChar w:fldCharType="separate"/>
      </w:r>
      <w:r>
        <w:rPr>
          <w:b/>
          <w:noProof/>
          <w:sz w:val="20"/>
          <w:szCs w:val="20"/>
          <w:lang w:val="en-GB"/>
        </w:rPr>
        <w:t>2</w:t>
      </w:r>
      <w:r w:rsidRPr="00235FAF">
        <w:rPr>
          <w:b/>
          <w:sz w:val="20"/>
          <w:szCs w:val="20"/>
          <w:lang w:val="en-GB"/>
        </w:rPr>
        <w:fldChar w:fldCharType="end"/>
      </w:r>
      <w:r>
        <w:rPr>
          <w:b/>
          <w:sz w:val="20"/>
          <w:szCs w:val="20"/>
          <w:lang w:val="en-GB"/>
        </w:rPr>
        <w:t>: List of key technological trends identified in the consultation (and their frequency of reference)</w:t>
      </w:r>
    </w:p>
    <w:p w14:paraId="6494E3BB" w14:textId="77777777" w:rsidR="000E654D" w:rsidRDefault="000E654D" w:rsidP="000E654D">
      <w:pPr>
        <w:jc w:val="center"/>
        <w:rPr>
          <w:lang w:val="en-GB"/>
        </w:rPr>
      </w:pPr>
      <w:r>
        <w:rPr>
          <w:noProof/>
        </w:rPr>
        <w:drawing>
          <wp:inline distT="0" distB="0" distL="0" distR="0" wp14:anchorId="048E82CE" wp14:editId="6A3CC292">
            <wp:extent cx="4564800" cy="1994400"/>
            <wp:effectExtent l="0" t="0" r="762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6139" b="13125"/>
                    <a:stretch/>
                  </pic:blipFill>
                  <pic:spPr bwMode="auto">
                    <a:xfrm>
                      <a:off x="0" y="0"/>
                      <a:ext cx="4564800" cy="1994400"/>
                    </a:xfrm>
                    <a:prstGeom prst="rect">
                      <a:avLst/>
                    </a:prstGeom>
                    <a:ln>
                      <a:noFill/>
                    </a:ln>
                    <a:extLst>
                      <a:ext uri="{53640926-AAD7-44D8-BBD7-CCE9431645EC}">
                        <a14:shadowObscured xmlns:a14="http://schemas.microsoft.com/office/drawing/2010/main"/>
                      </a:ext>
                    </a:extLst>
                  </pic:spPr>
                </pic:pic>
              </a:graphicData>
            </a:graphic>
          </wp:inline>
        </w:drawing>
      </w:r>
    </w:p>
    <w:p w14:paraId="3EF16097" w14:textId="77777777" w:rsidR="000E654D" w:rsidRPr="00953E17" w:rsidRDefault="000E654D" w:rsidP="00953E17">
      <w:pPr>
        <w:pStyle w:val="Heading2"/>
      </w:pPr>
      <w:r w:rsidRPr="00953E17">
        <w:t>Key challenges for ITU in the 2020-2023 timeframe</w:t>
      </w:r>
    </w:p>
    <w:p w14:paraId="4D134AA9" w14:textId="77777777" w:rsidR="000E654D" w:rsidRDefault="000E654D" w:rsidP="000E654D">
      <w:pPr>
        <w:rPr>
          <w:lang w:val="en-GB"/>
        </w:rPr>
      </w:pPr>
      <w:r>
        <w:rPr>
          <w:lang w:val="en-GB"/>
        </w:rPr>
        <w:t>The figure below identifies the key challenges identified by various contributions in the consultation. Among the top challenges identified were the following:</w:t>
      </w:r>
    </w:p>
    <w:p w14:paraId="78240C02" w14:textId="77777777" w:rsidR="000E654D" w:rsidRDefault="000E654D" w:rsidP="0005237D">
      <w:pPr>
        <w:pStyle w:val="ListParagraph"/>
        <w:numPr>
          <w:ilvl w:val="0"/>
          <w:numId w:val="1"/>
        </w:numPr>
        <w:contextualSpacing/>
        <w:rPr>
          <w:lang w:val="en-GB"/>
        </w:rPr>
      </w:pPr>
      <w:r w:rsidRPr="008D05BF">
        <w:rPr>
          <w:lang w:val="en-GB"/>
        </w:rPr>
        <w:t>Digital Divide</w:t>
      </w:r>
      <w:r>
        <w:rPr>
          <w:lang w:val="en-GB"/>
        </w:rPr>
        <w:t xml:space="preserve"> and Global Connectivity</w:t>
      </w:r>
      <w:r w:rsidRPr="008D05BF">
        <w:rPr>
          <w:lang w:val="en-GB"/>
        </w:rPr>
        <w:t xml:space="preserve"> (Africa Region, Russia, </w:t>
      </w:r>
      <w:r>
        <w:rPr>
          <w:lang w:val="en-GB"/>
        </w:rPr>
        <w:t xml:space="preserve">Switzerland, ICTA/BTK, </w:t>
      </w:r>
      <w:r w:rsidRPr="008D05BF">
        <w:rPr>
          <w:lang w:val="en-GB"/>
        </w:rPr>
        <w:t>CRC-Colombia, Oman Telecommunications Regulatory Authority</w:t>
      </w:r>
      <w:r>
        <w:rPr>
          <w:lang w:val="en-GB"/>
        </w:rPr>
        <w:t xml:space="preserve">, </w:t>
      </w:r>
      <w:r w:rsidRPr="008D05BF">
        <w:rPr>
          <w:lang w:val="en-GB"/>
        </w:rPr>
        <w:t>Solomon Islands)</w:t>
      </w:r>
      <w:r>
        <w:rPr>
          <w:lang w:val="en-GB"/>
        </w:rPr>
        <w:t>;</w:t>
      </w:r>
    </w:p>
    <w:p w14:paraId="19EDA808" w14:textId="77777777" w:rsidR="000E654D" w:rsidRDefault="000E654D" w:rsidP="0005237D">
      <w:pPr>
        <w:pStyle w:val="ListParagraph"/>
        <w:numPr>
          <w:ilvl w:val="0"/>
          <w:numId w:val="1"/>
        </w:numPr>
        <w:contextualSpacing/>
        <w:rPr>
          <w:lang w:val="en-GB"/>
        </w:rPr>
      </w:pPr>
      <w:r>
        <w:rPr>
          <w:lang w:val="en-GB"/>
        </w:rPr>
        <w:t>Cyber-security, data protection and privacy (Africa Region, Russia, CITCC, ICTA/BTK);</w:t>
      </w:r>
    </w:p>
    <w:p w14:paraId="4D5405C2" w14:textId="729D8CFE" w:rsidR="000E654D" w:rsidRDefault="000E654D" w:rsidP="0005237D">
      <w:pPr>
        <w:pStyle w:val="ListParagraph"/>
        <w:numPr>
          <w:ilvl w:val="0"/>
          <w:numId w:val="1"/>
        </w:numPr>
        <w:contextualSpacing/>
        <w:rPr>
          <w:lang w:val="en-GB"/>
        </w:rPr>
      </w:pPr>
      <w:r>
        <w:rPr>
          <w:lang w:val="en-GB"/>
        </w:rPr>
        <w:t>Effectiveness of the organization (Russia, CEPT, ICTA/BTK</w:t>
      </w:r>
      <w:r w:rsidR="00C703DE">
        <w:rPr>
          <w:lang w:val="en-GB"/>
        </w:rPr>
        <w:t>, Japan</w:t>
      </w:r>
      <w:r>
        <w:rPr>
          <w:lang w:val="en-GB"/>
        </w:rPr>
        <w:t>).</w:t>
      </w:r>
    </w:p>
    <w:p w14:paraId="2B6DCEED" w14:textId="77777777" w:rsidR="000E654D" w:rsidRPr="0084787E" w:rsidRDefault="000E654D" w:rsidP="000E654D">
      <w:pPr>
        <w:rPr>
          <w:lang w:val="en-GB"/>
        </w:rPr>
      </w:pPr>
      <w:r>
        <w:rPr>
          <w:lang w:val="en-GB"/>
        </w:rPr>
        <w:t>A more detailed list is presented in the figure below.</w:t>
      </w:r>
    </w:p>
    <w:p w14:paraId="2EA81FB5" w14:textId="77777777" w:rsidR="000E654D" w:rsidRPr="00235FAF" w:rsidRDefault="000E654D" w:rsidP="000E654D">
      <w:pPr>
        <w:keepNext/>
        <w:rPr>
          <w:b/>
          <w:sz w:val="20"/>
          <w:szCs w:val="20"/>
          <w:lang w:val="en-GB"/>
        </w:rPr>
      </w:pPr>
      <w:r w:rsidRPr="00235FAF">
        <w:rPr>
          <w:b/>
          <w:sz w:val="20"/>
          <w:szCs w:val="20"/>
          <w:lang w:val="en-GB"/>
        </w:rPr>
        <w:lastRenderedPageBreak/>
        <w:t xml:space="preserve">Figure </w:t>
      </w:r>
      <w:r w:rsidRPr="00235FAF">
        <w:rPr>
          <w:b/>
          <w:sz w:val="20"/>
          <w:szCs w:val="20"/>
          <w:lang w:val="en-GB"/>
        </w:rPr>
        <w:fldChar w:fldCharType="begin"/>
      </w:r>
      <w:r w:rsidRPr="00235FAF">
        <w:rPr>
          <w:b/>
          <w:sz w:val="20"/>
          <w:szCs w:val="20"/>
          <w:lang w:val="en-GB"/>
        </w:rPr>
        <w:instrText xml:space="preserve"> SEQ Figure \* ARABIC </w:instrText>
      </w:r>
      <w:r w:rsidRPr="00235FAF">
        <w:rPr>
          <w:b/>
          <w:sz w:val="20"/>
          <w:szCs w:val="20"/>
          <w:lang w:val="en-GB"/>
        </w:rPr>
        <w:fldChar w:fldCharType="separate"/>
      </w:r>
      <w:r w:rsidR="004368AE">
        <w:rPr>
          <w:b/>
          <w:noProof/>
          <w:sz w:val="20"/>
          <w:szCs w:val="20"/>
          <w:lang w:val="en-GB"/>
        </w:rPr>
        <w:t>3</w:t>
      </w:r>
      <w:r w:rsidRPr="00235FAF">
        <w:rPr>
          <w:b/>
          <w:sz w:val="20"/>
          <w:szCs w:val="20"/>
          <w:lang w:val="en-GB"/>
        </w:rPr>
        <w:fldChar w:fldCharType="end"/>
      </w:r>
      <w:r>
        <w:rPr>
          <w:b/>
          <w:sz w:val="20"/>
          <w:szCs w:val="20"/>
          <w:lang w:val="en-GB"/>
        </w:rPr>
        <w:t>: List of key challenges identified (and their frequency of reference)</w:t>
      </w:r>
    </w:p>
    <w:p w14:paraId="02D532C8" w14:textId="77777777" w:rsidR="000E654D" w:rsidRDefault="000E654D" w:rsidP="000E654D">
      <w:pPr>
        <w:spacing w:after="0"/>
        <w:jc w:val="center"/>
        <w:rPr>
          <w:lang w:val="en-GB"/>
        </w:rPr>
      </w:pPr>
      <w:r>
        <w:rPr>
          <w:noProof/>
        </w:rPr>
        <w:drawing>
          <wp:inline distT="0" distB="0" distL="0" distR="0" wp14:anchorId="38013B8C" wp14:editId="225641E7">
            <wp:extent cx="5732145" cy="573214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2145" cy="5732145"/>
                    </a:xfrm>
                    <a:prstGeom prst="rect">
                      <a:avLst/>
                    </a:prstGeom>
                  </pic:spPr>
                </pic:pic>
              </a:graphicData>
            </a:graphic>
          </wp:inline>
        </w:drawing>
      </w:r>
    </w:p>
    <w:p w14:paraId="4809D5D5" w14:textId="77777777" w:rsidR="000E654D" w:rsidRPr="00953E17" w:rsidRDefault="000E654D" w:rsidP="00953E17">
      <w:pPr>
        <w:pStyle w:val="Heading2"/>
      </w:pPr>
      <w:r w:rsidRPr="00953E17">
        <w:t>Key achievements for ITU to accomplish in the 2020-2023 timeframe</w:t>
      </w:r>
    </w:p>
    <w:p w14:paraId="3C5D288B" w14:textId="77777777" w:rsidR="000E654D" w:rsidRDefault="000E654D" w:rsidP="000E654D">
      <w:pPr>
        <w:spacing w:after="0"/>
        <w:rPr>
          <w:lang w:val="en-GB"/>
        </w:rPr>
      </w:pPr>
      <w:r>
        <w:rPr>
          <w:lang w:val="en-GB"/>
        </w:rPr>
        <w:t>The contributors would like to see ITU achieving following top achievements in the 2020-2023 timeframe:</w:t>
      </w:r>
    </w:p>
    <w:p w14:paraId="5CE93702" w14:textId="77777777" w:rsidR="000E654D" w:rsidRDefault="000E654D" w:rsidP="0005237D">
      <w:pPr>
        <w:pStyle w:val="ListParagraph"/>
        <w:numPr>
          <w:ilvl w:val="0"/>
          <w:numId w:val="1"/>
        </w:numPr>
        <w:spacing w:after="0"/>
        <w:contextualSpacing/>
        <w:rPr>
          <w:lang w:val="en-GB"/>
        </w:rPr>
      </w:pPr>
      <w:r>
        <w:rPr>
          <w:lang w:val="en-GB"/>
        </w:rPr>
        <w:t>Foster u</w:t>
      </w:r>
      <w:r w:rsidRPr="005B0BCE">
        <w:rPr>
          <w:lang w:val="en-GB"/>
        </w:rPr>
        <w:t>niversal access</w:t>
      </w:r>
      <w:r>
        <w:rPr>
          <w:lang w:val="en-GB"/>
        </w:rPr>
        <w:t xml:space="preserve"> to ICTs</w:t>
      </w:r>
      <w:r w:rsidRPr="005B0BCE">
        <w:rPr>
          <w:lang w:val="en-GB"/>
        </w:rPr>
        <w:t xml:space="preserve"> (Africa Region, </w:t>
      </w:r>
      <w:r>
        <w:rPr>
          <w:lang w:val="en-GB"/>
        </w:rPr>
        <w:t xml:space="preserve">ICTA/BTK, </w:t>
      </w:r>
      <w:r w:rsidRPr="005B0BCE">
        <w:rPr>
          <w:lang w:val="en-GB"/>
        </w:rPr>
        <w:t>Oman Telecommunications Regulatory Authority</w:t>
      </w:r>
      <w:r>
        <w:rPr>
          <w:lang w:val="en-GB"/>
        </w:rPr>
        <w:t xml:space="preserve">, Solomon Islands, </w:t>
      </w:r>
      <w:r w:rsidRPr="000F29D6">
        <w:rPr>
          <w:lang w:val="en-GB"/>
        </w:rPr>
        <w:t>Agence Ivoirienne de Gestion des Fréquences Radioélectriques</w:t>
      </w:r>
      <w:r>
        <w:rPr>
          <w:lang w:val="en-GB"/>
        </w:rPr>
        <w:t>);</w:t>
      </w:r>
    </w:p>
    <w:p w14:paraId="79F031BF" w14:textId="77777777" w:rsidR="000E654D" w:rsidRDefault="000E654D" w:rsidP="0005237D">
      <w:pPr>
        <w:pStyle w:val="ListParagraph"/>
        <w:numPr>
          <w:ilvl w:val="0"/>
          <w:numId w:val="1"/>
        </w:numPr>
        <w:spacing w:after="0"/>
        <w:contextualSpacing/>
        <w:rPr>
          <w:lang w:val="en-GB"/>
        </w:rPr>
      </w:pPr>
      <w:r w:rsidRPr="005B0BCE">
        <w:rPr>
          <w:lang w:val="en-GB"/>
        </w:rPr>
        <w:t>Ensure safe and secure ICT infrastructures (ICTA/BTK, Oman Telecommunications Regulatory Authority, Solomon Islands)</w:t>
      </w:r>
      <w:r>
        <w:rPr>
          <w:lang w:val="en-GB"/>
        </w:rPr>
        <w:t>;</w:t>
      </w:r>
    </w:p>
    <w:p w14:paraId="0EB16D6B" w14:textId="07D2F859" w:rsidR="000E654D" w:rsidRPr="005B0BCE" w:rsidRDefault="000E654D" w:rsidP="0005237D">
      <w:pPr>
        <w:pStyle w:val="ListParagraph"/>
        <w:numPr>
          <w:ilvl w:val="0"/>
          <w:numId w:val="1"/>
        </w:numPr>
        <w:spacing w:after="0"/>
        <w:contextualSpacing/>
        <w:rPr>
          <w:lang w:val="en-GB"/>
        </w:rPr>
      </w:pPr>
      <w:r>
        <w:rPr>
          <w:lang w:val="en-GB"/>
        </w:rPr>
        <w:t>Increased participation of the private sector and industry experts (Africa Region, GSMA, ASIET, ESOA/GVF</w:t>
      </w:r>
      <w:r w:rsidR="00140084">
        <w:rPr>
          <w:lang w:val="en-GB"/>
        </w:rPr>
        <w:t>, Japan</w:t>
      </w:r>
      <w:r>
        <w:rPr>
          <w:lang w:val="en-GB"/>
        </w:rPr>
        <w:t>)</w:t>
      </w:r>
      <w:r w:rsidR="00953E17">
        <w:rPr>
          <w:lang w:val="en-GB"/>
        </w:rPr>
        <w:t>:</w:t>
      </w:r>
    </w:p>
    <w:p w14:paraId="47BF4D41" w14:textId="77777777" w:rsidR="000E654D" w:rsidRDefault="000E654D" w:rsidP="000E654D">
      <w:pPr>
        <w:spacing w:after="0"/>
        <w:ind w:left="567"/>
      </w:pPr>
      <w:r w:rsidRPr="002D724D">
        <w:t>(GSMA) “Industry expertise, information and data should form a central part of ITU discussions alongside input from Member States. This will help root decisions in the reality of operating communications services in today’s liberalized markets and will strengthen the robustness of ITU Recommendations and other outputs”.</w:t>
      </w:r>
    </w:p>
    <w:p w14:paraId="438E2EC6" w14:textId="6AE7A330" w:rsidR="00140084" w:rsidRPr="002D724D" w:rsidRDefault="00140084" w:rsidP="00140084">
      <w:pPr>
        <w:spacing w:after="0"/>
        <w:ind w:left="567"/>
      </w:pPr>
      <w:r>
        <w:lastRenderedPageBreak/>
        <w:t>(Japan) “</w:t>
      </w:r>
      <w:r w:rsidRPr="00140084">
        <w:t>The key facilitator for “ICT applications and services” is private sector, therefore it is all the more important to involve private sector and all related stakeholders in developin</w:t>
      </w:r>
      <w:r>
        <w:t>g and implementing ITU plans”.</w:t>
      </w:r>
    </w:p>
    <w:p w14:paraId="110396F9" w14:textId="77777777" w:rsidR="000E654D" w:rsidRPr="00953E17" w:rsidRDefault="000E654D" w:rsidP="00953E17">
      <w:pPr>
        <w:pStyle w:val="Heading2"/>
      </w:pPr>
      <w:r w:rsidRPr="00953E17">
        <w:t>Other proposals</w:t>
      </w:r>
    </w:p>
    <w:p w14:paraId="51C3988F" w14:textId="77777777" w:rsidR="000E654D" w:rsidRDefault="000E654D" w:rsidP="000E654D">
      <w:pPr>
        <w:spacing w:after="0"/>
        <w:rPr>
          <w:lang w:val="en-GB"/>
        </w:rPr>
      </w:pPr>
      <w:r>
        <w:rPr>
          <w:lang w:val="en-GB"/>
        </w:rPr>
        <w:t>The creation of a committee to consistently follow-up and advice on strategic issues for ITU is proposed:</w:t>
      </w:r>
    </w:p>
    <w:p w14:paraId="57C09870" w14:textId="77777777" w:rsidR="000E654D" w:rsidRDefault="000E654D" w:rsidP="000E654D">
      <w:pPr>
        <w:spacing w:after="0"/>
        <w:ind w:left="567"/>
        <w:rPr>
          <w:lang w:val="en-GB"/>
        </w:rPr>
      </w:pPr>
      <w:r w:rsidRPr="008D05BF">
        <w:t>(Africa Region) “ITU is recommended to have in place a coordination and implementation of the strategic and financial plan Committee that will consistently follow up and advice on the</w:t>
      </w:r>
      <w:r w:rsidRPr="002F4C5E">
        <w:rPr>
          <w:lang w:val="en-GB"/>
        </w:rPr>
        <w:t xml:space="preserve"> gaps / challenges faced during the implementation process to ensure proper linkage of activities and results”</w:t>
      </w:r>
    </w:p>
    <w:p w14:paraId="12A4EF82" w14:textId="77777777" w:rsidR="000E654D" w:rsidRPr="002F4C5E" w:rsidRDefault="000E654D" w:rsidP="000E654D">
      <w:pPr>
        <w:spacing w:after="0"/>
        <w:rPr>
          <w:lang w:val="en-GB"/>
        </w:rPr>
      </w:pPr>
      <w:r>
        <w:rPr>
          <w:lang w:val="en-GB"/>
        </w:rPr>
        <w:t>Recognizing the role of the industry and of market-based approaches:</w:t>
      </w:r>
    </w:p>
    <w:p w14:paraId="5C851A81" w14:textId="77777777" w:rsidR="000E654D" w:rsidRDefault="000E654D" w:rsidP="000E654D">
      <w:pPr>
        <w:spacing w:after="0"/>
        <w:ind w:left="567"/>
      </w:pPr>
      <w:r w:rsidRPr="008D05BF">
        <w:t xml:space="preserve">(GSMA) “ITU should </w:t>
      </w:r>
      <w:r w:rsidRPr="00002BC8">
        <w:rPr>
          <w:lang w:val="en-GB"/>
        </w:rPr>
        <w:t>recognise</w:t>
      </w:r>
      <w:r w:rsidRPr="008D05BF">
        <w:t xml:space="preserve"> the importance of all stakeholders, including industry service providers, in developing and investing in current and future technology for connectivity. Market-based approaches to the development of technologies should be embraced by the ITU”.</w:t>
      </w:r>
    </w:p>
    <w:p w14:paraId="2193E5A8" w14:textId="3CAB4F03" w:rsidR="0035622D" w:rsidRDefault="0035622D" w:rsidP="000E654D">
      <w:pPr>
        <w:spacing w:after="0"/>
        <w:ind w:left="567"/>
      </w:pPr>
      <w:r>
        <w:t>(Japan) “T</w:t>
      </w:r>
      <w:r w:rsidRPr="0035622D">
        <w:t>o build an open and competitive market that encourages investment in ICT</w:t>
      </w:r>
      <w:r>
        <w:t>”.</w:t>
      </w:r>
    </w:p>
    <w:p w14:paraId="79569D41" w14:textId="77777777" w:rsidR="000E654D" w:rsidRPr="008D05BF" w:rsidRDefault="000E654D" w:rsidP="000E654D">
      <w:pPr>
        <w:spacing w:after="0"/>
      </w:pPr>
      <w:r>
        <w:t>A proposal related to personal data and consumer protection:</w:t>
      </w:r>
    </w:p>
    <w:p w14:paraId="0ADBB104" w14:textId="77777777" w:rsidR="000E654D" w:rsidRDefault="000E654D" w:rsidP="000E654D">
      <w:pPr>
        <w:spacing w:after="0"/>
        <w:ind w:left="567"/>
      </w:pPr>
      <w:r w:rsidRPr="008D05BF">
        <w:t>(Oman Telecommunications Regulatory Authority) “Consumer protection in respect of personal data and unsolicited intrusion are emerging as significant concerns in the ever connected world; codes of practice and self-regulation measures should be encouraged and facilitated to avoid over-use of digital economy”.</w:t>
      </w:r>
    </w:p>
    <w:p w14:paraId="2922973C" w14:textId="77777777" w:rsidR="000E654D" w:rsidRPr="008D05BF" w:rsidRDefault="000E654D" w:rsidP="000E654D">
      <w:pPr>
        <w:spacing w:after="0"/>
      </w:pPr>
      <w:r>
        <w:t>An observation on the number of ITU events:</w:t>
      </w:r>
    </w:p>
    <w:p w14:paraId="2F1095CA" w14:textId="77777777" w:rsidR="000E654D" w:rsidRDefault="000E654D" w:rsidP="000E654D">
      <w:pPr>
        <w:ind w:left="567"/>
      </w:pPr>
      <w:r w:rsidRPr="008D05BF">
        <w:t>(Solomon Islands): “ITU is organizing too many events which LDCs cannot afford to attend and therefore lag behind in terms of knowledge, skills and technology”.</w:t>
      </w:r>
    </w:p>
    <w:p w14:paraId="2A4F3AAE" w14:textId="77777777" w:rsidR="000E654D" w:rsidRPr="008D05BF" w:rsidRDefault="000E654D" w:rsidP="000E654D">
      <w:r>
        <w:t xml:space="preserve">A proposal for ITU to promote an </w:t>
      </w:r>
      <w:r w:rsidRPr="006A5D67">
        <w:t>interconnected and integrated global submarine and land fiber optical communication network</w:t>
      </w:r>
      <w:r>
        <w:t xml:space="preserve"> was also submitted:</w:t>
      </w:r>
    </w:p>
    <w:p w14:paraId="3C8AE5F3" w14:textId="77777777" w:rsidR="000E654D" w:rsidRDefault="000E654D" w:rsidP="000E654D">
      <w:pPr>
        <w:ind w:left="567"/>
      </w:pPr>
      <w:r w:rsidRPr="008D05BF">
        <w:t>(CITCC) “[ITU] to promote and develop a globally interconnected fibre-optic network with the integration of terrestrial and submarine cable”.</w:t>
      </w:r>
    </w:p>
    <w:p w14:paraId="37A472B8" w14:textId="77777777" w:rsidR="000E654D" w:rsidRDefault="000E654D" w:rsidP="000E654D"/>
    <w:p w14:paraId="3AD1D5B6" w14:textId="77777777" w:rsidR="000E654D" w:rsidRPr="002F4C5E" w:rsidRDefault="000E654D" w:rsidP="000E654D">
      <w:pPr>
        <w:pStyle w:val="Heading1"/>
        <w:ind w:left="432" w:hanging="432"/>
        <w:rPr>
          <w:lang w:val="en-GB"/>
        </w:rPr>
      </w:pPr>
      <w:r w:rsidRPr="002F4C5E">
        <w:rPr>
          <w:lang w:val="en-GB"/>
        </w:rPr>
        <w:t>List of Contributions</w:t>
      </w:r>
    </w:p>
    <w:p w14:paraId="1F006AEE" w14:textId="69A81FCD" w:rsidR="000E654D" w:rsidRDefault="000E654D" w:rsidP="005B37F0">
      <w:pPr>
        <w:rPr>
          <w:lang w:val="en-GB"/>
        </w:rPr>
      </w:pPr>
      <w:r w:rsidRPr="002F4C5E">
        <w:rPr>
          <w:lang w:val="en-GB"/>
        </w:rPr>
        <w:t xml:space="preserve">The contributions received for the CWG-SFP Public Consultation on the ITU strategic priorities for 2020-2023 are listed below. </w:t>
      </w:r>
      <w:r w:rsidR="005B37F0">
        <w:rPr>
          <w:lang w:val="en-GB"/>
        </w:rPr>
        <w:t>Links to t</w:t>
      </w:r>
      <w:r w:rsidRPr="002F4C5E">
        <w:rPr>
          <w:lang w:val="en-GB"/>
        </w:rPr>
        <w:t xml:space="preserve">he full text of all the contributions is </w:t>
      </w:r>
      <w:r w:rsidRPr="0045246F">
        <w:rPr>
          <w:lang w:val="en-GB"/>
        </w:rPr>
        <w:t xml:space="preserve">available online at </w:t>
      </w:r>
      <w:hyperlink r:id="rId18" w:history="1">
        <w:r w:rsidRPr="0045246F">
          <w:rPr>
            <w:rStyle w:val="Hyperlink"/>
            <w:lang w:val="en-GB"/>
          </w:rPr>
          <w:t>www.itu.int/PublicConsultations</w:t>
        </w:r>
      </w:hyperlink>
      <w:r w:rsidR="005B37F0">
        <w:rPr>
          <w:lang w:val="en-GB"/>
        </w:rPr>
        <w:t xml:space="preserve"> </w:t>
      </w:r>
      <w:r w:rsidR="005B37F0" w:rsidRPr="00AF54B0">
        <w:rPr>
          <w:lang w:val="en-GB"/>
        </w:rPr>
        <w:t xml:space="preserve">and in </w:t>
      </w:r>
      <w:hyperlink r:id="rId19" w:history="1">
        <w:r w:rsidR="005B37F0" w:rsidRPr="00AF54B0">
          <w:rPr>
            <w:rStyle w:val="Hyperlink"/>
            <w:lang w:val="en-GB"/>
          </w:rPr>
          <w:t>document CWG-SFP-2/INF-5</w:t>
        </w:r>
      </w:hyperlink>
      <w:r w:rsidR="005B37F0" w:rsidRPr="00AF54B0">
        <w:rPr>
          <w:lang w:val="en-GB"/>
        </w:rPr>
        <w:t>.</w:t>
      </w:r>
    </w:p>
    <w:p w14:paraId="6E12EEB2" w14:textId="77777777" w:rsidR="000E654D" w:rsidRDefault="000E654D" w:rsidP="000E654D">
      <w:pPr>
        <w:keepNext/>
        <w:rPr>
          <w:b/>
          <w:sz w:val="20"/>
          <w:szCs w:val="20"/>
          <w:lang w:val="en-GB"/>
        </w:rPr>
      </w:pPr>
      <w:r w:rsidRPr="00235FAF">
        <w:rPr>
          <w:b/>
          <w:sz w:val="20"/>
          <w:szCs w:val="20"/>
          <w:lang w:val="en-GB"/>
        </w:rPr>
        <w:t xml:space="preserve">Figure </w:t>
      </w:r>
      <w:r w:rsidRPr="00235FAF">
        <w:rPr>
          <w:b/>
          <w:sz w:val="20"/>
          <w:szCs w:val="20"/>
          <w:lang w:val="en-GB"/>
        </w:rPr>
        <w:fldChar w:fldCharType="begin"/>
      </w:r>
      <w:r w:rsidRPr="00235FAF">
        <w:rPr>
          <w:b/>
          <w:sz w:val="20"/>
          <w:szCs w:val="20"/>
          <w:lang w:val="en-GB"/>
        </w:rPr>
        <w:instrText xml:space="preserve"> SEQ Figure \* ARABIC </w:instrText>
      </w:r>
      <w:r w:rsidRPr="00235FAF">
        <w:rPr>
          <w:b/>
          <w:sz w:val="20"/>
          <w:szCs w:val="20"/>
          <w:lang w:val="en-GB"/>
        </w:rPr>
        <w:fldChar w:fldCharType="separate"/>
      </w:r>
      <w:r>
        <w:rPr>
          <w:b/>
          <w:noProof/>
          <w:sz w:val="20"/>
          <w:szCs w:val="20"/>
          <w:lang w:val="en-GB"/>
        </w:rPr>
        <w:t>4</w:t>
      </w:r>
      <w:r w:rsidRPr="00235FAF">
        <w:rPr>
          <w:b/>
          <w:sz w:val="20"/>
          <w:szCs w:val="20"/>
          <w:lang w:val="en-GB"/>
        </w:rPr>
        <w:fldChar w:fldCharType="end"/>
      </w:r>
      <w:r w:rsidRPr="002F4C5E">
        <w:rPr>
          <w:rStyle w:val="FootnoteReference"/>
          <w:b/>
          <w:sz w:val="20"/>
          <w:szCs w:val="20"/>
          <w:lang w:val="en-GB"/>
        </w:rPr>
        <w:footnoteReference w:id="2"/>
      </w:r>
      <w:r w:rsidRPr="002F4C5E">
        <w:rPr>
          <w:b/>
          <w:sz w:val="20"/>
          <w:szCs w:val="20"/>
          <w:lang w:val="en-GB"/>
        </w:rPr>
        <w:t>: Contributions to the CWG-SFP Public Consultation on the ITU 2020-2023 strategy</w:t>
      </w:r>
    </w:p>
    <w:p w14:paraId="675C1261" w14:textId="02ECDC53" w:rsidR="000E654D" w:rsidRDefault="000E654D" w:rsidP="000E654D">
      <w:pPr>
        <w:rPr>
          <w:lang w:val="en-GB"/>
        </w:rPr>
      </w:pPr>
    </w:p>
    <w:p w14:paraId="523A0CD9" w14:textId="77777777" w:rsidR="000E654D" w:rsidRDefault="000E654D" w:rsidP="000E654D">
      <w:pPr>
        <w:rPr>
          <w:lang w:val="en-GB"/>
        </w:rPr>
      </w:pPr>
    </w:p>
    <w:p w14:paraId="180BB31B" w14:textId="77777777" w:rsidR="000E654D" w:rsidRDefault="000E654D" w:rsidP="000E654D">
      <w:pPr>
        <w:rPr>
          <w:lang w:val="en-GB"/>
        </w:rPr>
      </w:pPr>
    </w:p>
    <w:p w14:paraId="13E2D739" w14:textId="77777777" w:rsidR="000E654D" w:rsidRDefault="000E654D" w:rsidP="000E654D">
      <w:pPr>
        <w:rPr>
          <w:lang w:val="en-GB"/>
        </w:rPr>
      </w:pPr>
    </w:p>
    <w:p w14:paraId="5D95D60D" w14:textId="4929F48A" w:rsidR="00C74FE3" w:rsidRDefault="00C74FE3" w:rsidP="000E654D">
      <w:pPr>
        <w:rPr>
          <w:lang w:val="en-GB"/>
        </w:rPr>
      </w:pPr>
      <w:r>
        <w:rPr>
          <w:noProof/>
        </w:rPr>
        <w:lastRenderedPageBreak/>
        <w:drawing>
          <wp:inline distT="0" distB="0" distL="0" distR="0" wp14:anchorId="69973DBA" wp14:editId="1DF7C670">
            <wp:extent cx="6189345" cy="398907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89345" cy="3989070"/>
                    </a:xfrm>
                    <a:prstGeom prst="rect">
                      <a:avLst/>
                    </a:prstGeom>
                  </pic:spPr>
                </pic:pic>
              </a:graphicData>
            </a:graphic>
          </wp:inline>
        </w:drawing>
      </w:r>
    </w:p>
    <w:tbl>
      <w:tblPr>
        <w:tblStyle w:val="GridTable2-Accent11"/>
        <w:tblW w:w="9027" w:type="dxa"/>
        <w:tblCellMar>
          <w:left w:w="57" w:type="dxa"/>
          <w:right w:w="57" w:type="dxa"/>
        </w:tblCellMar>
        <w:tblLook w:val="0420" w:firstRow="1" w:lastRow="0" w:firstColumn="0" w:lastColumn="0" w:noHBand="0" w:noVBand="1"/>
      </w:tblPr>
      <w:tblGrid>
        <w:gridCol w:w="426"/>
        <w:gridCol w:w="668"/>
        <w:gridCol w:w="4652"/>
        <w:gridCol w:w="1161"/>
        <w:gridCol w:w="2120"/>
      </w:tblGrid>
      <w:tr w:rsidR="000E654D" w:rsidRPr="002F4C5E" w14:paraId="4F90E0C9" w14:textId="77777777" w:rsidTr="00AE35F1">
        <w:trPr>
          <w:cnfStyle w:val="100000000000" w:firstRow="1" w:lastRow="0" w:firstColumn="0" w:lastColumn="0" w:oddVBand="0" w:evenVBand="0" w:oddHBand="0" w:evenHBand="0" w:firstRowFirstColumn="0" w:firstRowLastColumn="0" w:lastRowFirstColumn="0" w:lastRowLastColumn="0"/>
          <w:trHeight w:val="315"/>
        </w:trPr>
        <w:tc>
          <w:tcPr>
            <w:tcW w:w="426" w:type="dxa"/>
            <w:noWrap/>
            <w:hideMark/>
          </w:tcPr>
          <w:p w14:paraId="006752F8" w14:textId="77777777" w:rsidR="000E654D" w:rsidRPr="002F4C5E" w:rsidRDefault="000E654D" w:rsidP="00AE35F1">
            <w:pPr>
              <w:spacing w:before="0" w:after="0"/>
              <w:jc w:val="left"/>
              <w:rPr>
                <w:rFonts w:eastAsia="Times New Roman" w:cs="Times New Roman"/>
                <w:color w:val="000000"/>
                <w:sz w:val="20"/>
                <w:szCs w:val="20"/>
                <w:lang w:val="en-GB"/>
              </w:rPr>
            </w:pPr>
          </w:p>
        </w:tc>
        <w:tc>
          <w:tcPr>
            <w:tcW w:w="668" w:type="dxa"/>
            <w:noWrap/>
            <w:hideMark/>
          </w:tcPr>
          <w:p w14:paraId="16E69C7C" w14:textId="77777777" w:rsidR="000E654D" w:rsidRPr="002F4C5E" w:rsidRDefault="000E654D" w:rsidP="00AE35F1">
            <w:pPr>
              <w:spacing w:before="0" w:after="0"/>
              <w:jc w:val="center"/>
              <w:rPr>
                <w:rFonts w:eastAsia="Times New Roman" w:cs="Times New Roman"/>
                <w:color w:val="000000"/>
                <w:sz w:val="20"/>
                <w:szCs w:val="20"/>
                <w:lang w:val="en-GB"/>
              </w:rPr>
            </w:pPr>
            <w:r w:rsidRPr="002F4C5E">
              <w:rPr>
                <w:rFonts w:eastAsia="Times New Roman" w:cs="Times New Roman"/>
                <w:color w:val="000000"/>
                <w:sz w:val="20"/>
                <w:szCs w:val="20"/>
                <w:lang w:val="en-GB"/>
              </w:rPr>
              <w:t>Date</w:t>
            </w:r>
          </w:p>
        </w:tc>
        <w:tc>
          <w:tcPr>
            <w:tcW w:w="4652" w:type="dxa"/>
            <w:noWrap/>
            <w:hideMark/>
          </w:tcPr>
          <w:p w14:paraId="280DF0DB" w14:textId="77777777" w:rsidR="000E654D" w:rsidRPr="002F4C5E" w:rsidRDefault="000E654D" w:rsidP="00AE35F1">
            <w:pPr>
              <w:spacing w:before="0" w:after="0"/>
              <w:jc w:val="center"/>
              <w:rPr>
                <w:rFonts w:eastAsia="Times New Roman" w:cs="Times New Roman"/>
                <w:color w:val="000000"/>
                <w:sz w:val="20"/>
                <w:szCs w:val="20"/>
                <w:lang w:val="en-GB"/>
              </w:rPr>
            </w:pPr>
            <w:r w:rsidRPr="002F4C5E">
              <w:rPr>
                <w:rFonts w:eastAsia="Times New Roman" w:cs="Times New Roman"/>
                <w:color w:val="000000"/>
                <w:sz w:val="20"/>
                <w:szCs w:val="20"/>
                <w:lang w:val="en-GB"/>
              </w:rPr>
              <w:t>Entity</w:t>
            </w:r>
          </w:p>
        </w:tc>
        <w:tc>
          <w:tcPr>
            <w:tcW w:w="1161" w:type="dxa"/>
            <w:noWrap/>
            <w:hideMark/>
          </w:tcPr>
          <w:p w14:paraId="39DDBF0F" w14:textId="77777777" w:rsidR="000E654D" w:rsidRPr="002F4C5E" w:rsidRDefault="000E654D" w:rsidP="00AE35F1">
            <w:pPr>
              <w:spacing w:before="0" w:after="0"/>
              <w:jc w:val="center"/>
              <w:rPr>
                <w:rFonts w:eastAsia="Times New Roman" w:cs="Times New Roman"/>
                <w:color w:val="000000"/>
                <w:sz w:val="20"/>
                <w:szCs w:val="20"/>
                <w:lang w:val="en-GB"/>
              </w:rPr>
            </w:pPr>
            <w:r w:rsidRPr="002F4C5E">
              <w:rPr>
                <w:rFonts w:eastAsia="Times New Roman" w:cs="Times New Roman"/>
                <w:color w:val="000000"/>
                <w:sz w:val="20"/>
                <w:szCs w:val="20"/>
                <w:lang w:val="en-GB"/>
              </w:rPr>
              <w:t>Country</w:t>
            </w:r>
          </w:p>
        </w:tc>
        <w:tc>
          <w:tcPr>
            <w:tcW w:w="2120" w:type="dxa"/>
            <w:noWrap/>
            <w:hideMark/>
          </w:tcPr>
          <w:p w14:paraId="0AF762AB" w14:textId="77777777" w:rsidR="000E654D" w:rsidRPr="002F4C5E" w:rsidRDefault="000E654D" w:rsidP="00AE35F1">
            <w:pPr>
              <w:spacing w:before="0" w:after="0"/>
              <w:jc w:val="center"/>
              <w:rPr>
                <w:rFonts w:eastAsia="Times New Roman" w:cs="Times New Roman"/>
                <w:color w:val="000000"/>
                <w:sz w:val="20"/>
                <w:szCs w:val="20"/>
                <w:lang w:val="en-GB"/>
              </w:rPr>
            </w:pPr>
            <w:r w:rsidRPr="002F4C5E">
              <w:rPr>
                <w:rFonts w:eastAsia="Times New Roman" w:cs="Times New Roman"/>
                <w:color w:val="000000"/>
                <w:sz w:val="20"/>
                <w:szCs w:val="20"/>
                <w:lang w:val="en-GB"/>
              </w:rPr>
              <w:t>Focal Point</w:t>
            </w:r>
          </w:p>
        </w:tc>
      </w:tr>
      <w:tr w:rsidR="000E654D" w:rsidRPr="002F4C5E" w14:paraId="57A731C6"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040C4E5F"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w:t>
            </w:r>
          </w:p>
        </w:tc>
        <w:tc>
          <w:tcPr>
            <w:tcW w:w="668" w:type="dxa"/>
            <w:noWrap/>
            <w:hideMark/>
          </w:tcPr>
          <w:p w14:paraId="672753B3"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22 Jun</w:t>
            </w:r>
          </w:p>
        </w:tc>
        <w:tc>
          <w:tcPr>
            <w:tcW w:w="4652" w:type="dxa"/>
            <w:noWrap/>
            <w:hideMark/>
          </w:tcPr>
          <w:p w14:paraId="6AC2D4EA"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Royal Holloway, University of London / UNESCO Chair in ICT4D</w:t>
            </w:r>
          </w:p>
        </w:tc>
        <w:tc>
          <w:tcPr>
            <w:tcW w:w="1161" w:type="dxa"/>
            <w:noWrap/>
            <w:hideMark/>
          </w:tcPr>
          <w:p w14:paraId="4F6EFB82" w14:textId="77777777" w:rsidR="000E654D" w:rsidRPr="002F4C5E" w:rsidRDefault="000E654D" w:rsidP="00AE35F1">
            <w:pPr>
              <w:spacing w:before="0" w:after="0"/>
              <w:jc w:val="left"/>
              <w:rPr>
                <w:rFonts w:eastAsia="Times New Roman" w:cs="Times New Roman"/>
                <w:color w:val="000000"/>
                <w:sz w:val="20"/>
                <w:szCs w:val="20"/>
                <w:lang w:val="en-GB"/>
              </w:rPr>
            </w:pPr>
            <w:r>
              <w:rPr>
                <w:rFonts w:eastAsia="Times New Roman" w:cs="Times New Roman"/>
                <w:color w:val="000000"/>
                <w:sz w:val="20"/>
                <w:szCs w:val="20"/>
                <w:lang w:val="en-GB"/>
              </w:rPr>
              <w:t>UK</w:t>
            </w:r>
          </w:p>
        </w:tc>
        <w:tc>
          <w:tcPr>
            <w:tcW w:w="2120" w:type="dxa"/>
            <w:noWrap/>
            <w:hideMark/>
          </w:tcPr>
          <w:p w14:paraId="6FB396A5"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Tim UNWIN</w:t>
            </w:r>
          </w:p>
        </w:tc>
      </w:tr>
      <w:tr w:rsidR="000E654D" w:rsidRPr="002F4C5E" w14:paraId="72E74C8A" w14:textId="77777777" w:rsidTr="00AE35F1">
        <w:trPr>
          <w:trHeight w:val="315"/>
        </w:trPr>
        <w:tc>
          <w:tcPr>
            <w:tcW w:w="426" w:type="dxa"/>
            <w:noWrap/>
            <w:hideMark/>
          </w:tcPr>
          <w:p w14:paraId="442D6042"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2</w:t>
            </w:r>
          </w:p>
        </w:tc>
        <w:tc>
          <w:tcPr>
            <w:tcW w:w="668" w:type="dxa"/>
            <w:noWrap/>
            <w:hideMark/>
          </w:tcPr>
          <w:p w14:paraId="1BD289F6"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23 Jun</w:t>
            </w:r>
          </w:p>
        </w:tc>
        <w:tc>
          <w:tcPr>
            <w:tcW w:w="4652" w:type="dxa"/>
            <w:noWrap/>
            <w:hideMark/>
          </w:tcPr>
          <w:p w14:paraId="77036EDE"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Department of Innovation, Science and Economic Development (ISED)</w:t>
            </w:r>
          </w:p>
        </w:tc>
        <w:tc>
          <w:tcPr>
            <w:tcW w:w="1161" w:type="dxa"/>
            <w:noWrap/>
            <w:hideMark/>
          </w:tcPr>
          <w:p w14:paraId="59C125F2"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Canada</w:t>
            </w:r>
          </w:p>
        </w:tc>
        <w:tc>
          <w:tcPr>
            <w:tcW w:w="2120" w:type="dxa"/>
            <w:noWrap/>
            <w:hideMark/>
          </w:tcPr>
          <w:p w14:paraId="61D992F3"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Santiago REYES-BORDA</w:t>
            </w:r>
          </w:p>
        </w:tc>
      </w:tr>
      <w:tr w:rsidR="000E654D" w:rsidRPr="002F4C5E" w14:paraId="3F651D4D"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2E70494A"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3</w:t>
            </w:r>
          </w:p>
        </w:tc>
        <w:tc>
          <w:tcPr>
            <w:tcW w:w="668" w:type="dxa"/>
            <w:noWrap/>
            <w:hideMark/>
          </w:tcPr>
          <w:p w14:paraId="24B858CD"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4 Jul</w:t>
            </w:r>
          </w:p>
        </w:tc>
        <w:tc>
          <w:tcPr>
            <w:tcW w:w="4652" w:type="dxa"/>
            <w:noWrap/>
            <w:hideMark/>
          </w:tcPr>
          <w:p w14:paraId="4F337DCC"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Rwanda Utilities Regulatory Authority / Africa Region</w:t>
            </w:r>
          </w:p>
        </w:tc>
        <w:tc>
          <w:tcPr>
            <w:tcW w:w="1161" w:type="dxa"/>
            <w:noWrap/>
            <w:hideMark/>
          </w:tcPr>
          <w:p w14:paraId="056DE656"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Rwanda</w:t>
            </w:r>
          </w:p>
        </w:tc>
        <w:tc>
          <w:tcPr>
            <w:tcW w:w="2120" w:type="dxa"/>
            <w:noWrap/>
            <w:hideMark/>
          </w:tcPr>
          <w:p w14:paraId="642A21F2"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Jackline MUPENZI</w:t>
            </w:r>
          </w:p>
        </w:tc>
      </w:tr>
      <w:tr w:rsidR="000E654D" w:rsidRPr="002F4C5E" w14:paraId="0D75FA59" w14:textId="77777777" w:rsidTr="00AE35F1">
        <w:trPr>
          <w:trHeight w:val="315"/>
        </w:trPr>
        <w:tc>
          <w:tcPr>
            <w:tcW w:w="426" w:type="dxa"/>
            <w:noWrap/>
            <w:hideMark/>
          </w:tcPr>
          <w:p w14:paraId="2521EB64"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4</w:t>
            </w:r>
          </w:p>
        </w:tc>
        <w:tc>
          <w:tcPr>
            <w:tcW w:w="668" w:type="dxa"/>
            <w:noWrap/>
            <w:hideMark/>
          </w:tcPr>
          <w:p w14:paraId="21501BB2"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4 Jul</w:t>
            </w:r>
          </w:p>
        </w:tc>
        <w:tc>
          <w:tcPr>
            <w:tcW w:w="4652" w:type="dxa"/>
            <w:noWrap/>
            <w:hideMark/>
          </w:tcPr>
          <w:p w14:paraId="19433044"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CITCC - China International Telecommunication Construction Corporation</w:t>
            </w:r>
          </w:p>
        </w:tc>
        <w:tc>
          <w:tcPr>
            <w:tcW w:w="1161" w:type="dxa"/>
            <w:noWrap/>
            <w:hideMark/>
          </w:tcPr>
          <w:p w14:paraId="419F67CF"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China</w:t>
            </w:r>
          </w:p>
        </w:tc>
        <w:tc>
          <w:tcPr>
            <w:tcW w:w="2120" w:type="dxa"/>
            <w:noWrap/>
            <w:hideMark/>
          </w:tcPr>
          <w:p w14:paraId="1B5E5881"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Wei Zhao</w:t>
            </w:r>
          </w:p>
        </w:tc>
      </w:tr>
      <w:tr w:rsidR="000E654D" w:rsidRPr="002F4C5E" w14:paraId="17FF3F88"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0211E5A1"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5</w:t>
            </w:r>
          </w:p>
        </w:tc>
        <w:tc>
          <w:tcPr>
            <w:tcW w:w="668" w:type="dxa"/>
            <w:noWrap/>
            <w:hideMark/>
          </w:tcPr>
          <w:p w14:paraId="03A2F4EF"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6 Jul</w:t>
            </w:r>
          </w:p>
        </w:tc>
        <w:tc>
          <w:tcPr>
            <w:tcW w:w="4652" w:type="dxa"/>
            <w:noWrap/>
            <w:hideMark/>
          </w:tcPr>
          <w:p w14:paraId="1D9B2515"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GSMA</w:t>
            </w:r>
          </w:p>
        </w:tc>
        <w:tc>
          <w:tcPr>
            <w:tcW w:w="1161" w:type="dxa"/>
            <w:noWrap/>
            <w:hideMark/>
          </w:tcPr>
          <w:p w14:paraId="63EA6032"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UK</w:t>
            </w:r>
          </w:p>
        </w:tc>
        <w:tc>
          <w:tcPr>
            <w:tcW w:w="2120" w:type="dxa"/>
            <w:noWrap/>
            <w:hideMark/>
          </w:tcPr>
          <w:p w14:paraId="31795D5B"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Dominique LAZANSKI</w:t>
            </w:r>
          </w:p>
        </w:tc>
      </w:tr>
      <w:tr w:rsidR="000E654D" w:rsidRPr="002F4C5E" w14:paraId="2725EEA8" w14:textId="77777777" w:rsidTr="00AE35F1">
        <w:trPr>
          <w:trHeight w:val="315"/>
        </w:trPr>
        <w:tc>
          <w:tcPr>
            <w:tcW w:w="426" w:type="dxa"/>
            <w:noWrap/>
            <w:hideMark/>
          </w:tcPr>
          <w:p w14:paraId="36350538"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6</w:t>
            </w:r>
          </w:p>
        </w:tc>
        <w:tc>
          <w:tcPr>
            <w:tcW w:w="668" w:type="dxa"/>
            <w:noWrap/>
            <w:hideMark/>
          </w:tcPr>
          <w:p w14:paraId="2B1613C1"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6 Jul</w:t>
            </w:r>
          </w:p>
        </w:tc>
        <w:tc>
          <w:tcPr>
            <w:tcW w:w="4652" w:type="dxa"/>
            <w:hideMark/>
          </w:tcPr>
          <w:p w14:paraId="0900A7DC"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Oman Telecommunications Regulatory Authority</w:t>
            </w:r>
          </w:p>
        </w:tc>
        <w:tc>
          <w:tcPr>
            <w:tcW w:w="1161" w:type="dxa"/>
            <w:noWrap/>
            <w:hideMark/>
          </w:tcPr>
          <w:p w14:paraId="7934671A"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Oman</w:t>
            </w:r>
          </w:p>
        </w:tc>
        <w:tc>
          <w:tcPr>
            <w:tcW w:w="2120" w:type="dxa"/>
            <w:noWrap/>
            <w:hideMark/>
          </w:tcPr>
          <w:p w14:paraId="6A645BE2"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Muna AL BALUSHI</w:t>
            </w:r>
          </w:p>
        </w:tc>
      </w:tr>
      <w:tr w:rsidR="000E654D" w:rsidRPr="002F4C5E" w14:paraId="6B9E67EB"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754158AD"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w:t>
            </w:r>
          </w:p>
        </w:tc>
        <w:tc>
          <w:tcPr>
            <w:tcW w:w="668" w:type="dxa"/>
            <w:noWrap/>
            <w:hideMark/>
          </w:tcPr>
          <w:p w14:paraId="66F3E725"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6 Jul</w:t>
            </w:r>
          </w:p>
        </w:tc>
        <w:tc>
          <w:tcPr>
            <w:tcW w:w="4652" w:type="dxa"/>
            <w:noWrap/>
            <w:hideMark/>
          </w:tcPr>
          <w:p w14:paraId="35F771D9"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Ericsson AB</w:t>
            </w:r>
          </w:p>
        </w:tc>
        <w:tc>
          <w:tcPr>
            <w:tcW w:w="1161" w:type="dxa"/>
            <w:noWrap/>
            <w:hideMark/>
          </w:tcPr>
          <w:p w14:paraId="70D771E3"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Sweden</w:t>
            </w:r>
          </w:p>
        </w:tc>
        <w:tc>
          <w:tcPr>
            <w:tcW w:w="2120" w:type="dxa"/>
            <w:noWrap/>
            <w:hideMark/>
          </w:tcPr>
          <w:p w14:paraId="14390C6D"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Jan FÄRJH</w:t>
            </w:r>
          </w:p>
        </w:tc>
      </w:tr>
      <w:tr w:rsidR="000E654D" w:rsidRPr="002F4C5E" w14:paraId="28EAB0C1" w14:textId="77777777" w:rsidTr="00AE35F1">
        <w:trPr>
          <w:trHeight w:val="315"/>
        </w:trPr>
        <w:tc>
          <w:tcPr>
            <w:tcW w:w="426" w:type="dxa"/>
            <w:noWrap/>
            <w:hideMark/>
          </w:tcPr>
          <w:p w14:paraId="370596A9"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8</w:t>
            </w:r>
          </w:p>
        </w:tc>
        <w:tc>
          <w:tcPr>
            <w:tcW w:w="668" w:type="dxa"/>
            <w:noWrap/>
            <w:hideMark/>
          </w:tcPr>
          <w:p w14:paraId="6C71A7A2"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 xml:space="preserve"> 6 Jul</w:t>
            </w:r>
          </w:p>
        </w:tc>
        <w:tc>
          <w:tcPr>
            <w:tcW w:w="4652" w:type="dxa"/>
            <w:noWrap/>
            <w:hideMark/>
          </w:tcPr>
          <w:p w14:paraId="5F38F4AD"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Ministry of Telecom and Mass Communications of the Russian Federation</w:t>
            </w:r>
          </w:p>
        </w:tc>
        <w:tc>
          <w:tcPr>
            <w:tcW w:w="1161" w:type="dxa"/>
            <w:noWrap/>
            <w:hideMark/>
          </w:tcPr>
          <w:p w14:paraId="270F7062"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Russia</w:t>
            </w:r>
          </w:p>
        </w:tc>
        <w:tc>
          <w:tcPr>
            <w:tcW w:w="2120" w:type="dxa"/>
            <w:noWrap/>
            <w:hideMark/>
          </w:tcPr>
          <w:p w14:paraId="165729C9"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Anton YUZHAKOV</w:t>
            </w:r>
          </w:p>
        </w:tc>
      </w:tr>
      <w:tr w:rsidR="000E654D" w:rsidRPr="002F4C5E" w14:paraId="238595C0"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4E8BA073"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9</w:t>
            </w:r>
          </w:p>
        </w:tc>
        <w:tc>
          <w:tcPr>
            <w:tcW w:w="668" w:type="dxa"/>
            <w:noWrap/>
            <w:hideMark/>
          </w:tcPr>
          <w:p w14:paraId="5D97286D"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0AF6D6D6"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Information and Communication Technologies Authority (ICTA/BTK) (Turkey)</w:t>
            </w:r>
          </w:p>
        </w:tc>
        <w:tc>
          <w:tcPr>
            <w:tcW w:w="1161" w:type="dxa"/>
            <w:noWrap/>
            <w:hideMark/>
          </w:tcPr>
          <w:p w14:paraId="3A9C7F2C"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Turkey</w:t>
            </w:r>
          </w:p>
        </w:tc>
        <w:tc>
          <w:tcPr>
            <w:tcW w:w="2120" w:type="dxa"/>
            <w:noWrap/>
            <w:hideMark/>
          </w:tcPr>
          <w:p w14:paraId="20C79400"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Handan CANTEKINLER</w:t>
            </w:r>
          </w:p>
        </w:tc>
      </w:tr>
      <w:tr w:rsidR="000E654D" w:rsidRPr="002F4C5E" w14:paraId="1C101190" w14:textId="77777777" w:rsidTr="00AE35F1">
        <w:trPr>
          <w:trHeight w:val="315"/>
        </w:trPr>
        <w:tc>
          <w:tcPr>
            <w:tcW w:w="426" w:type="dxa"/>
            <w:noWrap/>
            <w:hideMark/>
          </w:tcPr>
          <w:p w14:paraId="56CEA0BE"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10</w:t>
            </w:r>
          </w:p>
        </w:tc>
        <w:tc>
          <w:tcPr>
            <w:tcW w:w="668" w:type="dxa"/>
            <w:noWrap/>
            <w:hideMark/>
          </w:tcPr>
          <w:p w14:paraId="4FF9897D"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hideMark/>
          </w:tcPr>
          <w:p w14:paraId="331C72E7"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CSFP (Commonwealth Scholarship and Fellowship Plan)</w:t>
            </w:r>
          </w:p>
        </w:tc>
        <w:tc>
          <w:tcPr>
            <w:tcW w:w="1161" w:type="dxa"/>
            <w:noWrap/>
            <w:hideMark/>
          </w:tcPr>
          <w:p w14:paraId="6570D05F"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Pakistan</w:t>
            </w:r>
          </w:p>
        </w:tc>
        <w:tc>
          <w:tcPr>
            <w:tcW w:w="2120" w:type="dxa"/>
            <w:noWrap/>
            <w:hideMark/>
          </w:tcPr>
          <w:p w14:paraId="33F6BF27"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Muhammad Imran MAJID</w:t>
            </w:r>
          </w:p>
        </w:tc>
      </w:tr>
      <w:tr w:rsidR="000E654D" w:rsidRPr="002F4C5E" w14:paraId="5EC62E56"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2F7E8559"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11</w:t>
            </w:r>
          </w:p>
        </w:tc>
        <w:tc>
          <w:tcPr>
            <w:tcW w:w="668" w:type="dxa"/>
            <w:noWrap/>
            <w:hideMark/>
          </w:tcPr>
          <w:p w14:paraId="23CE7E7A"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43D6CB50"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Ericsson Canada</w:t>
            </w:r>
          </w:p>
        </w:tc>
        <w:tc>
          <w:tcPr>
            <w:tcW w:w="1161" w:type="dxa"/>
            <w:noWrap/>
            <w:hideMark/>
          </w:tcPr>
          <w:p w14:paraId="2242905C"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Canada</w:t>
            </w:r>
          </w:p>
        </w:tc>
        <w:tc>
          <w:tcPr>
            <w:tcW w:w="2120" w:type="dxa"/>
            <w:noWrap/>
            <w:hideMark/>
          </w:tcPr>
          <w:p w14:paraId="6EA8DA28"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Bruce GRACIE</w:t>
            </w:r>
          </w:p>
        </w:tc>
      </w:tr>
      <w:tr w:rsidR="000E654D" w:rsidRPr="002F4C5E" w14:paraId="02D968FB" w14:textId="77777777" w:rsidTr="00AE35F1">
        <w:trPr>
          <w:trHeight w:val="315"/>
        </w:trPr>
        <w:tc>
          <w:tcPr>
            <w:tcW w:w="426" w:type="dxa"/>
            <w:noWrap/>
            <w:hideMark/>
          </w:tcPr>
          <w:p w14:paraId="73EC722E"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12</w:t>
            </w:r>
          </w:p>
        </w:tc>
        <w:tc>
          <w:tcPr>
            <w:tcW w:w="668" w:type="dxa"/>
            <w:noWrap/>
            <w:hideMark/>
          </w:tcPr>
          <w:p w14:paraId="50E53FDA"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05CF72D4"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CEPT (European Conference of Postal and Telecommunications Administrations)</w:t>
            </w:r>
          </w:p>
        </w:tc>
        <w:tc>
          <w:tcPr>
            <w:tcW w:w="1161" w:type="dxa"/>
            <w:noWrap/>
            <w:hideMark/>
          </w:tcPr>
          <w:p w14:paraId="0274E053"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Portugal</w:t>
            </w:r>
          </w:p>
        </w:tc>
        <w:tc>
          <w:tcPr>
            <w:tcW w:w="2120" w:type="dxa"/>
            <w:noWrap/>
            <w:hideMark/>
          </w:tcPr>
          <w:p w14:paraId="58CE7132"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Manuel DA COSTA CABRAL</w:t>
            </w:r>
          </w:p>
        </w:tc>
      </w:tr>
      <w:tr w:rsidR="000E654D" w:rsidRPr="002F4C5E" w14:paraId="1D1BA7E0"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699D192E"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13</w:t>
            </w:r>
          </w:p>
        </w:tc>
        <w:tc>
          <w:tcPr>
            <w:tcW w:w="668" w:type="dxa"/>
            <w:noWrap/>
            <w:hideMark/>
          </w:tcPr>
          <w:p w14:paraId="4ADBFC2A"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7465AACD"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Ministry of Information &amp; Communications (Solomon Islands)</w:t>
            </w:r>
          </w:p>
        </w:tc>
        <w:tc>
          <w:tcPr>
            <w:tcW w:w="1161" w:type="dxa"/>
            <w:noWrap/>
            <w:hideMark/>
          </w:tcPr>
          <w:p w14:paraId="7B56689D"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Solomon Islands</w:t>
            </w:r>
          </w:p>
        </w:tc>
        <w:tc>
          <w:tcPr>
            <w:tcW w:w="2120" w:type="dxa"/>
            <w:noWrap/>
            <w:hideMark/>
          </w:tcPr>
          <w:p w14:paraId="3CF84FD6"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Sonam P HUNTSHO</w:t>
            </w:r>
          </w:p>
        </w:tc>
      </w:tr>
      <w:tr w:rsidR="000E654D" w:rsidRPr="002F4C5E" w14:paraId="31D4A7F3" w14:textId="77777777" w:rsidTr="00AE35F1">
        <w:trPr>
          <w:trHeight w:val="315"/>
        </w:trPr>
        <w:tc>
          <w:tcPr>
            <w:tcW w:w="426" w:type="dxa"/>
            <w:noWrap/>
            <w:hideMark/>
          </w:tcPr>
          <w:p w14:paraId="4903FBC4"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14</w:t>
            </w:r>
          </w:p>
        </w:tc>
        <w:tc>
          <w:tcPr>
            <w:tcW w:w="668" w:type="dxa"/>
            <w:noWrap/>
            <w:hideMark/>
          </w:tcPr>
          <w:p w14:paraId="38DE5B4E"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456195A7"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International Chamber of Commerce (ICC)</w:t>
            </w:r>
          </w:p>
        </w:tc>
        <w:tc>
          <w:tcPr>
            <w:tcW w:w="1161" w:type="dxa"/>
            <w:noWrap/>
            <w:hideMark/>
          </w:tcPr>
          <w:p w14:paraId="4BB70B19"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France</w:t>
            </w:r>
          </w:p>
        </w:tc>
        <w:tc>
          <w:tcPr>
            <w:tcW w:w="2120" w:type="dxa"/>
            <w:noWrap/>
            <w:hideMark/>
          </w:tcPr>
          <w:p w14:paraId="48319958"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Sophie TOMLINSON</w:t>
            </w:r>
          </w:p>
        </w:tc>
      </w:tr>
      <w:tr w:rsidR="000E654D" w:rsidRPr="002F4C5E" w14:paraId="680D4D4D"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463BED18"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15</w:t>
            </w:r>
          </w:p>
        </w:tc>
        <w:tc>
          <w:tcPr>
            <w:tcW w:w="668" w:type="dxa"/>
            <w:noWrap/>
            <w:hideMark/>
          </w:tcPr>
          <w:p w14:paraId="04038711"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16614662"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Interamerican Association of telecommunications Companies (ASIET)</w:t>
            </w:r>
          </w:p>
        </w:tc>
        <w:tc>
          <w:tcPr>
            <w:tcW w:w="1161" w:type="dxa"/>
            <w:noWrap/>
            <w:hideMark/>
          </w:tcPr>
          <w:p w14:paraId="2CD5E1B6"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Spain</w:t>
            </w:r>
          </w:p>
        </w:tc>
        <w:tc>
          <w:tcPr>
            <w:tcW w:w="2120" w:type="dxa"/>
            <w:noWrap/>
            <w:hideMark/>
          </w:tcPr>
          <w:p w14:paraId="2440E13B"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Lorenzo SASTRE</w:t>
            </w:r>
          </w:p>
        </w:tc>
      </w:tr>
      <w:tr w:rsidR="000E654D" w:rsidRPr="002F4C5E" w14:paraId="456F691F" w14:textId="77777777" w:rsidTr="00AE35F1">
        <w:trPr>
          <w:trHeight w:val="315"/>
        </w:trPr>
        <w:tc>
          <w:tcPr>
            <w:tcW w:w="426" w:type="dxa"/>
            <w:noWrap/>
            <w:hideMark/>
          </w:tcPr>
          <w:p w14:paraId="615B7E01"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16</w:t>
            </w:r>
          </w:p>
        </w:tc>
        <w:tc>
          <w:tcPr>
            <w:tcW w:w="668" w:type="dxa"/>
            <w:noWrap/>
            <w:hideMark/>
          </w:tcPr>
          <w:p w14:paraId="0DFDCFF2"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5D1F39C0"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National Telecommunications Agency - Anatel (Brazil)</w:t>
            </w:r>
          </w:p>
        </w:tc>
        <w:tc>
          <w:tcPr>
            <w:tcW w:w="1161" w:type="dxa"/>
            <w:noWrap/>
            <w:hideMark/>
          </w:tcPr>
          <w:p w14:paraId="11F7557E"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Brazil</w:t>
            </w:r>
          </w:p>
        </w:tc>
        <w:tc>
          <w:tcPr>
            <w:tcW w:w="2120" w:type="dxa"/>
            <w:noWrap/>
            <w:hideMark/>
          </w:tcPr>
          <w:p w14:paraId="589774F9"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Amélia ALVES</w:t>
            </w:r>
          </w:p>
        </w:tc>
      </w:tr>
      <w:tr w:rsidR="000E654D" w:rsidRPr="002F4C5E" w14:paraId="3FD024F7"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5E209CFB"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17</w:t>
            </w:r>
          </w:p>
        </w:tc>
        <w:tc>
          <w:tcPr>
            <w:tcW w:w="668" w:type="dxa"/>
            <w:noWrap/>
            <w:hideMark/>
          </w:tcPr>
          <w:p w14:paraId="24333768"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5BE14BAC"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ARTICLE 19</w:t>
            </w:r>
          </w:p>
        </w:tc>
        <w:tc>
          <w:tcPr>
            <w:tcW w:w="1161" w:type="dxa"/>
            <w:noWrap/>
            <w:hideMark/>
          </w:tcPr>
          <w:p w14:paraId="6D20FCD8"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UK</w:t>
            </w:r>
          </w:p>
        </w:tc>
        <w:tc>
          <w:tcPr>
            <w:tcW w:w="2120" w:type="dxa"/>
            <w:noWrap/>
            <w:hideMark/>
          </w:tcPr>
          <w:p w14:paraId="2590D1DF"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Mehwish ANSARI</w:t>
            </w:r>
          </w:p>
        </w:tc>
      </w:tr>
      <w:tr w:rsidR="000E654D" w:rsidRPr="002F4C5E" w14:paraId="7DB1B82D" w14:textId="77777777" w:rsidTr="00AE35F1">
        <w:trPr>
          <w:trHeight w:val="315"/>
        </w:trPr>
        <w:tc>
          <w:tcPr>
            <w:tcW w:w="426" w:type="dxa"/>
            <w:noWrap/>
            <w:hideMark/>
          </w:tcPr>
          <w:p w14:paraId="2F26E01D"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lastRenderedPageBreak/>
              <w:t>18</w:t>
            </w:r>
          </w:p>
        </w:tc>
        <w:tc>
          <w:tcPr>
            <w:tcW w:w="668" w:type="dxa"/>
            <w:noWrap/>
            <w:hideMark/>
          </w:tcPr>
          <w:p w14:paraId="01707DD9"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5398A1FB"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PFC - person family community</w:t>
            </w:r>
          </w:p>
        </w:tc>
        <w:tc>
          <w:tcPr>
            <w:tcW w:w="1161" w:type="dxa"/>
            <w:noWrap/>
            <w:hideMark/>
          </w:tcPr>
          <w:p w14:paraId="218B0436"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Italy</w:t>
            </w:r>
          </w:p>
        </w:tc>
        <w:tc>
          <w:tcPr>
            <w:tcW w:w="2120" w:type="dxa"/>
            <w:noWrap/>
            <w:hideMark/>
          </w:tcPr>
          <w:p w14:paraId="6D2D4B61"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Maurizio INCERPI</w:t>
            </w:r>
          </w:p>
        </w:tc>
      </w:tr>
      <w:tr w:rsidR="000E654D" w:rsidRPr="002F4C5E" w14:paraId="5696E6F2"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25F3A4F0"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19</w:t>
            </w:r>
          </w:p>
        </w:tc>
        <w:tc>
          <w:tcPr>
            <w:tcW w:w="668" w:type="dxa"/>
            <w:noWrap/>
            <w:hideMark/>
          </w:tcPr>
          <w:p w14:paraId="0F0B5824"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41412576"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European Broadcasting Union (EBU)</w:t>
            </w:r>
          </w:p>
        </w:tc>
        <w:tc>
          <w:tcPr>
            <w:tcW w:w="1161" w:type="dxa"/>
            <w:noWrap/>
            <w:hideMark/>
          </w:tcPr>
          <w:p w14:paraId="7B46E52C"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Switzerland</w:t>
            </w:r>
          </w:p>
        </w:tc>
        <w:tc>
          <w:tcPr>
            <w:tcW w:w="2120" w:type="dxa"/>
            <w:noWrap/>
            <w:hideMark/>
          </w:tcPr>
          <w:p w14:paraId="69D2C9DC"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Simon Fell / Giacomo Mazzone</w:t>
            </w:r>
          </w:p>
        </w:tc>
      </w:tr>
      <w:tr w:rsidR="000E654D" w:rsidRPr="002F4C5E" w14:paraId="0329E2DC" w14:textId="77777777" w:rsidTr="00AE35F1">
        <w:trPr>
          <w:trHeight w:val="315"/>
        </w:trPr>
        <w:tc>
          <w:tcPr>
            <w:tcW w:w="426" w:type="dxa"/>
            <w:noWrap/>
            <w:hideMark/>
          </w:tcPr>
          <w:p w14:paraId="7626AC93"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20</w:t>
            </w:r>
          </w:p>
        </w:tc>
        <w:tc>
          <w:tcPr>
            <w:tcW w:w="668" w:type="dxa"/>
            <w:noWrap/>
            <w:hideMark/>
          </w:tcPr>
          <w:p w14:paraId="44B77B5D"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7 Jul</w:t>
            </w:r>
          </w:p>
        </w:tc>
        <w:tc>
          <w:tcPr>
            <w:tcW w:w="4652" w:type="dxa"/>
            <w:noWrap/>
            <w:hideMark/>
          </w:tcPr>
          <w:p w14:paraId="4E047148"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EMEA Satellite Operators Association (ESOA) and the Global VSAT Forum (GVF)</w:t>
            </w:r>
          </w:p>
        </w:tc>
        <w:tc>
          <w:tcPr>
            <w:tcW w:w="1161" w:type="dxa"/>
            <w:noWrap/>
            <w:hideMark/>
          </w:tcPr>
          <w:p w14:paraId="1B7AB079"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USA</w:t>
            </w:r>
          </w:p>
        </w:tc>
        <w:tc>
          <w:tcPr>
            <w:tcW w:w="2120" w:type="dxa"/>
            <w:noWrap/>
            <w:hideMark/>
          </w:tcPr>
          <w:p w14:paraId="4CD0D937"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Ruth Pritchard-Kelly</w:t>
            </w:r>
          </w:p>
        </w:tc>
      </w:tr>
      <w:tr w:rsidR="000E654D" w:rsidRPr="002F4C5E" w14:paraId="727E3267"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hideMark/>
          </w:tcPr>
          <w:p w14:paraId="78F0B728"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21</w:t>
            </w:r>
          </w:p>
        </w:tc>
        <w:tc>
          <w:tcPr>
            <w:tcW w:w="668" w:type="dxa"/>
            <w:noWrap/>
            <w:hideMark/>
          </w:tcPr>
          <w:p w14:paraId="45AF844D" w14:textId="77777777" w:rsidR="000E654D" w:rsidRPr="002F4C5E" w:rsidRDefault="000E654D" w:rsidP="00AE35F1">
            <w:pPr>
              <w:spacing w:before="0" w:after="0"/>
              <w:jc w:val="right"/>
              <w:rPr>
                <w:rFonts w:eastAsia="Times New Roman" w:cs="Times New Roman"/>
                <w:color w:val="000000"/>
                <w:sz w:val="20"/>
                <w:szCs w:val="20"/>
                <w:lang w:val="en-GB"/>
              </w:rPr>
            </w:pPr>
            <w:r w:rsidRPr="002F4C5E">
              <w:rPr>
                <w:rFonts w:eastAsia="Times New Roman" w:cs="Times New Roman"/>
                <w:color w:val="000000"/>
                <w:sz w:val="20"/>
                <w:szCs w:val="20"/>
                <w:lang w:val="en-GB"/>
              </w:rPr>
              <w:t>11 Jul</w:t>
            </w:r>
          </w:p>
        </w:tc>
        <w:tc>
          <w:tcPr>
            <w:tcW w:w="4652" w:type="dxa"/>
            <w:noWrap/>
            <w:hideMark/>
          </w:tcPr>
          <w:p w14:paraId="797357CF" w14:textId="77777777" w:rsidR="000E654D" w:rsidRPr="00002BC8" w:rsidRDefault="000E654D" w:rsidP="00AE35F1">
            <w:pPr>
              <w:spacing w:before="0" w:after="0"/>
              <w:jc w:val="left"/>
              <w:rPr>
                <w:rFonts w:eastAsia="Times New Roman" w:cs="Times New Roman"/>
                <w:color w:val="000000"/>
                <w:sz w:val="20"/>
                <w:szCs w:val="20"/>
                <w:lang w:val="es-ES"/>
              </w:rPr>
            </w:pPr>
            <w:r w:rsidRPr="00002BC8">
              <w:rPr>
                <w:rFonts w:eastAsia="Times New Roman" w:cs="Times New Roman"/>
                <w:color w:val="000000"/>
                <w:sz w:val="20"/>
                <w:szCs w:val="20"/>
                <w:lang w:val="es-ES"/>
              </w:rPr>
              <w:t>Comisión de Regulación de Comunicaciones (CRC) (Colombia)</w:t>
            </w:r>
          </w:p>
        </w:tc>
        <w:tc>
          <w:tcPr>
            <w:tcW w:w="1161" w:type="dxa"/>
            <w:noWrap/>
            <w:hideMark/>
          </w:tcPr>
          <w:p w14:paraId="58FC983C"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Colombia</w:t>
            </w:r>
          </w:p>
        </w:tc>
        <w:tc>
          <w:tcPr>
            <w:tcW w:w="2120" w:type="dxa"/>
            <w:noWrap/>
            <w:hideMark/>
          </w:tcPr>
          <w:p w14:paraId="6D690F55" w14:textId="77777777" w:rsidR="000E654D" w:rsidRPr="002F4C5E" w:rsidRDefault="000E654D" w:rsidP="00AE35F1">
            <w:pPr>
              <w:spacing w:before="0" w:after="0"/>
              <w:jc w:val="left"/>
              <w:rPr>
                <w:rFonts w:eastAsia="Times New Roman" w:cs="Times New Roman"/>
                <w:color w:val="000000"/>
                <w:sz w:val="20"/>
                <w:szCs w:val="20"/>
                <w:lang w:val="en-GB"/>
              </w:rPr>
            </w:pPr>
            <w:r w:rsidRPr="002F4C5E">
              <w:rPr>
                <w:rFonts w:eastAsia="Times New Roman" w:cs="Times New Roman"/>
                <w:color w:val="000000"/>
                <w:sz w:val="20"/>
                <w:szCs w:val="20"/>
                <w:lang w:val="en-GB"/>
              </w:rPr>
              <w:t>Mariana SARMIENTO</w:t>
            </w:r>
          </w:p>
        </w:tc>
      </w:tr>
      <w:tr w:rsidR="000E654D" w:rsidRPr="00901984" w14:paraId="1A5CBC79" w14:textId="77777777" w:rsidTr="00AE35F1">
        <w:trPr>
          <w:trHeight w:val="315"/>
        </w:trPr>
        <w:tc>
          <w:tcPr>
            <w:tcW w:w="426" w:type="dxa"/>
            <w:noWrap/>
          </w:tcPr>
          <w:p w14:paraId="6E608370" w14:textId="77777777" w:rsidR="000E654D" w:rsidRPr="002F4C5E" w:rsidRDefault="000E654D" w:rsidP="00AE35F1">
            <w:pPr>
              <w:spacing w:before="0" w:after="0"/>
              <w:jc w:val="right"/>
              <w:rPr>
                <w:rFonts w:eastAsia="Times New Roman" w:cs="Times New Roman"/>
                <w:color w:val="000000"/>
                <w:sz w:val="20"/>
                <w:szCs w:val="20"/>
                <w:lang w:val="en-GB"/>
              </w:rPr>
            </w:pPr>
            <w:r>
              <w:rPr>
                <w:rFonts w:eastAsia="Times New Roman" w:cs="Times New Roman"/>
                <w:color w:val="000000"/>
                <w:sz w:val="20"/>
                <w:szCs w:val="20"/>
                <w:lang w:val="en-GB"/>
              </w:rPr>
              <w:t>22</w:t>
            </w:r>
          </w:p>
        </w:tc>
        <w:tc>
          <w:tcPr>
            <w:tcW w:w="668" w:type="dxa"/>
            <w:noWrap/>
          </w:tcPr>
          <w:p w14:paraId="079F60CB" w14:textId="77777777" w:rsidR="000E654D" w:rsidRPr="002F4C5E" w:rsidRDefault="000E654D" w:rsidP="00AE35F1">
            <w:pPr>
              <w:spacing w:before="0" w:after="0"/>
              <w:jc w:val="right"/>
              <w:rPr>
                <w:rFonts w:eastAsia="Times New Roman" w:cs="Times New Roman"/>
                <w:color w:val="000000"/>
                <w:sz w:val="20"/>
                <w:szCs w:val="20"/>
                <w:lang w:val="en-GB"/>
              </w:rPr>
            </w:pPr>
            <w:r>
              <w:rPr>
                <w:rFonts w:eastAsia="Times New Roman" w:cs="Times New Roman"/>
                <w:color w:val="000000"/>
                <w:sz w:val="20"/>
                <w:szCs w:val="20"/>
                <w:lang w:val="en-GB"/>
              </w:rPr>
              <w:t>11 Jul</w:t>
            </w:r>
          </w:p>
        </w:tc>
        <w:tc>
          <w:tcPr>
            <w:tcW w:w="4652" w:type="dxa"/>
            <w:noWrap/>
          </w:tcPr>
          <w:p w14:paraId="0850FE07" w14:textId="77777777" w:rsidR="000E654D" w:rsidRPr="002F4C5E" w:rsidRDefault="000E654D" w:rsidP="00AE35F1">
            <w:pPr>
              <w:spacing w:before="0" w:after="0"/>
              <w:jc w:val="left"/>
              <w:rPr>
                <w:rFonts w:eastAsia="Times New Roman" w:cs="Times New Roman"/>
                <w:color w:val="000000"/>
                <w:sz w:val="20"/>
                <w:szCs w:val="20"/>
                <w:lang w:val="en-GB"/>
              </w:rPr>
            </w:pPr>
            <w:r w:rsidRPr="00E122A5">
              <w:rPr>
                <w:rFonts w:eastAsia="Times New Roman" w:cs="Times New Roman"/>
                <w:color w:val="000000"/>
                <w:sz w:val="20"/>
                <w:szCs w:val="20"/>
                <w:lang w:val="en-GB"/>
              </w:rPr>
              <w:t>Federal Office of Com</w:t>
            </w:r>
            <w:r>
              <w:rPr>
                <w:rFonts w:eastAsia="Times New Roman" w:cs="Times New Roman"/>
                <w:color w:val="000000"/>
                <w:sz w:val="20"/>
                <w:szCs w:val="20"/>
                <w:lang w:val="en-GB"/>
              </w:rPr>
              <w:t>munications OFCOM (Switzerland)</w:t>
            </w:r>
          </w:p>
        </w:tc>
        <w:tc>
          <w:tcPr>
            <w:tcW w:w="1161" w:type="dxa"/>
            <w:noWrap/>
          </w:tcPr>
          <w:p w14:paraId="262E0173" w14:textId="77777777" w:rsidR="000E654D" w:rsidRPr="002F4C5E" w:rsidRDefault="000E654D" w:rsidP="00AE35F1">
            <w:pPr>
              <w:spacing w:before="0" w:after="0"/>
              <w:jc w:val="left"/>
              <w:rPr>
                <w:rFonts w:eastAsia="Times New Roman" w:cs="Times New Roman"/>
                <w:color w:val="000000"/>
                <w:sz w:val="20"/>
                <w:szCs w:val="20"/>
                <w:lang w:val="en-GB"/>
              </w:rPr>
            </w:pPr>
            <w:r w:rsidRPr="00E122A5">
              <w:rPr>
                <w:rFonts w:eastAsia="Times New Roman" w:cs="Times New Roman"/>
                <w:color w:val="000000"/>
                <w:sz w:val="20"/>
                <w:szCs w:val="20"/>
                <w:lang w:val="en-GB"/>
              </w:rPr>
              <w:t>Switzerland</w:t>
            </w:r>
          </w:p>
        </w:tc>
        <w:tc>
          <w:tcPr>
            <w:tcW w:w="2120" w:type="dxa"/>
            <w:noWrap/>
          </w:tcPr>
          <w:p w14:paraId="4DFA6760" w14:textId="77777777" w:rsidR="000E654D" w:rsidRPr="009656C4" w:rsidRDefault="000E654D" w:rsidP="00AE35F1">
            <w:pPr>
              <w:spacing w:before="0" w:after="0"/>
              <w:jc w:val="left"/>
              <w:rPr>
                <w:rFonts w:eastAsia="Times New Roman" w:cs="Times New Roman"/>
                <w:color w:val="000000"/>
                <w:sz w:val="20"/>
                <w:szCs w:val="20"/>
                <w:lang w:val="es-ES"/>
              </w:rPr>
            </w:pPr>
            <w:r w:rsidRPr="009656C4">
              <w:rPr>
                <w:rFonts w:eastAsia="Times New Roman" w:cs="Times New Roman"/>
                <w:color w:val="000000"/>
                <w:sz w:val="20"/>
                <w:szCs w:val="20"/>
                <w:lang w:val="es-ES"/>
              </w:rPr>
              <w:t>Dirk-Oliver VON DER EMDEN</w:t>
            </w:r>
          </w:p>
        </w:tc>
      </w:tr>
      <w:tr w:rsidR="000E654D" w:rsidRPr="005C6040" w14:paraId="1F8A0E33" w14:textId="77777777" w:rsidTr="00AE35F1">
        <w:trPr>
          <w:cnfStyle w:val="000000100000" w:firstRow="0" w:lastRow="0" w:firstColumn="0" w:lastColumn="0" w:oddVBand="0" w:evenVBand="0" w:oddHBand="1" w:evenHBand="0" w:firstRowFirstColumn="0" w:firstRowLastColumn="0" w:lastRowFirstColumn="0" w:lastRowLastColumn="0"/>
          <w:trHeight w:val="315"/>
        </w:trPr>
        <w:tc>
          <w:tcPr>
            <w:tcW w:w="426" w:type="dxa"/>
            <w:noWrap/>
          </w:tcPr>
          <w:p w14:paraId="72B72554" w14:textId="77777777" w:rsidR="000E654D" w:rsidRDefault="000E654D" w:rsidP="00AE35F1">
            <w:pPr>
              <w:spacing w:before="0" w:after="0"/>
              <w:jc w:val="right"/>
              <w:rPr>
                <w:rFonts w:eastAsia="Times New Roman" w:cs="Times New Roman"/>
                <w:color w:val="000000"/>
                <w:sz w:val="20"/>
                <w:szCs w:val="20"/>
                <w:lang w:val="en-GB"/>
              </w:rPr>
            </w:pPr>
            <w:r>
              <w:rPr>
                <w:rFonts w:eastAsia="Times New Roman" w:cs="Times New Roman"/>
                <w:color w:val="000000"/>
                <w:sz w:val="20"/>
                <w:szCs w:val="20"/>
                <w:lang w:val="en-GB"/>
              </w:rPr>
              <w:t>23</w:t>
            </w:r>
          </w:p>
        </w:tc>
        <w:tc>
          <w:tcPr>
            <w:tcW w:w="668" w:type="dxa"/>
            <w:noWrap/>
          </w:tcPr>
          <w:p w14:paraId="771FEA45" w14:textId="77777777" w:rsidR="000E654D" w:rsidRDefault="000E654D" w:rsidP="00AE35F1">
            <w:pPr>
              <w:spacing w:before="0" w:after="0"/>
              <w:jc w:val="right"/>
              <w:rPr>
                <w:rFonts w:eastAsia="Times New Roman" w:cs="Times New Roman"/>
                <w:color w:val="000000"/>
                <w:sz w:val="20"/>
                <w:szCs w:val="20"/>
                <w:lang w:val="en-GB"/>
              </w:rPr>
            </w:pPr>
            <w:r>
              <w:rPr>
                <w:rFonts w:eastAsia="Times New Roman" w:cs="Times New Roman"/>
                <w:color w:val="000000"/>
                <w:sz w:val="20"/>
                <w:szCs w:val="20"/>
                <w:lang w:val="en-GB"/>
              </w:rPr>
              <w:t>12 Jul</w:t>
            </w:r>
          </w:p>
        </w:tc>
        <w:tc>
          <w:tcPr>
            <w:tcW w:w="4652" w:type="dxa"/>
            <w:noWrap/>
          </w:tcPr>
          <w:p w14:paraId="1E6B427E" w14:textId="77777777" w:rsidR="000E654D" w:rsidRPr="005C6040" w:rsidRDefault="000E654D" w:rsidP="00AE35F1">
            <w:pPr>
              <w:spacing w:before="0" w:after="0"/>
              <w:jc w:val="left"/>
              <w:rPr>
                <w:rFonts w:eastAsia="Times New Roman" w:cs="Times New Roman"/>
                <w:color w:val="000000"/>
                <w:sz w:val="20"/>
                <w:szCs w:val="20"/>
                <w:lang w:val="fr-CH"/>
              </w:rPr>
            </w:pPr>
            <w:r w:rsidRPr="005C6040">
              <w:rPr>
                <w:rFonts w:eastAsia="Times New Roman" w:cs="Times New Roman"/>
                <w:color w:val="000000"/>
                <w:sz w:val="20"/>
                <w:szCs w:val="20"/>
                <w:lang w:val="fr-CH"/>
              </w:rPr>
              <w:t xml:space="preserve">Agence Ivoirienne de Gestion des Fréquences Radioélectriques  </w:t>
            </w:r>
          </w:p>
        </w:tc>
        <w:tc>
          <w:tcPr>
            <w:tcW w:w="1161" w:type="dxa"/>
            <w:noWrap/>
          </w:tcPr>
          <w:p w14:paraId="13E2A522" w14:textId="77777777" w:rsidR="000E654D" w:rsidRPr="005C6040" w:rsidRDefault="000E654D" w:rsidP="00AE35F1">
            <w:pPr>
              <w:spacing w:before="0" w:after="0"/>
              <w:jc w:val="left"/>
              <w:rPr>
                <w:rFonts w:eastAsia="Times New Roman" w:cs="Times New Roman"/>
                <w:color w:val="000000"/>
                <w:sz w:val="20"/>
                <w:szCs w:val="20"/>
                <w:lang w:val="fr-CH"/>
              </w:rPr>
            </w:pPr>
            <w:r w:rsidRPr="005C6040">
              <w:rPr>
                <w:rFonts w:eastAsia="Times New Roman" w:cs="Times New Roman"/>
                <w:color w:val="000000"/>
                <w:sz w:val="20"/>
                <w:szCs w:val="20"/>
                <w:lang w:val="fr-CH"/>
              </w:rPr>
              <w:t>Côte d'Ivoire</w:t>
            </w:r>
          </w:p>
        </w:tc>
        <w:tc>
          <w:tcPr>
            <w:tcW w:w="2120" w:type="dxa"/>
            <w:noWrap/>
          </w:tcPr>
          <w:p w14:paraId="78E5B628" w14:textId="77777777" w:rsidR="000E654D" w:rsidRPr="005C6040" w:rsidRDefault="000E654D" w:rsidP="00AE35F1">
            <w:pPr>
              <w:spacing w:before="0" w:after="0"/>
              <w:jc w:val="left"/>
              <w:rPr>
                <w:rFonts w:eastAsia="Times New Roman" w:cs="Times New Roman"/>
                <w:color w:val="000000"/>
                <w:sz w:val="20"/>
                <w:szCs w:val="20"/>
                <w:lang w:val="fr-CH"/>
              </w:rPr>
            </w:pPr>
            <w:r w:rsidRPr="005C6040">
              <w:rPr>
                <w:rFonts w:eastAsia="Times New Roman" w:cs="Times New Roman"/>
                <w:color w:val="000000"/>
                <w:sz w:val="20"/>
                <w:szCs w:val="20"/>
                <w:lang w:val="fr-CH"/>
              </w:rPr>
              <w:t>Francine LOGBO</w:t>
            </w:r>
          </w:p>
        </w:tc>
      </w:tr>
      <w:tr w:rsidR="00901984" w:rsidRPr="005C6040" w14:paraId="16C3636C" w14:textId="77777777" w:rsidTr="00AE35F1">
        <w:trPr>
          <w:trHeight w:val="315"/>
        </w:trPr>
        <w:tc>
          <w:tcPr>
            <w:tcW w:w="426" w:type="dxa"/>
            <w:noWrap/>
          </w:tcPr>
          <w:p w14:paraId="55EBFD2C" w14:textId="2E65DF8D" w:rsidR="00901984" w:rsidRDefault="00901984" w:rsidP="00901984">
            <w:pPr>
              <w:spacing w:before="0" w:after="0"/>
              <w:jc w:val="right"/>
              <w:rPr>
                <w:rFonts w:eastAsia="Times New Roman"/>
                <w:color w:val="000000"/>
                <w:sz w:val="20"/>
                <w:szCs w:val="20"/>
                <w:lang w:val="en-GB"/>
              </w:rPr>
            </w:pPr>
            <w:r w:rsidRPr="003A24BD">
              <w:rPr>
                <w:rFonts w:eastAsia="Times New Roman"/>
                <w:color w:val="000000"/>
                <w:sz w:val="20"/>
                <w:szCs w:val="20"/>
                <w:lang w:val="en-GB"/>
              </w:rPr>
              <w:t>24</w:t>
            </w:r>
          </w:p>
        </w:tc>
        <w:tc>
          <w:tcPr>
            <w:tcW w:w="668" w:type="dxa"/>
            <w:noWrap/>
          </w:tcPr>
          <w:p w14:paraId="595C744C" w14:textId="153DFAB1" w:rsidR="00901984" w:rsidRDefault="00901984" w:rsidP="00901984">
            <w:pPr>
              <w:spacing w:before="0" w:after="0"/>
              <w:jc w:val="right"/>
              <w:rPr>
                <w:rFonts w:eastAsia="Times New Roman"/>
                <w:color w:val="000000"/>
                <w:sz w:val="20"/>
                <w:szCs w:val="20"/>
                <w:lang w:val="en-GB"/>
              </w:rPr>
            </w:pPr>
            <w:r w:rsidRPr="003A24BD">
              <w:rPr>
                <w:rFonts w:eastAsia="Times New Roman"/>
                <w:color w:val="000000"/>
                <w:sz w:val="20"/>
                <w:szCs w:val="20"/>
                <w:lang w:val="en-GB"/>
              </w:rPr>
              <w:t>10 Jul</w:t>
            </w:r>
          </w:p>
        </w:tc>
        <w:tc>
          <w:tcPr>
            <w:tcW w:w="4652" w:type="dxa"/>
            <w:noWrap/>
          </w:tcPr>
          <w:p w14:paraId="4AE6765A" w14:textId="05C7234F" w:rsidR="00901984" w:rsidRPr="00901984" w:rsidRDefault="00901984" w:rsidP="00901984">
            <w:pPr>
              <w:spacing w:before="0" w:after="0"/>
              <w:jc w:val="left"/>
              <w:rPr>
                <w:rFonts w:eastAsia="Times New Roman"/>
                <w:color w:val="000000"/>
                <w:sz w:val="20"/>
                <w:szCs w:val="20"/>
              </w:rPr>
            </w:pPr>
            <w:r w:rsidRPr="003A24BD">
              <w:rPr>
                <w:rFonts w:eastAsia="Times New Roman"/>
                <w:color w:val="000000"/>
                <w:sz w:val="20"/>
                <w:szCs w:val="20"/>
                <w:lang w:val="en-GB"/>
              </w:rPr>
              <w:t>Ministry of Internal Affairs and Communications</w:t>
            </w:r>
          </w:p>
        </w:tc>
        <w:tc>
          <w:tcPr>
            <w:tcW w:w="1161" w:type="dxa"/>
            <w:noWrap/>
          </w:tcPr>
          <w:p w14:paraId="0657465F" w14:textId="43A23A5B" w:rsidR="00901984" w:rsidRPr="005C6040" w:rsidRDefault="00901984" w:rsidP="00901984">
            <w:pPr>
              <w:spacing w:before="0" w:after="0"/>
              <w:jc w:val="left"/>
              <w:rPr>
                <w:rFonts w:eastAsia="Times New Roman"/>
                <w:color w:val="000000"/>
                <w:sz w:val="20"/>
                <w:szCs w:val="20"/>
                <w:lang w:val="fr-CH"/>
              </w:rPr>
            </w:pPr>
            <w:r w:rsidRPr="003A24BD">
              <w:rPr>
                <w:rFonts w:eastAsia="Times New Roman"/>
                <w:color w:val="000000"/>
                <w:sz w:val="20"/>
                <w:szCs w:val="20"/>
                <w:lang w:val="en-GB"/>
              </w:rPr>
              <w:t>Japan</w:t>
            </w:r>
          </w:p>
        </w:tc>
        <w:tc>
          <w:tcPr>
            <w:tcW w:w="2120" w:type="dxa"/>
            <w:noWrap/>
          </w:tcPr>
          <w:p w14:paraId="5D335EA9" w14:textId="41A598CA" w:rsidR="00901984" w:rsidRPr="005C6040" w:rsidRDefault="00901984" w:rsidP="00901984">
            <w:pPr>
              <w:spacing w:before="0" w:after="0"/>
              <w:jc w:val="left"/>
              <w:rPr>
                <w:rFonts w:eastAsia="Times New Roman"/>
                <w:color w:val="000000"/>
                <w:sz w:val="20"/>
                <w:szCs w:val="20"/>
                <w:lang w:val="fr-CH"/>
              </w:rPr>
            </w:pPr>
            <w:r w:rsidRPr="003A24BD">
              <w:rPr>
                <w:rFonts w:eastAsia="Times New Roman"/>
                <w:color w:val="000000"/>
                <w:sz w:val="20"/>
                <w:szCs w:val="20"/>
                <w:lang w:val="en-GB"/>
              </w:rPr>
              <w:t>Yuta OSANAI</w:t>
            </w:r>
          </w:p>
        </w:tc>
      </w:tr>
    </w:tbl>
    <w:p w14:paraId="7BEAE5E4" w14:textId="77777777" w:rsidR="000E654D" w:rsidRDefault="000E654D" w:rsidP="000E654D">
      <w:pPr>
        <w:rPr>
          <w:lang w:val="en-GB" w:eastAsia="en-US"/>
        </w:rPr>
      </w:pPr>
    </w:p>
    <w:sectPr w:rsidR="000E654D" w:rsidSect="000F2E67">
      <w:footerReference w:type="default" r:id="rId21"/>
      <w:pgSz w:w="11901" w:h="16840" w:code="9"/>
      <w:pgMar w:top="1418" w:right="1077" w:bottom="851" w:left="1077" w:header="142" w:footer="720"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C03AE" w14:textId="77777777" w:rsidR="00A860E5" w:rsidRDefault="00A860E5">
      <w:r>
        <w:separator/>
      </w:r>
    </w:p>
  </w:endnote>
  <w:endnote w:type="continuationSeparator" w:id="0">
    <w:p w14:paraId="39A280E0" w14:textId="77777777" w:rsidR="00A860E5" w:rsidRDefault="00A860E5">
      <w:r>
        <w:continuationSeparator/>
      </w:r>
    </w:p>
  </w:endnote>
  <w:endnote w:type="continuationNotice" w:id="1">
    <w:p w14:paraId="15AE6864" w14:textId="77777777" w:rsidR="00A860E5" w:rsidRDefault="00A86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52DCB" w14:textId="77777777" w:rsidR="0045246F" w:rsidRPr="0045246F" w:rsidRDefault="0045246F" w:rsidP="0045246F">
    <w:pPr>
      <w:pStyle w:val="Footer"/>
      <w:jc w:val="center"/>
      <w:rPr>
        <w:sz w:val="20"/>
        <w:szCs w:val="20"/>
      </w:rPr>
    </w:pPr>
    <w:r w:rsidRPr="0045246F">
      <w:rPr>
        <w:sz w:val="20"/>
        <w:szCs w:val="20"/>
      </w:rPr>
      <w:fldChar w:fldCharType="begin"/>
    </w:r>
    <w:r w:rsidRPr="0045246F">
      <w:rPr>
        <w:sz w:val="20"/>
        <w:szCs w:val="20"/>
      </w:rPr>
      <w:instrText xml:space="preserve"> PAGE  \* Arabic  \* MERGEFORMAT </w:instrText>
    </w:r>
    <w:r w:rsidRPr="0045246F">
      <w:rPr>
        <w:sz w:val="20"/>
        <w:szCs w:val="20"/>
      </w:rPr>
      <w:fldChar w:fldCharType="separate"/>
    </w:r>
    <w:r w:rsidR="00E13D43">
      <w:rPr>
        <w:noProof/>
        <w:sz w:val="20"/>
        <w:szCs w:val="20"/>
      </w:rPr>
      <w:t>1</w:t>
    </w:r>
    <w:r w:rsidRPr="0045246F">
      <w:rPr>
        <w:sz w:val="20"/>
        <w:szCs w:val="20"/>
      </w:rPr>
      <w:fldChar w:fldCharType="end"/>
    </w:r>
    <w:r w:rsidRPr="0045246F">
      <w:rPr>
        <w:sz w:val="20"/>
        <w:szCs w:val="20"/>
      </w:rPr>
      <w:t>/</w:t>
    </w:r>
    <w:r w:rsidRPr="0045246F">
      <w:rPr>
        <w:sz w:val="20"/>
        <w:szCs w:val="20"/>
      </w:rPr>
      <w:fldChar w:fldCharType="begin"/>
    </w:r>
    <w:r w:rsidRPr="0045246F">
      <w:rPr>
        <w:sz w:val="20"/>
        <w:szCs w:val="20"/>
      </w:rPr>
      <w:instrText xml:space="preserve"> NUMPAGES  \* Arabic  \* MERGEFORMAT </w:instrText>
    </w:r>
    <w:r w:rsidRPr="0045246F">
      <w:rPr>
        <w:sz w:val="20"/>
        <w:szCs w:val="20"/>
      </w:rPr>
      <w:fldChar w:fldCharType="separate"/>
    </w:r>
    <w:r w:rsidR="00E13D43">
      <w:rPr>
        <w:noProof/>
        <w:sz w:val="20"/>
        <w:szCs w:val="20"/>
      </w:rPr>
      <w:t>9</w:t>
    </w:r>
    <w:r w:rsidRPr="0045246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5ACDC" w14:textId="77777777" w:rsidR="00A860E5" w:rsidRDefault="00A860E5">
      <w:r>
        <w:separator/>
      </w:r>
    </w:p>
  </w:footnote>
  <w:footnote w:type="continuationSeparator" w:id="0">
    <w:p w14:paraId="6F1349CF" w14:textId="77777777" w:rsidR="00A860E5" w:rsidRDefault="00A860E5">
      <w:r>
        <w:continuationSeparator/>
      </w:r>
    </w:p>
  </w:footnote>
  <w:footnote w:type="continuationNotice" w:id="1">
    <w:p w14:paraId="6A57C064" w14:textId="77777777" w:rsidR="00A860E5" w:rsidRDefault="00A860E5"/>
  </w:footnote>
  <w:footnote w:id="2">
    <w:p w14:paraId="2E03CFF7" w14:textId="77777777" w:rsidR="000E654D" w:rsidRPr="0022427E" w:rsidRDefault="000E654D" w:rsidP="000E654D">
      <w:pPr>
        <w:pStyle w:val="FootnoteText"/>
        <w:rPr>
          <w:sz w:val="16"/>
          <w:szCs w:val="16"/>
        </w:rPr>
      </w:pPr>
      <w:r>
        <w:rPr>
          <w:rStyle w:val="FootnoteReference"/>
        </w:rPr>
        <w:footnoteRef/>
      </w:r>
      <w:r>
        <w:t xml:space="preserve"> </w:t>
      </w:r>
      <w:r w:rsidRPr="0022427E">
        <w:rPr>
          <w:sz w:val="16"/>
          <w:szCs w:val="16"/>
        </w:rPr>
        <w:t>The designations employed and the presentation of material on this map do not imply the expression of any opinion on the part of the ITU secretariat concerning the legal status of any country, territory, area, city or area or of its authorities, or concerning the delimitation of its frontiers or boundaries. The term “country” as used in this Material also refers, as appropriate, to territories or areas. The depiction and use of boundaries, geographic names and related data shown on the map are not warranted to be error free nor do they necessarily imply official endorsement or acceptance by the ITU or its member organizations.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F1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B773C8E"/>
    <w:multiLevelType w:val="hybridMultilevel"/>
    <w:tmpl w:val="E058195E"/>
    <w:lvl w:ilvl="0" w:tplc="0172B39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84712CA"/>
    <w:multiLevelType w:val="hybridMultilevel"/>
    <w:tmpl w:val="C900C134"/>
    <w:lvl w:ilvl="0" w:tplc="69320A3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C6"/>
    <w:rsid w:val="00000257"/>
    <w:rsid w:val="00001A9C"/>
    <w:rsid w:val="000038C4"/>
    <w:rsid w:val="00007F7F"/>
    <w:rsid w:val="00010C32"/>
    <w:rsid w:val="00010F48"/>
    <w:rsid w:val="000147CA"/>
    <w:rsid w:val="0001781D"/>
    <w:rsid w:val="0002197D"/>
    <w:rsid w:val="00021DF9"/>
    <w:rsid w:val="0002607F"/>
    <w:rsid w:val="000264BE"/>
    <w:rsid w:val="000268B0"/>
    <w:rsid w:val="00027767"/>
    <w:rsid w:val="0003282D"/>
    <w:rsid w:val="00047F0D"/>
    <w:rsid w:val="0005237D"/>
    <w:rsid w:val="00052578"/>
    <w:rsid w:val="00052886"/>
    <w:rsid w:val="00052EB0"/>
    <w:rsid w:val="00053C26"/>
    <w:rsid w:val="00053FE3"/>
    <w:rsid w:val="00054724"/>
    <w:rsid w:val="000548E3"/>
    <w:rsid w:val="0006023C"/>
    <w:rsid w:val="00060990"/>
    <w:rsid w:val="0006108F"/>
    <w:rsid w:val="00061780"/>
    <w:rsid w:val="00065E3D"/>
    <w:rsid w:val="000720AB"/>
    <w:rsid w:val="0007733F"/>
    <w:rsid w:val="000811C5"/>
    <w:rsid w:val="0008236A"/>
    <w:rsid w:val="000929FF"/>
    <w:rsid w:val="00093ACA"/>
    <w:rsid w:val="000A1688"/>
    <w:rsid w:val="000A5071"/>
    <w:rsid w:val="000B4C95"/>
    <w:rsid w:val="000C20DC"/>
    <w:rsid w:val="000C2A2E"/>
    <w:rsid w:val="000C2C28"/>
    <w:rsid w:val="000C4839"/>
    <w:rsid w:val="000D1EC9"/>
    <w:rsid w:val="000D746E"/>
    <w:rsid w:val="000E0B2E"/>
    <w:rsid w:val="000E6444"/>
    <w:rsid w:val="000E654D"/>
    <w:rsid w:val="000E6F49"/>
    <w:rsid w:val="000E738E"/>
    <w:rsid w:val="000F2E67"/>
    <w:rsid w:val="000F366F"/>
    <w:rsid w:val="000F7587"/>
    <w:rsid w:val="0010077D"/>
    <w:rsid w:val="00100FFB"/>
    <w:rsid w:val="001012BC"/>
    <w:rsid w:val="0010361A"/>
    <w:rsid w:val="0010375B"/>
    <w:rsid w:val="001054A9"/>
    <w:rsid w:val="00111A8A"/>
    <w:rsid w:val="00113A6A"/>
    <w:rsid w:val="001158FB"/>
    <w:rsid w:val="001164E6"/>
    <w:rsid w:val="001217CF"/>
    <w:rsid w:val="00121D0F"/>
    <w:rsid w:val="00122205"/>
    <w:rsid w:val="0012767B"/>
    <w:rsid w:val="00130BEC"/>
    <w:rsid w:val="00131780"/>
    <w:rsid w:val="00134690"/>
    <w:rsid w:val="00140084"/>
    <w:rsid w:val="0014173E"/>
    <w:rsid w:val="00143AFF"/>
    <w:rsid w:val="00151F6B"/>
    <w:rsid w:val="00164EDF"/>
    <w:rsid w:val="001668F0"/>
    <w:rsid w:val="0017057A"/>
    <w:rsid w:val="001743A1"/>
    <w:rsid w:val="00193826"/>
    <w:rsid w:val="00194AC8"/>
    <w:rsid w:val="001962CD"/>
    <w:rsid w:val="001977DC"/>
    <w:rsid w:val="001A1E52"/>
    <w:rsid w:val="001B0D22"/>
    <w:rsid w:val="001B17B9"/>
    <w:rsid w:val="001B18BE"/>
    <w:rsid w:val="001B3FBE"/>
    <w:rsid w:val="001B506B"/>
    <w:rsid w:val="001B5EDA"/>
    <w:rsid w:val="001B776D"/>
    <w:rsid w:val="001B7A37"/>
    <w:rsid w:val="001C230E"/>
    <w:rsid w:val="001C2863"/>
    <w:rsid w:val="001C36A8"/>
    <w:rsid w:val="001C4440"/>
    <w:rsid w:val="001C533D"/>
    <w:rsid w:val="001D16E1"/>
    <w:rsid w:val="001D27FE"/>
    <w:rsid w:val="001D6882"/>
    <w:rsid w:val="001D69BE"/>
    <w:rsid w:val="001D6BE4"/>
    <w:rsid w:val="001E4BD2"/>
    <w:rsid w:val="001E5885"/>
    <w:rsid w:val="001E5B3B"/>
    <w:rsid w:val="001F0292"/>
    <w:rsid w:val="001F55E1"/>
    <w:rsid w:val="00200486"/>
    <w:rsid w:val="00200CD5"/>
    <w:rsid w:val="0020692F"/>
    <w:rsid w:val="002070AD"/>
    <w:rsid w:val="00207123"/>
    <w:rsid w:val="002079BE"/>
    <w:rsid w:val="00210123"/>
    <w:rsid w:val="0021145F"/>
    <w:rsid w:val="00212BF7"/>
    <w:rsid w:val="00214150"/>
    <w:rsid w:val="00215E9F"/>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1555"/>
    <w:rsid w:val="00291F7C"/>
    <w:rsid w:val="00292EB7"/>
    <w:rsid w:val="002A09B4"/>
    <w:rsid w:val="002A173B"/>
    <w:rsid w:val="002A264E"/>
    <w:rsid w:val="002A6B9A"/>
    <w:rsid w:val="002B4498"/>
    <w:rsid w:val="002B4C20"/>
    <w:rsid w:val="002B7F6E"/>
    <w:rsid w:val="002D0F7E"/>
    <w:rsid w:val="002E04CE"/>
    <w:rsid w:val="002E581D"/>
    <w:rsid w:val="002E5B9B"/>
    <w:rsid w:val="002F150A"/>
    <w:rsid w:val="002F3DA0"/>
    <w:rsid w:val="003010A1"/>
    <w:rsid w:val="00302584"/>
    <w:rsid w:val="00302B27"/>
    <w:rsid w:val="00306388"/>
    <w:rsid w:val="00307AF2"/>
    <w:rsid w:val="00312766"/>
    <w:rsid w:val="00315C60"/>
    <w:rsid w:val="0031621F"/>
    <w:rsid w:val="00332B82"/>
    <w:rsid w:val="003341A5"/>
    <w:rsid w:val="00342898"/>
    <w:rsid w:val="00344CAA"/>
    <w:rsid w:val="00344DC5"/>
    <w:rsid w:val="0034736F"/>
    <w:rsid w:val="00347E04"/>
    <w:rsid w:val="0035144D"/>
    <w:rsid w:val="0035622D"/>
    <w:rsid w:val="003573BA"/>
    <w:rsid w:val="00357AFD"/>
    <w:rsid w:val="00366DC6"/>
    <w:rsid w:val="00374C2C"/>
    <w:rsid w:val="0037552B"/>
    <w:rsid w:val="0038108B"/>
    <w:rsid w:val="003834F8"/>
    <w:rsid w:val="00383935"/>
    <w:rsid w:val="0038562C"/>
    <w:rsid w:val="00390067"/>
    <w:rsid w:val="00391655"/>
    <w:rsid w:val="003917D7"/>
    <w:rsid w:val="00394C20"/>
    <w:rsid w:val="003A24BD"/>
    <w:rsid w:val="003A4FC0"/>
    <w:rsid w:val="003B306B"/>
    <w:rsid w:val="003B63AE"/>
    <w:rsid w:val="003C1B04"/>
    <w:rsid w:val="003C260A"/>
    <w:rsid w:val="003C441A"/>
    <w:rsid w:val="003D1349"/>
    <w:rsid w:val="003D1F22"/>
    <w:rsid w:val="003D38E2"/>
    <w:rsid w:val="003D7FD9"/>
    <w:rsid w:val="003E071A"/>
    <w:rsid w:val="003E74D8"/>
    <w:rsid w:val="003E7E4F"/>
    <w:rsid w:val="003F36AF"/>
    <w:rsid w:val="003F6014"/>
    <w:rsid w:val="003F7794"/>
    <w:rsid w:val="00401FA7"/>
    <w:rsid w:val="00403A79"/>
    <w:rsid w:val="00405880"/>
    <w:rsid w:val="00405A0C"/>
    <w:rsid w:val="004061AF"/>
    <w:rsid w:val="00406379"/>
    <w:rsid w:val="00406503"/>
    <w:rsid w:val="00406D07"/>
    <w:rsid w:val="004110D2"/>
    <w:rsid w:val="0041154D"/>
    <w:rsid w:val="00412020"/>
    <w:rsid w:val="00417936"/>
    <w:rsid w:val="00423041"/>
    <w:rsid w:val="004232D9"/>
    <w:rsid w:val="004268D5"/>
    <w:rsid w:val="004303C3"/>
    <w:rsid w:val="00431D53"/>
    <w:rsid w:val="00431EA7"/>
    <w:rsid w:val="00434926"/>
    <w:rsid w:val="0043494A"/>
    <w:rsid w:val="004351D8"/>
    <w:rsid w:val="004368AE"/>
    <w:rsid w:val="0043742A"/>
    <w:rsid w:val="0043749C"/>
    <w:rsid w:val="00441E09"/>
    <w:rsid w:val="0045246F"/>
    <w:rsid w:val="00453636"/>
    <w:rsid w:val="00455422"/>
    <w:rsid w:val="00455626"/>
    <w:rsid w:val="0045624E"/>
    <w:rsid w:val="00457B00"/>
    <w:rsid w:val="00463A64"/>
    <w:rsid w:val="00471036"/>
    <w:rsid w:val="00473B64"/>
    <w:rsid w:val="00477A11"/>
    <w:rsid w:val="004812CB"/>
    <w:rsid w:val="004855FD"/>
    <w:rsid w:val="00486CB6"/>
    <w:rsid w:val="004944DB"/>
    <w:rsid w:val="00495FFC"/>
    <w:rsid w:val="00496213"/>
    <w:rsid w:val="004A0CD0"/>
    <w:rsid w:val="004C1A8E"/>
    <w:rsid w:val="004C4DBE"/>
    <w:rsid w:val="004C53CF"/>
    <w:rsid w:val="004C72E3"/>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5736"/>
    <w:rsid w:val="005364C3"/>
    <w:rsid w:val="00536CF3"/>
    <w:rsid w:val="0054047D"/>
    <w:rsid w:val="00545DD0"/>
    <w:rsid w:val="005523DF"/>
    <w:rsid w:val="00553388"/>
    <w:rsid w:val="00555C6E"/>
    <w:rsid w:val="00566BFF"/>
    <w:rsid w:val="00570FC0"/>
    <w:rsid w:val="00571DB9"/>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231B"/>
    <w:rsid w:val="005B37F0"/>
    <w:rsid w:val="005B5D4C"/>
    <w:rsid w:val="005C295A"/>
    <w:rsid w:val="005C3310"/>
    <w:rsid w:val="005C3678"/>
    <w:rsid w:val="005C510E"/>
    <w:rsid w:val="005C51C0"/>
    <w:rsid w:val="005C55D0"/>
    <w:rsid w:val="005C6602"/>
    <w:rsid w:val="005D010A"/>
    <w:rsid w:val="005D23BD"/>
    <w:rsid w:val="005D55E2"/>
    <w:rsid w:val="005D676E"/>
    <w:rsid w:val="005D7FBC"/>
    <w:rsid w:val="005E311A"/>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204DB"/>
    <w:rsid w:val="00622706"/>
    <w:rsid w:val="00622C38"/>
    <w:rsid w:val="00623E67"/>
    <w:rsid w:val="00624887"/>
    <w:rsid w:val="00626262"/>
    <w:rsid w:val="00630805"/>
    <w:rsid w:val="00635161"/>
    <w:rsid w:val="006367B6"/>
    <w:rsid w:val="0064055B"/>
    <w:rsid w:val="00642B5B"/>
    <w:rsid w:val="006463AB"/>
    <w:rsid w:val="006477FD"/>
    <w:rsid w:val="00656B2D"/>
    <w:rsid w:val="00665F5E"/>
    <w:rsid w:val="0066704D"/>
    <w:rsid w:val="00671D68"/>
    <w:rsid w:val="0067474B"/>
    <w:rsid w:val="00683733"/>
    <w:rsid w:val="00683C44"/>
    <w:rsid w:val="00692A3E"/>
    <w:rsid w:val="00692FA4"/>
    <w:rsid w:val="00696709"/>
    <w:rsid w:val="006978E5"/>
    <w:rsid w:val="006A02E2"/>
    <w:rsid w:val="006A079F"/>
    <w:rsid w:val="006A0E15"/>
    <w:rsid w:val="006A15AC"/>
    <w:rsid w:val="006A2F0C"/>
    <w:rsid w:val="006A6D99"/>
    <w:rsid w:val="006B361F"/>
    <w:rsid w:val="006B39E1"/>
    <w:rsid w:val="006B460D"/>
    <w:rsid w:val="006C1682"/>
    <w:rsid w:val="006C2B40"/>
    <w:rsid w:val="006C364F"/>
    <w:rsid w:val="006C5D53"/>
    <w:rsid w:val="006D18A0"/>
    <w:rsid w:val="006D42F1"/>
    <w:rsid w:val="006D5D09"/>
    <w:rsid w:val="006D70C6"/>
    <w:rsid w:val="006E0FF3"/>
    <w:rsid w:val="006E1639"/>
    <w:rsid w:val="006E36F1"/>
    <w:rsid w:val="006E39B8"/>
    <w:rsid w:val="006F2163"/>
    <w:rsid w:val="006F5ACB"/>
    <w:rsid w:val="007003D6"/>
    <w:rsid w:val="0070262F"/>
    <w:rsid w:val="00704271"/>
    <w:rsid w:val="00713A1D"/>
    <w:rsid w:val="007156E4"/>
    <w:rsid w:val="00717461"/>
    <w:rsid w:val="00717F6C"/>
    <w:rsid w:val="0072067D"/>
    <w:rsid w:val="00721EED"/>
    <w:rsid w:val="007270D0"/>
    <w:rsid w:val="00733871"/>
    <w:rsid w:val="007339D5"/>
    <w:rsid w:val="00734285"/>
    <w:rsid w:val="00750401"/>
    <w:rsid w:val="00754109"/>
    <w:rsid w:val="0076010E"/>
    <w:rsid w:val="00764696"/>
    <w:rsid w:val="0077353C"/>
    <w:rsid w:val="00775A12"/>
    <w:rsid w:val="00776D75"/>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D6408"/>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4E5A"/>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622B"/>
    <w:rsid w:val="00853371"/>
    <w:rsid w:val="008543CD"/>
    <w:rsid w:val="00861F9C"/>
    <w:rsid w:val="00872804"/>
    <w:rsid w:val="008749C8"/>
    <w:rsid w:val="0088059A"/>
    <w:rsid w:val="00887F43"/>
    <w:rsid w:val="00891BFC"/>
    <w:rsid w:val="00893BBD"/>
    <w:rsid w:val="00894A9C"/>
    <w:rsid w:val="00897007"/>
    <w:rsid w:val="008A0AAD"/>
    <w:rsid w:val="008A0F72"/>
    <w:rsid w:val="008A2445"/>
    <w:rsid w:val="008A292E"/>
    <w:rsid w:val="008A3FB5"/>
    <w:rsid w:val="008A4F01"/>
    <w:rsid w:val="008B2C85"/>
    <w:rsid w:val="008B56C2"/>
    <w:rsid w:val="008C173B"/>
    <w:rsid w:val="008C2C8E"/>
    <w:rsid w:val="008D18C5"/>
    <w:rsid w:val="008D1B8D"/>
    <w:rsid w:val="008D1DB1"/>
    <w:rsid w:val="008D45D6"/>
    <w:rsid w:val="008E27E9"/>
    <w:rsid w:val="008E28FB"/>
    <w:rsid w:val="008E3915"/>
    <w:rsid w:val="008E74F8"/>
    <w:rsid w:val="008F0348"/>
    <w:rsid w:val="00901984"/>
    <w:rsid w:val="00902E96"/>
    <w:rsid w:val="009039E6"/>
    <w:rsid w:val="0090735D"/>
    <w:rsid w:val="00907F6E"/>
    <w:rsid w:val="00911D35"/>
    <w:rsid w:val="0091462A"/>
    <w:rsid w:val="009152F8"/>
    <w:rsid w:val="009158E2"/>
    <w:rsid w:val="0091691F"/>
    <w:rsid w:val="009208B2"/>
    <w:rsid w:val="00921BD2"/>
    <w:rsid w:val="009222A7"/>
    <w:rsid w:val="009325E5"/>
    <w:rsid w:val="00932DC2"/>
    <w:rsid w:val="00933184"/>
    <w:rsid w:val="00941F8F"/>
    <w:rsid w:val="009468B8"/>
    <w:rsid w:val="00946B12"/>
    <w:rsid w:val="00946D2C"/>
    <w:rsid w:val="00950E49"/>
    <w:rsid w:val="00952D9C"/>
    <w:rsid w:val="009537F8"/>
    <w:rsid w:val="009538DC"/>
    <w:rsid w:val="00953E17"/>
    <w:rsid w:val="009545B9"/>
    <w:rsid w:val="009579CD"/>
    <w:rsid w:val="00957F67"/>
    <w:rsid w:val="009605B2"/>
    <w:rsid w:val="00960A81"/>
    <w:rsid w:val="00962DE5"/>
    <w:rsid w:val="00964048"/>
    <w:rsid w:val="009640AB"/>
    <w:rsid w:val="00967173"/>
    <w:rsid w:val="00973FB5"/>
    <w:rsid w:val="009762CB"/>
    <w:rsid w:val="00977945"/>
    <w:rsid w:val="00981751"/>
    <w:rsid w:val="00981C18"/>
    <w:rsid w:val="009825F0"/>
    <w:rsid w:val="00985B8A"/>
    <w:rsid w:val="00990CB4"/>
    <w:rsid w:val="009914AD"/>
    <w:rsid w:val="009A0436"/>
    <w:rsid w:val="009A5599"/>
    <w:rsid w:val="009A68D0"/>
    <w:rsid w:val="009A766B"/>
    <w:rsid w:val="009A7E6E"/>
    <w:rsid w:val="009B2CB2"/>
    <w:rsid w:val="009B7A6D"/>
    <w:rsid w:val="009C38EC"/>
    <w:rsid w:val="009C53AB"/>
    <w:rsid w:val="009C7808"/>
    <w:rsid w:val="009D06FA"/>
    <w:rsid w:val="009D6E05"/>
    <w:rsid w:val="009E0E57"/>
    <w:rsid w:val="009E6DA4"/>
    <w:rsid w:val="009E788E"/>
    <w:rsid w:val="009F1531"/>
    <w:rsid w:val="009F6474"/>
    <w:rsid w:val="00A004BB"/>
    <w:rsid w:val="00A00870"/>
    <w:rsid w:val="00A01278"/>
    <w:rsid w:val="00A01549"/>
    <w:rsid w:val="00A017C1"/>
    <w:rsid w:val="00A03373"/>
    <w:rsid w:val="00A034D1"/>
    <w:rsid w:val="00A036B8"/>
    <w:rsid w:val="00A10925"/>
    <w:rsid w:val="00A10EFD"/>
    <w:rsid w:val="00A10EFE"/>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60E5"/>
    <w:rsid w:val="00A8726B"/>
    <w:rsid w:val="00A93C72"/>
    <w:rsid w:val="00A95D42"/>
    <w:rsid w:val="00A962C3"/>
    <w:rsid w:val="00A973E2"/>
    <w:rsid w:val="00AA2D1B"/>
    <w:rsid w:val="00AA5CFE"/>
    <w:rsid w:val="00AB1A29"/>
    <w:rsid w:val="00AC0A04"/>
    <w:rsid w:val="00AC37B1"/>
    <w:rsid w:val="00AC6047"/>
    <w:rsid w:val="00AC7956"/>
    <w:rsid w:val="00AD6268"/>
    <w:rsid w:val="00AE1765"/>
    <w:rsid w:val="00AE72AF"/>
    <w:rsid w:val="00AF2C12"/>
    <w:rsid w:val="00AF50A8"/>
    <w:rsid w:val="00AF54B0"/>
    <w:rsid w:val="00B012E8"/>
    <w:rsid w:val="00B02AB0"/>
    <w:rsid w:val="00B07AA5"/>
    <w:rsid w:val="00B10A54"/>
    <w:rsid w:val="00B13CEA"/>
    <w:rsid w:val="00B15C66"/>
    <w:rsid w:val="00B22946"/>
    <w:rsid w:val="00B25573"/>
    <w:rsid w:val="00B32122"/>
    <w:rsid w:val="00B33E2C"/>
    <w:rsid w:val="00B36FB3"/>
    <w:rsid w:val="00B40530"/>
    <w:rsid w:val="00B46BB7"/>
    <w:rsid w:val="00B50536"/>
    <w:rsid w:val="00B52617"/>
    <w:rsid w:val="00B548BE"/>
    <w:rsid w:val="00B60E2E"/>
    <w:rsid w:val="00B628B6"/>
    <w:rsid w:val="00B648E7"/>
    <w:rsid w:val="00B660AC"/>
    <w:rsid w:val="00B70A2D"/>
    <w:rsid w:val="00B70AF5"/>
    <w:rsid w:val="00B70B6B"/>
    <w:rsid w:val="00B71491"/>
    <w:rsid w:val="00B7485F"/>
    <w:rsid w:val="00B761FE"/>
    <w:rsid w:val="00B76F25"/>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611D"/>
    <w:rsid w:val="00BC1480"/>
    <w:rsid w:val="00BC30E9"/>
    <w:rsid w:val="00BC4228"/>
    <w:rsid w:val="00BD6AF4"/>
    <w:rsid w:val="00BD6DF5"/>
    <w:rsid w:val="00BE175D"/>
    <w:rsid w:val="00BE364F"/>
    <w:rsid w:val="00BE4BC7"/>
    <w:rsid w:val="00BE5EDE"/>
    <w:rsid w:val="00BE71E9"/>
    <w:rsid w:val="00BE7737"/>
    <w:rsid w:val="00BF3543"/>
    <w:rsid w:val="00BF3A0C"/>
    <w:rsid w:val="00C03ACA"/>
    <w:rsid w:val="00C07674"/>
    <w:rsid w:val="00C077B4"/>
    <w:rsid w:val="00C13CAA"/>
    <w:rsid w:val="00C13CBB"/>
    <w:rsid w:val="00C14DB7"/>
    <w:rsid w:val="00C16177"/>
    <w:rsid w:val="00C201B9"/>
    <w:rsid w:val="00C24302"/>
    <w:rsid w:val="00C243FF"/>
    <w:rsid w:val="00C25ADC"/>
    <w:rsid w:val="00C25D00"/>
    <w:rsid w:val="00C318C0"/>
    <w:rsid w:val="00C37F17"/>
    <w:rsid w:val="00C40E80"/>
    <w:rsid w:val="00C4521D"/>
    <w:rsid w:val="00C4710B"/>
    <w:rsid w:val="00C62E1A"/>
    <w:rsid w:val="00C64BBF"/>
    <w:rsid w:val="00C64EB2"/>
    <w:rsid w:val="00C657EE"/>
    <w:rsid w:val="00C703DE"/>
    <w:rsid w:val="00C70729"/>
    <w:rsid w:val="00C71595"/>
    <w:rsid w:val="00C725F7"/>
    <w:rsid w:val="00C73FEA"/>
    <w:rsid w:val="00C74FE3"/>
    <w:rsid w:val="00C863F7"/>
    <w:rsid w:val="00C86BA0"/>
    <w:rsid w:val="00C9084A"/>
    <w:rsid w:val="00CA2A06"/>
    <w:rsid w:val="00CA30CF"/>
    <w:rsid w:val="00CA3CB2"/>
    <w:rsid w:val="00CA3F8B"/>
    <w:rsid w:val="00CA5798"/>
    <w:rsid w:val="00CA59F0"/>
    <w:rsid w:val="00CB0190"/>
    <w:rsid w:val="00CB5E62"/>
    <w:rsid w:val="00CB6567"/>
    <w:rsid w:val="00CB7672"/>
    <w:rsid w:val="00CB7CCD"/>
    <w:rsid w:val="00CC2C8B"/>
    <w:rsid w:val="00CC3857"/>
    <w:rsid w:val="00CD01A7"/>
    <w:rsid w:val="00CD04E4"/>
    <w:rsid w:val="00CD098D"/>
    <w:rsid w:val="00CD6E42"/>
    <w:rsid w:val="00CE036F"/>
    <w:rsid w:val="00CE33BB"/>
    <w:rsid w:val="00CE558F"/>
    <w:rsid w:val="00CF049D"/>
    <w:rsid w:val="00CF1CD3"/>
    <w:rsid w:val="00CF3EA5"/>
    <w:rsid w:val="00D02CC5"/>
    <w:rsid w:val="00D03809"/>
    <w:rsid w:val="00D03FE6"/>
    <w:rsid w:val="00D078F2"/>
    <w:rsid w:val="00D13E8A"/>
    <w:rsid w:val="00D14744"/>
    <w:rsid w:val="00D15326"/>
    <w:rsid w:val="00D15F1E"/>
    <w:rsid w:val="00D1632D"/>
    <w:rsid w:val="00D24CF3"/>
    <w:rsid w:val="00D35A9D"/>
    <w:rsid w:val="00D44BB2"/>
    <w:rsid w:val="00D45050"/>
    <w:rsid w:val="00D452A3"/>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F7B4D"/>
    <w:rsid w:val="00E00223"/>
    <w:rsid w:val="00E01D38"/>
    <w:rsid w:val="00E023F8"/>
    <w:rsid w:val="00E02AF4"/>
    <w:rsid w:val="00E04BBC"/>
    <w:rsid w:val="00E0648E"/>
    <w:rsid w:val="00E06E45"/>
    <w:rsid w:val="00E1258E"/>
    <w:rsid w:val="00E13D43"/>
    <w:rsid w:val="00E1668A"/>
    <w:rsid w:val="00E30DF6"/>
    <w:rsid w:val="00E33E37"/>
    <w:rsid w:val="00E44ED4"/>
    <w:rsid w:val="00E450ED"/>
    <w:rsid w:val="00E50795"/>
    <w:rsid w:val="00E507AC"/>
    <w:rsid w:val="00E5592F"/>
    <w:rsid w:val="00E55EFC"/>
    <w:rsid w:val="00E57DBA"/>
    <w:rsid w:val="00E6031C"/>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D0BFE"/>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39FB"/>
    <w:rsid w:val="00F37B8E"/>
    <w:rsid w:val="00F40E12"/>
    <w:rsid w:val="00F45331"/>
    <w:rsid w:val="00F47396"/>
    <w:rsid w:val="00F52927"/>
    <w:rsid w:val="00F55548"/>
    <w:rsid w:val="00F567E9"/>
    <w:rsid w:val="00F57E7D"/>
    <w:rsid w:val="00F60D6B"/>
    <w:rsid w:val="00F63237"/>
    <w:rsid w:val="00F63983"/>
    <w:rsid w:val="00F70AE5"/>
    <w:rsid w:val="00F739A8"/>
    <w:rsid w:val="00F810B3"/>
    <w:rsid w:val="00F81790"/>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F3B"/>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0D723"/>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E17"/>
    <w:pPr>
      <w:spacing w:before="60" w:after="120" w:line="259" w:lineRule="auto"/>
      <w:jc w:val="both"/>
    </w:pPr>
    <w:rPr>
      <w:rFonts w:asciiTheme="minorHAnsi" w:hAnsiTheme="minorHAnsi"/>
      <w:sz w:val="22"/>
      <w:szCs w:val="24"/>
      <w:lang w:eastAsia="zh-CN"/>
    </w:rPr>
  </w:style>
  <w:style w:type="paragraph" w:styleId="Heading1">
    <w:name w:val="heading 1"/>
    <w:basedOn w:val="Normal"/>
    <w:next w:val="Normal"/>
    <w:link w:val="Heading1Char"/>
    <w:qFormat/>
    <w:rsid w:val="00953E17"/>
    <w:pPr>
      <w:keepNext/>
      <w:keepLines/>
      <w:numPr>
        <w:numId w:val="3"/>
      </w:numPr>
      <w:spacing w:before="240" w:after="0"/>
      <w:ind w:left="431" w:hanging="431"/>
      <w:outlineLvl w:val="0"/>
    </w:pPr>
    <w:rPr>
      <w:rFonts w:asciiTheme="majorHAnsi" w:eastAsiaTheme="majorEastAsia" w:hAnsiTheme="majorHAnsi" w:cstheme="majorBidi"/>
      <w:color w:val="2E74B5" w:themeColor="accent1" w:themeShade="BF"/>
      <w:sz w:val="28"/>
      <w:szCs w:val="32"/>
    </w:rPr>
  </w:style>
  <w:style w:type="paragraph" w:styleId="Heading2">
    <w:name w:val="heading 2"/>
    <w:basedOn w:val="Normal"/>
    <w:next w:val="Normal"/>
    <w:link w:val="Heading2Char"/>
    <w:unhideWhenUsed/>
    <w:qFormat/>
    <w:rsid w:val="0045246F"/>
    <w:pPr>
      <w:keepNext/>
      <w:keepLines/>
      <w:numPr>
        <w:ilvl w:val="1"/>
        <w:numId w:val="3"/>
      </w:numPr>
      <w:spacing w:before="240"/>
      <w:ind w:left="578" w:hanging="578"/>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16F"/>
    <w:pPr>
      <w:numPr>
        <w:ilvl w:val="2"/>
        <w:numId w:val="3"/>
      </w:num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semiHidden/>
    <w:unhideWhenUsed/>
    <w:qFormat/>
    <w:rsid w:val="00496213"/>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953E17"/>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953E17"/>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53E17"/>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953E1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53E1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pPr>
  </w:style>
  <w:style w:type="paragraph" w:styleId="Footer">
    <w:name w:val="footer"/>
    <w:basedOn w:val="Normal"/>
    <w:link w:val="FooterChar"/>
    <w:uiPriority w:val="99"/>
    <w:pPr>
      <w:tabs>
        <w:tab w:val="center" w:pos="4703"/>
        <w:tab w:val="right" w:pos="9406"/>
      </w:tabs>
    </w:pPr>
  </w:style>
  <w:style w:type="character" w:styleId="Hyperlink">
    <w:name w:val="Hyperlink"/>
    <w:rsid w:val="006D70C6"/>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rsid w:val="005A000B"/>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sz w:val="24"/>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szCs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uiPriority w:val="9"/>
    <w:rsid w:val="005F716F"/>
    <w:rPr>
      <w:rFonts w:eastAsia="Times New Roman"/>
      <w:b/>
      <w:bCs/>
      <w:sz w:val="27"/>
      <w:szCs w:val="27"/>
      <w:lang w:eastAsia="zh-CN"/>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953E17"/>
    <w:rPr>
      <w:rFonts w:asciiTheme="majorHAnsi" w:eastAsiaTheme="majorEastAsia" w:hAnsiTheme="majorHAnsi" w:cstheme="majorBidi"/>
      <w:color w:val="2E74B5" w:themeColor="accent1" w:themeShade="BF"/>
      <w:sz w:val="28"/>
      <w:szCs w:val="32"/>
      <w:lang w:eastAsia="zh-CN"/>
    </w:rPr>
  </w:style>
  <w:style w:type="character" w:customStyle="1" w:styleId="Heading2Char">
    <w:name w:val="Heading 2 Char"/>
    <w:basedOn w:val="DefaultParagraphFont"/>
    <w:link w:val="Heading2"/>
    <w:rsid w:val="0045246F"/>
    <w:rPr>
      <w:rFonts w:asciiTheme="majorHAnsi" w:eastAsiaTheme="majorEastAsia" w:hAnsiTheme="majorHAnsi" w:cstheme="majorBidi"/>
      <w:color w:val="2E74B5" w:themeColor="accent1" w:themeShade="BF"/>
      <w:sz w:val="26"/>
      <w:szCs w:val="26"/>
      <w:lang w:eastAsia="zh-CN"/>
    </w:rPr>
  </w:style>
  <w:style w:type="character" w:customStyle="1" w:styleId="Heading4Char">
    <w:name w:val="Heading 4 Char"/>
    <w:basedOn w:val="DefaultParagraphFont"/>
    <w:link w:val="Heading4"/>
    <w:semiHidden/>
    <w:rsid w:val="00496213"/>
    <w:rPr>
      <w:rFonts w:asciiTheme="majorHAnsi" w:eastAsiaTheme="majorEastAsia" w:hAnsiTheme="majorHAnsi" w:cstheme="majorBidi"/>
      <w:i/>
      <w:iCs/>
      <w:color w:val="2E74B5" w:themeColor="accent1" w:themeShade="BF"/>
      <w:sz w:val="22"/>
      <w:szCs w:val="24"/>
      <w:lang w:eastAsia="zh-CN"/>
    </w:rPr>
  </w:style>
  <w:style w:type="paragraph" w:customStyle="1" w:styleId="text-sm-justify">
    <w:name w:val="text-sm-justify"/>
    <w:basedOn w:val="Normal"/>
    <w:rsid w:val="00496213"/>
    <w:pPr>
      <w:spacing w:before="100" w:beforeAutospacing="1" w:after="100" w:afterAutospacing="1"/>
    </w:pPr>
    <w:rPr>
      <w:rFonts w:ascii="Times New Roman" w:eastAsia="Times New Roman" w:hAnsi="Times New Roman"/>
      <w:sz w:val="24"/>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Annextitle">
    <w:name w:val="Annex_title"/>
    <w:basedOn w:val="Normal"/>
    <w:next w:val="Normal"/>
    <w:rsid w:val="001F0292"/>
    <w:pPr>
      <w:tabs>
        <w:tab w:val="left" w:pos="567"/>
        <w:tab w:val="left" w:pos="1134"/>
        <w:tab w:val="left" w:pos="1701"/>
        <w:tab w:val="left" w:pos="2268"/>
        <w:tab w:val="left" w:pos="2835"/>
      </w:tabs>
      <w:overflowPunct w:val="0"/>
      <w:autoSpaceDE w:val="0"/>
      <w:autoSpaceDN w:val="0"/>
      <w:adjustRightInd w:val="0"/>
      <w:spacing w:before="240" w:after="240"/>
      <w:jc w:val="center"/>
      <w:textAlignment w:val="baseline"/>
    </w:pPr>
    <w:rPr>
      <w:rFonts w:ascii="Calibri" w:eastAsia="Times New Roman" w:hAnsi="Calibri"/>
      <w:b/>
      <w:sz w:val="34"/>
      <w:szCs w:val="20"/>
      <w:lang w:val="en-GB" w:eastAsia="en-US"/>
    </w:rPr>
  </w:style>
  <w:style w:type="paragraph" w:customStyle="1" w:styleId="Reasons">
    <w:name w:val="Reasons"/>
    <w:basedOn w:val="Normal"/>
    <w:qFormat/>
    <w:rsid w:val="001F029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Times New Roman" w:hAnsi="Calibri"/>
      <w:sz w:val="30"/>
      <w:szCs w:val="20"/>
      <w:lang w:val="en-GB" w:eastAsia="en-US"/>
    </w:rPr>
  </w:style>
  <w:style w:type="paragraph" w:customStyle="1" w:styleId="SimpleHeading">
    <w:name w:val="Simple Heading"/>
    <w:basedOn w:val="Normal"/>
    <w:link w:val="SimpleHeadingChar"/>
    <w:qFormat/>
    <w:rsid w:val="000E654D"/>
    <w:pPr>
      <w:keepNext/>
      <w:spacing w:after="60"/>
    </w:pPr>
    <w:rPr>
      <w:rFonts w:eastAsiaTheme="minorHAnsi" w:cstheme="minorBidi"/>
      <w:b/>
      <w:szCs w:val="22"/>
      <w:lang w:eastAsia="en-US"/>
    </w:rPr>
  </w:style>
  <w:style w:type="character" w:customStyle="1" w:styleId="SimpleHeadingChar">
    <w:name w:val="Simple Heading Char"/>
    <w:basedOn w:val="DefaultParagraphFont"/>
    <w:link w:val="SimpleHeading"/>
    <w:rsid w:val="000E654D"/>
    <w:rPr>
      <w:rFonts w:asciiTheme="minorHAnsi" w:eastAsiaTheme="minorHAnsi" w:hAnsiTheme="minorHAnsi" w:cstheme="minorBidi"/>
      <w:b/>
      <w:sz w:val="22"/>
      <w:szCs w:val="22"/>
      <w:lang w:eastAsia="en-US"/>
    </w:rPr>
  </w:style>
  <w:style w:type="table" w:customStyle="1" w:styleId="GridTable2-Accent11">
    <w:name w:val="Grid Table 2 - Accent 11"/>
    <w:basedOn w:val="TableNormal"/>
    <w:uiPriority w:val="47"/>
    <w:rsid w:val="000E654D"/>
    <w:rPr>
      <w:rFonts w:asciiTheme="minorHAnsi" w:eastAsiaTheme="minorHAnsi" w:hAnsiTheme="minorHAnsi" w:cstheme="minorBidi"/>
      <w:sz w:val="22"/>
      <w:szCs w:val="22"/>
      <w:lang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0E654D"/>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E654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E654D"/>
    <w:rPr>
      <w:vertAlign w:val="superscript"/>
    </w:rPr>
  </w:style>
  <w:style w:type="character" w:customStyle="1" w:styleId="Heading5Char">
    <w:name w:val="Heading 5 Char"/>
    <w:basedOn w:val="DefaultParagraphFont"/>
    <w:link w:val="Heading5"/>
    <w:semiHidden/>
    <w:rsid w:val="00953E17"/>
    <w:rPr>
      <w:rFonts w:asciiTheme="majorHAnsi" w:eastAsiaTheme="majorEastAsia" w:hAnsiTheme="majorHAnsi" w:cstheme="majorBidi"/>
      <w:color w:val="2E74B5" w:themeColor="accent1" w:themeShade="BF"/>
      <w:sz w:val="22"/>
      <w:szCs w:val="24"/>
      <w:lang w:eastAsia="zh-CN"/>
    </w:rPr>
  </w:style>
  <w:style w:type="character" w:customStyle="1" w:styleId="Heading6Char">
    <w:name w:val="Heading 6 Char"/>
    <w:basedOn w:val="DefaultParagraphFont"/>
    <w:link w:val="Heading6"/>
    <w:semiHidden/>
    <w:rsid w:val="00953E17"/>
    <w:rPr>
      <w:rFonts w:asciiTheme="majorHAnsi" w:eastAsiaTheme="majorEastAsia" w:hAnsiTheme="majorHAnsi" w:cstheme="majorBidi"/>
      <w:color w:val="1F4D78" w:themeColor="accent1" w:themeShade="7F"/>
      <w:sz w:val="22"/>
      <w:szCs w:val="24"/>
      <w:lang w:eastAsia="zh-CN"/>
    </w:rPr>
  </w:style>
  <w:style w:type="character" w:customStyle="1" w:styleId="Heading7Char">
    <w:name w:val="Heading 7 Char"/>
    <w:basedOn w:val="DefaultParagraphFont"/>
    <w:link w:val="Heading7"/>
    <w:semiHidden/>
    <w:rsid w:val="00953E17"/>
    <w:rPr>
      <w:rFonts w:asciiTheme="majorHAnsi" w:eastAsiaTheme="majorEastAsia" w:hAnsiTheme="majorHAnsi" w:cstheme="majorBidi"/>
      <w:i/>
      <w:iCs/>
      <w:color w:val="1F4D78" w:themeColor="accent1" w:themeShade="7F"/>
      <w:sz w:val="22"/>
      <w:szCs w:val="24"/>
      <w:lang w:eastAsia="zh-CN"/>
    </w:rPr>
  </w:style>
  <w:style w:type="character" w:customStyle="1" w:styleId="Heading8Char">
    <w:name w:val="Heading 8 Char"/>
    <w:basedOn w:val="DefaultParagraphFont"/>
    <w:link w:val="Heading8"/>
    <w:semiHidden/>
    <w:rsid w:val="00953E17"/>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semiHidden/>
    <w:rsid w:val="00953E17"/>
    <w:rPr>
      <w:rFonts w:asciiTheme="majorHAnsi" w:eastAsiaTheme="majorEastAsia" w:hAnsiTheme="majorHAnsi" w:cstheme="majorBidi"/>
      <w:i/>
      <w:iCs/>
      <w:color w:val="272727" w:themeColor="text1" w:themeTint="D8"/>
      <w:sz w:val="21"/>
      <w:szCs w:val="21"/>
      <w:lang w:eastAsia="zh-CN"/>
    </w:rPr>
  </w:style>
  <w:style w:type="character" w:customStyle="1" w:styleId="FooterChar">
    <w:name w:val="Footer Char"/>
    <w:basedOn w:val="DefaultParagraphFont"/>
    <w:link w:val="Footer"/>
    <w:uiPriority w:val="99"/>
    <w:rsid w:val="0045246F"/>
    <w:rPr>
      <w:rFonts w:asciiTheme="minorHAnsi" w:hAnsiTheme="minorHAnsi"/>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PublicConsultations" TargetMode="External"/><Relationship Id="rId18" Type="http://schemas.openxmlformats.org/officeDocument/2006/relationships/hyperlink" Target="http://www.itu.int/PublicConsult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md/S17-CLCWGSPF2-INF-0005/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rategy@itu.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BB7ADF-EB5F-4537-943F-279F722AEB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4.xml><?xml version="1.0" encoding="utf-8"?>
<ds:datastoreItem xmlns:ds="http://schemas.openxmlformats.org/officeDocument/2006/customXml" ds:itemID="{86F87FAD-FB2F-4EB3-8CDE-C389D849C510}">
  <ds:schemaRefs>
    <ds:schemaRef ds:uri="http://schemas.openxmlformats.org/officeDocument/2006/bibliography"/>
  </ds:schemaRefs>
</ds:datastoreItem>
</file>

<file path=customXml/itemProps5.xml><?xml version="1.0" encoding="utf-8"?>
<ds:datastoreItem xmlns:ds="http://schemas.openxmlformats.org/officeDocument/2006/customXml" ds:itemID="{D2923CB9-2185-4A70-921C-603E15BC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2731</Words>
  <Characters>15573</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CWG-SFP Report September 2017 meeting</vt:lpstr>
      <vt:lpstr>ITU Normal.dot</vt:lpstr>
    </vt:vector>
  </TitlesOfParts>
  <Company>ITU</Company>
  <LinksUpToDate>false</LinksUpToDate>
  <CharactersWithSpaces>18268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CWG-SFP Report September 2017 meeting</dc:title>
  <dc:subject>Council Working Group for Strategic and Financial Plans for 2020-2023</dc:subject>
  <dc:creator>Brouard, Ricarda</dc:creator>
  <cp:keywords>CWG-SFP</cp:keywords>
  <cp:lastModifiedBy>Brouard, Ricarda</cp:lastModifiedBy>
  <cp:revision>2</cp:revision>
  <cp:lastPrinted>2013-07-15T09:23:00Z</cp:lastPrinted>
  <dcterms:created xsi:type="dcterms:W3CDTF">2017-09-08T17:32:00Z</dcterms:created>
  <dcterms:modified xsi:type="dcterms:W3CDTF">2017-09-08T17:32:00Z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