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jc w:val="center"/>
        <w:tblLook w:val="0000" w:firstRow="0" w:lastRow="0" w:firstColumn="0" w:lastColumn="0" w:noHBand="0" w:noVBand="0"/>
      </w:tblPr>
      <w:tblGrid>
        <w:gridCol w:w="6377"/>
        <w:gridCol w:w="3262"/>
      </w:tblGrid>
      <w:tr w:rsidR="00F02705" w:rsidRPr="00F02705" w:rsidTr="000A70ED">
        <w:trPr>
          <w:trHeight w:val="1555"/>
          <w:jc w:val="center"/>
        </w:trPr>
        <w:tc>
          <w:tcPr>
            <w:tcW w:w="3308" w:type="pct"/>
            <w:tcBorders>
              <w:bottom w:val="single" w:sz="12" w:space="0" w:color="auto"/>
            </w:tcBorders>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EG"/>
              </w:rPr>
            </w:pPr>
            <w:bookmarkStart w:id="0" w:name="_GoBack"/>
            <w:bookmarkEnd w:id="0"/>
            <w:r w:rsidRPr="00F02705">
              <w:rPr>
                <w:rFonts w:eastAsiaTheme="minorEastAsia" w:hint="cs"/>
                <w:b/>
                <w:bCs/>
                <w:sz w:val="28"/>
                <w:szCs w:val="40"/>
                <w:rtl/>
                <w:lang w:eastAsia="zh-CN" w:bidi="ar-EG"/>
              </w:rPr>
              <w:t>فريق العمل التابع للمجلس المعني بالخطتين الاستراتيجية والمالية للفترة</w:t>
            </w:r>
            <w:r w:rsidRPr="00F02705">
              <w:rPr>
                <w:rFonts w:eastAsiaTheme="minorEastAsia" w:hint="eastAsia"/>
                <w:b/>
                <w:bCs/>
                <w:sz w:val="28"/>
                <w:szCs w:val="40"/>
                <w:rtl/>
                <w:lang w:eastAsia="zh-CN" w:bidi="ar-EG"/>
              </w:rPr>
              <w:t> </w:t>
            </w:r>
            <w:r w:rsidRPr="00F02705">
              <w:rPr>
                <w:rFonts w:eastAsiaTheme="minorEastAsia"/>
                <w:b/>
                <w:bCs/>
                <w:sz w:val="28"/>
                <w:szCs w:val="40"/>
                <w:lang w:eastAsia="zh-CN" w:bidi="ar-EG"/>
              </w:rPr>
              <w:t>2023-2020</w:t>
            </w:r>
          </w:p>
          <w:p w:rsidR="00F02705" w:rsidRPr="00F02705" w:rsidRDefault="00F02705" w:rsidP="00F02705">
            <w:pPr>
              <w:tabs>
                <w:tab w:val="clear" w:pos="794"/>
                <w:tab w:val="left" w:pos="1134"/>
              </w:tabs>
              <w:rPr>
                <w:rFonts w:eastAsiaTheme="minorEastAsia"/>
                <w:b/>
                <w:bCs/>
                <w:sz w:val="28"/>
                <w:szCs w:val="40"/>
                <w:rtl/>
                <w:lang w:eastAsia="zh-CN" w:bidi="ar-EG"/>
              </w:rPr>
            </w:pPr>
            <w:r w:rsidRPr="00F02705">
              <w:rPr>
                <w:rFonts w:eastAsiaTheme="minorEastAsia" w:hint="cs"/>
                <w:b/>
                <w:bCs/>
                <w:sz w:val="24"/>
                <w:szCs w:val="32"/>
                <w:rtl/>
                <w:lang w:eastAsia="zh-CN" w:bidi="ar-EG"/>
              </w:rPr>
              <w:t xml:space="preserve">الاجتماع الثاني </w:t>
            </w:r>
            <w:proofErr w:type="gramStart"/>
            <w:r w:rsidRPr="00F02705">
              <w:rPr>
                <w:rFonts w:eastAsiaTheme="minorEastAsia" w:hint="cs"/>
                <w:b/>
                <w:bCs/>
                <w:sz w:val="24"/>
                <w:szCs w:val="32"/>
                <w:rtl/>
                <w:lang w:eastAsia="zh-CN" w:bidi="ar-EG"/>
              </w:rPr>
              <w:t>- جنيف</w:t>
            </w:r>
            <w:proofErr w:type="gramEnd"/>
            <w:r w:rsidRPr="00F02705">
              <w:rPr>
                <w:rFonts w:eastAsiaTheme="minorEastAsia" w:hint="cs"/>
                <w:b/>
                <w:bCs/>
                <w:sz w:val="24"/>
                <w:szCs w:val="32"/>
                <w:rtl/>
                <w:lang w:eastAsia="zh-CN" w:bidi="ar-EG"/>
              </w:rPr>
              <w:t xml:space="preserve">، </w:t>
            </w:r>
            <w:r w:rsidRPr="00F02705">
              <w:rPr>
                <w:rFonts w:eastAsiaTheme="minorEastAsia"/>
                <w:b/>
                <w:bCs/>
                <w:sz w:val="24"/>
                <w:szCs w:val="32"/>
                <w:lang w:eastAsia="zh-CN" w:bidi="ar-EG"/>
              </w:rPr>
              <w:t>12</w:t>
            </w:r>
            <w:r w:rsidRPr="00F02705">
              <w:rPr>
                <w:rFonts w:eastAsiaTheme="minorEastAsia"/>
                <w:b/>
                <w:bCs/>
                <w:sz w:val="24"/>
                <w:szCs w:val="32"/>
                <w:lang w:eastAsia="zh-CN" w:bidi="ar-EG"/>
              </w:rPr>
              <w:noBreakHyphen/>
              <w:t>11</w:t>
            </w:r>
            <w:r w:rsidRPr="00F02705">
              <w:rPr>
                <w:rFonts w:eastAsiaTheme="minorEastAsia" w:hint="cs"/>
                <w:b/>
                <w:bCs/>
                <w:sz w:val="24"/>
                <w:szCs w:val="32"/>
                <w:rtl/>
                <w:lang w:eastAsia="zh-CN" w:bidi="ar-EG"/>
              </w:rPr>
              <w:t xml:space="preserve"> سبتمبر </w:t>
            </w:r>
            <w:r w:rsidRPr="00F02705">
              <w:rPr>
                <w:rFonts w:eastAsiaTheme="minorEastAsia"/>
                <w:b/>
                <w:bCs/>
                <w:sz w:val="24"/>
                <w:szCs w:val="32"/>
                <w:lang w:eastAsia="zh-CN" w:bidi="ar-EG"/>
              </w:rPr>
              <w:t>2017</w:t>
            </w:r>
          </w:p>
        </w:tc>
        <w:tc>
          <w:tcPr>
            <w:tcW w:w="1692" w:type="pct"/>
            <w:tcBorders>
              <w:bottom w:val="single" w:sz="12" w:space="0" w:color="auto"/>
            </w:tcBorders>
            <w:vAlign w:val="center"/>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r w:rsidRPr="00F02705">
              <w:rPr>
                <w:noProof/>
                <w:rtl/>
                <w:lang w:eastAsia="zh-CN"/>
              </w:rPr>
              <w:drawing>
                <wp:inline distT="0" distB="0" distL="0" distR="0" wp14:anchorId="34005A89" wp14:editId="0C9E00B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F02705" w:rsidRPr="00F02705" w:rsidTr="000A70ED">
        <w:trPr>
          <w:jc w:val="center"/>
        </w:trPr>
        <w:tc>
          <w:tcPr>
            <w:tcW w:w="3308" w:type="pct"/>
            <w:tcBorders>
              <w:top w:val="single" w:sz="12" w:space="0" w:color="auto"/>
            </w:tcBorders>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1692" w:type="pct"/>
            <w:tcBorders>
              <w:top w:val="single" w:sz="12" w:space="0" w:color="auto"/>
            </w:tcBorders>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rPr>
            </w:pPr>
          </w:p>
        </w:tc>
      </w:tr>
      <w:tr w:rsidR="00F02705" w:rsidRPr="00F02705" w:rsidTr="000A70ED">
        <w:trPr>
          <w:jc w:val="center"/>
        </w:trPr>
        <w:tc>
          <w:tcPr>
            <w:tcW w:w="3308" w:type="pct"/>
            <w:vMerge w:val="restart"/>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SY"/>
              </w:rPr>
            </w:pPr>
          </w:p>
        </w:tc>
        <w:tc>
          <w:tcPr>
            <w:tcW w:w="1692" w:type="pct"/>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F02705">
              <w:rPr>
                <w:rFonts w:eastAsiaTheme="minorEastAsia"/>
                <w:b/>
                <w:bCs/>
                <w:rtl/>
                <w:lang w:eastAsia="zh-CN"/>
              </w:rPr>
              <w:t>ا</w:t>
            </w:r>
            <w:r w:rsidRPr="00F02705">
              <w:rPr>
                <w:rFonts w:eastAsiaTheme="minorEastAsia" w:hint="cs"/>
                <w:b/>
                <w:bCs/>
                <w:rtl/>
                <w:lang w:eastAsia="zh-CN"/>
              </w:rPr>
              <w:t>ل</w:t>
            </w:r>
            <w:r w:rsidRPr="00F02705">
              <w:rPr>
                <w:rFonts w:eastAsiaTheme="minorEastAsia"/>
                <w:b/>
                <w:bCs/>
                <w:rtl/>
                <w:lang w:eastAsia="zh-CN"/>
              </w:rPr>
              <w:t>و</w:t>
            </w:r>
            <w:r w:rsidRPr="00F02705">
              <w:rPr>
                <w:rFonts w:eastAsiaTheme="minorEastAsia" w:hint="cs"/>
                <w:b/>
                <w:bCs/>
                <w:rtl/>
                <w:lang w:eastAsia="zh-CN"/>
              </w:rPr>
              <w:t xml:space="preserve">ثيقـة </w:t>
            </w:r>
            <w:r w:rsidRPr="00F02705">
              <w:rPr>
                <w:rFonts w:eastAsiaTheme="minorEastAsia"/>
                <w:b/>
                <w:bCs/>
                <w:lang w:eastAsia="zh-CN" w:bidi="ar-SY"/>
              </w:rPr>
              <w:t>CWG-SFP</w:t>
            </w:r>
            <w:r w:rsidRPr="00F02705">
              <w:rPr>
                <w:rFonts w:eastAsiaTheme="minorEastAsia"/>
                <w:b/>
                <w:bCs/>
                <w:lang w:eastAsia="zh-CN" w:bidi="ar-SY"/>
              </w:rPr>
              <w:noBreakHyphen/>
              <w:t>2/</w:t>
            </w:r>
            <w:r>
              <w:rPr>
                <w:rFonts w:eastAsiaTheme="minorEastAsia"/>
                <w:b/>
                <w:bCs/>
                <w:lang w:eastAsia="zh-CN" w:bidi="ar-SY"/>
              </w:rPr>
              <w:t>10</w:t>
            </w:r>
            <w:r w:rsidRPr="00F02705">
              <w:rPr>
                <w:rFonts w:eastAsiaTheme="minorEastAsia"/>
                <w:b/>
                <w:bCs/>
                <w:lang w:eastAsia="zh-CN" w:bidi="ar-SY"/>
              </w:rPr>
              <w:t>-A</w:t>
            </w:r>
          </w:p>
        </w:tc>
      </w:tr>
      <w:tr w:rsidR="00F02705" w:rsidRPr="00F02705" w:rsidTr="000A70ED">
        <w:trPr>
          <w:jc w:val="center"/>
        </w:trPr>
        <w:tc>
          <w:tcPr>
            <w:tcW w:w="3308" w:type="pct"/>
            <w:vMerge/>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rtl/>
                <w:lang w:eastAsia="zh-CN"/>
              </w:rPr>
            </w:pPr>
          </w:p>
        </w:tc>
        <w:tc>
          <w:tcPr>
            <w:tcW w:w="1692" w:type="pct"/>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rtl/>
                <w:lang w:eastAsia="zh-CN" w:bidi="ar-EG"/>
              </w:rPr>
            </w:pPr>
            <w:r w:rsidRPr="00F02705">
              <w:rPr>
                <w:rFonts w:eastAsiaTheme="minorEastAsia"/>
                <w:b/>
                <w:bCs/>
                <w:lang w:eastAsia="zh-CN" w:bidi="ar-SY"/>
              </w:rPr>
              <w:t>25</w:t>
            </w:r>
            <w:r w:rsidRPr="00F02705">
              <w:rPr>
                <w:rFonts w:eastAsiaTheme="minorEastAsia" w:hint="cs"/>
                <w:b/>
                <w:bCs/>
                <w:rtl/>
                <w:lang w:eastAsia="zh-CN"/>
              </w:rPr>
              <w:t xml:space="preserve"> أغسطس </w:t>
            </w:r>
            <w:r w:rsidRPr="00F02705">
              <w:rPr>
                <w:rFonts w:eastAsiaTheme="minorEastAsia"/>
                <w:b/>
                <w:bCs/>
                <w:lang w:eastAsia="zh-CN" w:bidi="ar-SY"/>
              </w:rPr>
              <w:t>2017</w:t>
            </w:r>
          </w:p>
        </w:tc>
      </w:tr>
      <w:tr w:rsidR="00F02705" w:rsidRPr="00F02705" w:rsidTr="000A70ED">
        <w:trPr>
          <w:jc w:val="center"/>
        </w:trPr>
        <w:tc>
          <w:tcPr>
            <w:tcW w:w="3308" w:type="pct"/>
            <w:vMerge/>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400" w:lineRule="exact"/>
              <w:rPr>
                <w:rFonts w:eastAsiaTheme="minorEastAsia"/>
                <w:rtl/>
                <w:lang w:eastAsia="zh-CN"/>
              </w:rPr>
            </w:pPr>
          </w:p>
        </w:tc>
        <w:tc>
          <w:tcPr>
            <w:tcW w:w="1692" w:type="pct"/>
          </w:tcPr>
          <w:p w:rsidR="00F02705" w:rsidRPr="00F02705" w:rsidRDefault="00F02705" w:rsidP="00F02705">
            <w:pPr>
              <w:tabs>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rPr>
                <w:rFonts w:eastAsiaTheme="minorEastAsia"/>
                <w:b/>
                <w:bCs/>
                <w:lang w:eastAsia="zh-CN" w:bidi="ar-EG"/>
              </w:rPr>
            </w:pPr>
            <w:r w:rsidRPr="00F02705">
              <w:rPr>
                <w:rFonts w:eastAsiaTheme="minorEastAsia" w:hint="cs"/>
                <w:b/>
                <w:bCs/>
                <w:rtl/>
                <w:lang w:eastAsia="zh-CN"/>
              </w:rPr>
              <w:t>الأصل: بالإنكليزية</w:t>
            </w:r>
            <w:r w:rsidRPr="00F02705">
              <w:rPr>
                <w:rFonts w:eastAsiaTheme="minorEastAsia" w:hint="cs"/>
                <w:b/>
                <w:bCs/>
                <w:rtl/>
                <w:lang w:eastAsia="zh-CN" w:bidi="ar-EG"/>
              </w:rPr>
              <w:t>/بالروسية</w:t>
            </w:r>
          </w:p>
        </w:tc>
      </w:tr>
      <w:tr w:rsidR="00F02705" w:rsidRPr="00F02705" w:rsidTr="000A70ED">
        <w:trPr>
          <w:jc w:val="center"/>
        </w:trPr>
        <w:tc>
          <w:tcPr>
            <w:tcW w:w="5000" w:type="pct"/>
            <w:gridSpan w:val="2"/>
          </w:tcPr>
          <w:p w:rsidR="00F02705" w:rsidRPr="00F02705" w:rsidRDefault="00F02705" w:rsidP="00F02705">
            <w:pPr>
              <w:keepNext/>
              <w:keepLines/>
              <w:tabs>
                <w:tab w:val="clear" w:pos="794"/>
                <w:tab w:val="left" w:pos="1134"/>
              </w:tabs>
              <w:spacing w:before="840" w:after="240"/>
              <w:jc w:val="center"/>
              <w:rPr>
                <w:rFonts w:eastAsiaTheme="minorEastAsia"/>
                <w:b/>
                <w:bCs/>
                <w:snapToGrid w:val="0"/>
                <w:sz w:val="32"/>
                <w:rtl/>
                <w:lang w:eastAsia="zh-CN" w:bidi="ar-EG"/>
              </w:rPr>
            </w:pPr>
            <w:r w:rsidRPr="00F02705">
              <w:rPr>
                <w:rFonts w:eastAsiaTheme="minorEastAsia" w:hint="cs"/>
                <w:b/>
                <w:bCs/>
                <w:snapToGrid w:val="0"/>
                <w:sz w:val="32"/>
                <w:szCs w:val="44"/>
                <w:rtl/>
                <w:lang w:eastAsia="zh-CN"/>
              </w:rPr>
              <w:t>مساهمة من الاتحاد الروسي</w:t>
            </w:r>
          </w:p>
        </w:tc>
      </w:tr>
      <w:tr w:rsidR="00F02705" w:rsidRPr="00F02705" w:rsidTr="000A70ED">
        <w:trPr>
          <w:jc w:val="center"/>
        </w:trPr>
        <w:tc>
          <w:tcPr>
            <w:tcW w:w="5000" w:type="pct"/>
            <w:gridSpan w:val="2"/>
          </w:tcPr>
          <w:p w:rsidR="00F02705" w:rsidRPr="00F02705" w:rsidRDefault="00F02705" w:rsidP="00F02705">
            <w:pPr>
              <w:keepNext/>
              <w:keepLines/>
              <w:tabs>
                <w:tab w:val="clear" w:pos="794"/>
                <w:tab w:val="left" w:pos="567"/>
                <w:tab w:val="left" w:pos="1134"/>
                <w:tab w:val="left" w:pos="1701"/>
                <w:tab w:val="left" w:pos="2268"/>
                <w:tab w:val="left" w:pos="2835"/>
              </w:tabs>
              <w:spacing w:before="240" w:after="120"/>
              <w:jc w:val="center"/>
              <w:rPr>
                <w:rFonts w:eastAsiaTheme="minorEastAsia"/>
                <w:w w:val="120"/>
                <w:sz w:val="28"/>
                <w:szCs w:val="40"/>
                <w:rtl/>
                <w:lang w:eastAsia="zh-CN" w:bidi="ar-EG"/>
              </w:rPr>
            </w:pPr>
            <w:r w:rsidRPr="00F02705">
              <w:rPr>
                <w:rFonts w:eastAsiaTheme="minorEastAsia" w:hint="cs"/>
                <w:w w:val="120"/>
                <w:sz w:val="28"/>
                <w:szCs w:val="40"/>
                <w:rtl/>
                <w:lang w:eastAsia="zh-CN"/>
              </w:rPr>
              <w:t xml:space="preserve">مشروع مراجعة القرار </w:t>
            </w:r>
            <w:r w:rsidRPr="00F02705">
              <w:rPr>
                <w:rFonts w:eastAsiaTheme="minorEastAsia"/>
                <w:w w:val="120"/>
                <w:sz w:val="28"/>
                <w:szCs w:val="40"/>
                <w:lang w:val="en-GB" w:eastAsia="zh-CN"/>
              </w:rPr>
              <w:t>71</w:t>
            </w:r>
            <w:r w:rsidRPr="00F02705">
              <w:rPr>
                <w:rFonts w:eastAsiaTheme="minorEastAsia" w:hint="cs"/>
                <w:w w:val="120"/>
                <w:sz w:val="28"/>
                <w:szCs w:val="40"/>
                <w:rtl/>
                <w:lang w:eastAsia="zh-CN"/>
              </w:rPr>
              <w:t xml:space="preserve"> (المراجَع في بوسان، </w:t>
            </w:r>
            <w:r w:rsidRPr="00F02705">
              <w:rPr>
                <w:rFonts w:eastAsiaTheme="minorEastAsia"/>
                <w:w w:val="120"/>
                <w:sz w:val="28"/>
                <w:szCs w:val="40"/>
                <w:lang w:val="en-GB" w:eastAsia="zh-CN"/>
              </w:rPr>
              <w:t>2014</w:t>
            </w:r>
            <w:r w:rsidRPr="00F02705">
              <w:rPr>
                <w:rFonts w:eastAsiaTheme="minorEastAsia" w:hint="cs"/>
                <w:w w:val="120"/>
                <w:sz w:val="28"/>
                <w:szCs w:val="40"/>
                <w:rtl/>
                <w:lang w:eastAsia="zh-CN"/>
              </w:rPr>
              <w:t>)</w:t>
            </w:r>
          </w:p>
        </w:tc>
      </w:tr>
      <w:tr w:rsidR="00F02705" w:rsidRPr="00F02705" w:rsidTr="000A70ED">
        <w:trPr>
          <w:jc w:val="center"/>
        </w:trPr>
        <w:tc>
          <w:tcPr>
            <w:tcW w:w="5000" w:type="pct"/>
            <w:gridSpan w:val="2"/>
          </w:tcPr>
          <w:p w:rsidR="00F02705" w:rsidRPr="00F02705" w:rsidRDefault="00F02705" w:rsidP="00F02705">
            <w:pPr>
              <w:keepNext/>
              <w:keepLines/>
              <w:tabs>
                <w:tab w:val="clear" w:pos="794"/>
                <w:tab w:val="left" w:pos="567"/>
                <w:tab w:val="left" w:pos="1134"/>
                <w:tab w:val="left" w:pos="1701"/>
                <w:tab w:val="left" w:pos="2268"/>
                <w:tab w:val="left" w:pos="2835"/>
              </w:tabs>
              <w:spacing w:before="240" w:after="120"/>
              <w:jc w:val="center"/>
              <w:rPr>
                <w:rFonts w:eastAsiaTheme="minorEastAsia"/>
                <w:w w:val="110"/>
                <w:sz w:val="24"/>
                <w:szCs w:val="32"/>
                <w:rtl/>
                <w:lang w:eastAsia="zh-CN" w:bidi="ar-EG"/>
              </w:rPr>
            </w:pPr>
          </w:p>
        </w:tc>
      </w:tr>
    </w:tbl>
    <w:tbl>
      <w:tblPr>
        <w:tblStyle w:val="TableGrid1"/>
        <w:bidiVisual/>
        <w:tblW w:w="765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54"/>
      </w:tblGrid>
      <w:tr w:rsidR="00BE2AE3" w:rsidTr="00BE2AE3">
        <w:trPr>
          <w:jc w:val="center"/>
        </w:trPr>
        <w:tc>
          <w:tcPr>
            <w:tcW w:w="7654" w:type="dxa"/>
            <w:tcBorders>
              <w:top w:val="single" w:sz="12" w:space="0" w:color="auto"/>
              <w:left w:val="single" w:sz="12" w:space="0" w:color="auto"/>
              <w:bottom w:val="single" w:sz="12" w:space="0" w:color="auto"/>
              <w:right w:val="single" w:sz="12" w:space="0" w:color="auto"/>
            </w:tcBorders>
            <w:hideMark/>
          </w:tcPr>
          <w:p w:rsidR="00BE2AE3" w:rsidRDefault="00BE2AE3" w:rsidP="005434DE">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lang w:eastAsia="zh-CN" w:bidi="ar-SY"/>
              </w:rPr>
            </w:pPr>
            <w:r>
              <w:rPr>
                <w:rFonts w:eastAsiaTheme="minorEastAsia"/>
                <w:b/>
                <w:bCs/>
                <w:rtl/>
                <w:lang w:eastAsia="zh-CN" w:bidi="ar-SY"/>
              </w:rPr>
              <w:t>ملخص</w:t>
            </w:r>
          </w:p>
          <w:p w:rsidR="00BE2AE3" w:rsidRPr="00E2640A" w:rsidRDefault="00BE2AE3" w:rsidP="005434DE">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2"/>
                <w:rtl/>
                <w:lang w:eastAsia="zh-CN"/>
              </w:rPr>
            </w:pPr>
            <w:r w:rsidRPr="00E2640A">
              <w:rPr>
                <w:rFonts w:eastAsiaTheme="minorEastAsia" w:hint="cs"/>
                <w:sz w:val="22"/>
                <w:rtl/>
                <w:lang w:eastAsia="zh-CN"/>
              </w:rPr>
              <w:t>تقدم</w:t>
            </w:r>
            <w:r w:rsidRPr="00E2640A">
              <w:rPr>
                <w:rFonts w:eastAsiaTheme="minorEastAsia"/>
                <w:sz w:val="22"/>
                <w:rtl/>
                <w:lang w:eastAsia="zh-CN"/>
              </w:rPr>
              <w:t xml:space="preserve"> هذه الوثيقة </w:t>
            </w:r>
            <w:r w:rsidRPr="00E2640A">
              <w:rPr>
                <w:rFonts w:eastAsiaTheme="minorEastAsia" w:hint="cs"/>
                <w:sz w:val="22"/>
                <w:rtl/>
                <w:lang w:eastAsia="zh-CN"/>
              </w:rPr>
              <w:t>مقترحات لتعديل هيكل ومحتوى</w:t>
            </w:r>
            <w:r w:rsidRPr="00E2640A">
              <w:rPr>
                <w:rFonts w:eastAsiaTheme="minorEastAsia"/>
                <w:sz w:val="22"/>
                <w:rtl/>
                <w:lang w:eastAsia="zh-CN"/>
              </w:rPr>
              <w:t xml:space="preserve"> </w:t>
            </w:r>
            <w:r w:rsidRPr="00E2640A">
              <w:rPr>
                <w:rFonts w:eastAsiaTheme="minorEastAsia" w:hint="cs"/>
                <w:sz w:val="22"/>
                <w:rtl/>
                <w:lang w:eastAsia="zh-CN"/>
              </w:rPr>
              <w:t>الخطة</w:t>
            </w:r>
            <w:r w:rsidRPr="00E2640A">
              <w:rPr>
                <w:rFonts w:eastAsiaTheme="minorEastAsia"/>
                <w:sz w:val="22"/>
                <w:rtl/>
                <w:lang w:eastAsia="zh-CN"/>
              </w:rPr>
              <w:t xml:space="preserve"> الاستراتيجية </w:t>
            </w:r>
            <w:r w:rsidRPr="00E2640A">
              <w:rPr>
                <w:rFonts w:eastAsiaTheme="minorEastAsia" w:hint="cs"/>
                <w:sz w:val="22"/>
                <w:rtl/>
                <w:lang w:eastAsia="zh-CN"/>
              </w:rPr>
              <w:t>للاتحاد</w:t>
            </w:r>
            <w:r w:rsidRPr="00E2640A">
              <w:rPr>
                <w:rFonts w:eastAsiaTheme="minorEastAsia"/>
                <w:sz w:val="22"/>
                <w:rtl/>
                <w:lang w:eastAsia="zh-CN"/>
              </w:rPr>
              <w:t xml:space="preserve"> للفترة </w:t>
            </w:r>
            <w:r w:rsidRPr="00E2640A">
              <w:rPr>
                <w:rFonts w:eastAsiaTheme="minorEastAsia"/>
                <w:sz w:val="22"/>
                <w:lang w:eastAsia="zh-CN" w:bidi="ar-SY"/>
              </w:rPr>
              <w:t>2023</w:t>
            </w:r>
            <w:r w:rsidRPr="00E2640A">
              <w:rPr>
                <w:rFonts w:eastAsiaTheme="minorEastAsia"/>
                <w:sz w:val="22"/>
                <w:lang w:eastAsia="zh-CN" w:bidi="ar-SY"/>
              </w:rPr>
              <w:noBreakHyphen/>
              <w:t>2020</w:t>
            </w:r>
            <w:r w:rsidRPr="00E2640A">
              <w:rPr>
                <w:rFonts w:eastAsiaTheme="minorEastAsia"/>
                <w:sz w:val="22"/>
                <w:rtl/>
                <w:lang w:eastAsia="zh-CN" w:bidi="ar-SY"/>
              </w:rPr>
              <w:t xml:space="preserve"> </w:t>
            </w:r>
            <w:r w:rsidRPr="00E2640A">
              <w:rPr>
                <w:rFonts w:eastAsiaTheme="minorEastAsia" w:hint="cs"/>
                <w:sz w:val="22"/>
                <w:rtl/>
                <w:lang w:eastAsia="zh-CN" w:bidi="ar-SY"/>
              </w:rPr>
              <w:t xml:space="preserve">(القرار </w:t>
            </w:r>
            <w:r w:rsidRPr="00E2640A">
              <w:rPr>
                <w:rFonts w:eastAsiaTheme="minorEastAsia"/>
                <w:sz w:val="22"/>
                <w:lang w:eastAsia="zh-CN" w:bidi="ar-SY"/>
              </w:rPr>
              <w:t>71</w:t>
            </w:r>
            <w:r w:rsidRPr="00E2640A">
              <w:rPr>
                <w:rFonts w:eastAsiaTheme="minorEastAsia" w:hint="cs"/>
                <w:sz w:val="22"/>
                <w:rtl/>
                <w:lang w:eastAsia="zh-CN"/>
              </w:rPr>
              <w:t xml:space="preserve"> (</w:t>
            </w:r>
            <w:r w:rsidR="00D50C22" w:rsidRPr="00E2640A">
              <w:rPr>
                <w:rFonts w:eastAsiaTheme="minorEastAsia" w:hint="cs"/>
                <w:sz w:val="22"/>
                <w:rtl/>
                <w:lang w:eastAsia="zh-CN"/>
              </w:rPr>
              <w:t>المراجَع</w:t>
            </w:r>
            <w:r w:rsidRPr="00E2640A">
              <w:rPr>
                <w:rFonts w:eastAsiaTheme="minorEastAsia" w:hint="cs"/>
                <w:sz w:val="22"/>
                <w:rtl/>
                <w:lang w:eastAsia="zh-CN"/>
              </w:rPr>
              <w:t xml:space="preserve"> في بوسان، </w:t>
            </w:r>
            <w:r w:rsidRPr="00E2640A">
              <w:rPr>
                <w:rFonts w:eastAsiaTheme="minorEastAsia"/>
                <w:sz w:val="22"/>
                <w:lang w:eastAsia="zh-CN"/>
              </w:rPr>
              <w:t>2014</w:t>
            </w:r>
            <w:r w:rsidRPr="00E2640A">
              <w:rPr>
                <w:rFonts w:eastAsiaTheme="minorEastAsia" w:hint="cs"/>
                <w:sz w:val="22"/>
                <w:rtl/>
                <w:lang w:eastAsia="zh-CN"/>
              </w:rPr>
              <w:t>))</w:t>
            </w:r>
            <w:r w:rsidRPr="00E2640A">
              <w:rPr>
                <w:rFonts w:eastAsiaTheme="minorEastAsia"/>
                <w:sz w:val="22"/>
                <w:rtl/>
                <w:lang w:eastAsia="zh-CN"/>
              </w:rPr>
              <w:t>.</w:t>
            </w:r>
          </w:p>
          <w:p w:rsidR="00BE2AE3" w:rsidRDefault="00BE2AE3" w:rsidP="005434DE">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Pr>
                <w:rFonts w:eastAsiaTheme="minorEastAsia"/>
                <w:b/>
                <w:bCs/>
                <w:rtl/>
                <w:lang w:eastAsia="zh-CN" w:bidi="ar-SY"/>
              </w:rPr>
              <w:t>الإجراء المطلوب</w:t>
            </w:r>
          </w:p>
          <w:p w:rsidR="00BE2AE3" w:rsidRPr="00E2640A" w:rsidRDefault="00BE2AE3" w:rsidP="005434DE">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sz w:val="22"/>
                <w:rtl/>
                <w:lang w:eastAsia="zh-CN" w:bidi="ar-SY"/>
              </w:rPr>
            </w:pPr>
            <w:r w:rsidRPr="00E2640A">
              <w:rPr>
                <w:rFonts w:eastAsiaTheme="minorEastAsia"/>
                <w:sz w:val="22"/>
                <w:rtl/>
                <w:lang w:eastAsia="zh-CN"/>
              </w:rPr>
              <w:t xml:space="preserve">يدعى </w:t>
            </w:r>
            <w:r w:rsidRPr="00E2640A">
              <w:rPr>
                <w:rFonts w:eastAsiaTheme="minorEastAsia" w:hint="cs"/>
                <w:sz w:val="22"/>
                <w:rtl/>
                <w:lang w:eastAsia="zh-CN"/>
              </w:rPr>
              <w:t xml:space="preserve">فريق العمل التابع للمجلس المعني بالخطتين الاستراتيجية والمالية إلى النظر في المقترحات أدناه لدى إعداد مشروع الخطة الاستراتيجية (مشروع مراجعة القرار </w:t>
            </w:r>
            <w:r w:rsidRPr="00E2640A">
              <w:rPr>
                <w:rFonts w:eastAsiaTheme="minorEastAsia"/>
                <w:sz w:val="22"/>
                <w:lang w:eastAsia="zh-CN"/>
              </w:rPr>
              <w:t>71</w:t>
            </w:r>
            <w:r w:rsidRPr="00E2640A">
              <w:rPr>
                <w:rFonts w:eastAsiaTheme="minorEastAsia" w:hint="cs"/>
                <w:sz w:val="22"/>
                <w:rtl/>
                <w:lang w:eastAsia="zh-CN"/>
              </w:rPr>
              <w:t xml:space="preserve"> (</w:t>
            </w:r>
            <w:r w:rsidR="00D50C22" w:rsidRPr="00E2640A">
              <w:rPr>
                <w:rFonts w:eastAsiaTheme="minorEastAsia" w:hint="cs"/>
                <w:sz w:val="22"/>
                <w:rtl/>
                <w:lang w:eastAsia="zh-CN"/>
              </w:rPr>
              <w:t>المراجَع</w:t>
            </w:r>
            <w:r w:rsidRPr="00E2640A">
              <w:rPr>
                <w:rFonts w:eastAsiaTheme="minorEastAsia" w:hint="cs"/>
                <w:sz w:val="22"/>
                <w:rtl/>
                <w:lang w:eastAsia="zh-CN"/>
              </w:rPr>
              <w:t xml:space="preserve"> في بوسان، </w:t>
            </w:r>
            <w:r w:rsidRPr="00E2640A">
              <w:rPr>
                <w:rFonts w:eastAsiaTheme="minorEastAsia"/>
                <w:sz w:val="22"/>
                <w:lang w:eastAsia="zh-CN"/>
              </w:rPr>
              <w:t>2014</w:t>
            </w:r>
            <w:r w:rsidRPr="00E2640A">
              <w:rPr>
                <w:rFonts w:eastAsiaTheme="minorEastAsia" w:hint="cs"/>
                <w:sz w:val="22"/>
                <w:rtl/>
                <w:lang w:eastAsia="zh-CN"/>
              </w:rPr>
              <w:t>))</w:t>
            </w:r>
            <w:r w:rsidRPr="00E2640A">
              <w:rPr>
                <w:rFonts w:eastAsiaTheme="minorEastAsia"/>
                <w:sz w:val="22"/>
                <w:rtl/>
                <w:lang w:eastAsia="zh-CN"/>
              </w:rPr>
              <w:t>.</w:t>
            </w:r>
          </w:p>
          <w:p w:rsidR="00BE2AE3" w:rsidRDefault="00BE2AE3" w:rsidP="005434DE">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Pr>
                <w:rFonts w:eastAsiaTheme="minorEastAsia"/>
                <w:rtl/>
                <w:lang w:eastAsia="zh-CN" w:bidi="ar-SY"/>
              </w:rPr>
              <w:t>_________</w:t>
            </w:r>
          </w:p>
          <w:p w:rsidR="00BE2AE3" w:rsidRDefault="00BE2AE3" w:rsidP="005434DE">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Pr>
                <w:rFonts w:eastAsiaTheme="minorEastAsia"/>
                <w:b/>
                <w:bCs/>
                <w:rtl/>
                <w:lang w:eastAsia="zh-CN" w:bidi="ar-SY"/>
              </w:rPr>
              <w:t>المراجع</w:t>
            </w:r>
          </w:p>
          <w:p w:rsidR="00BE2AE3" w:rsidRPr="00E2640A" w:rsidRDefault="00BE2AE3" w:rsidP="00BE2AE3">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rPr>
                <w:rFonts w:eastAsiaTheme="minorEastAsia"/>
                <w:i/>
                <w:iCs/>
                <w:sz w:val="22"/>
                <w:rtl/>
                <w:lang w:eastAsia="zh-CN"/>
              </w:rPr>
            </w:pPr>
            <w:r w:rsidRPr="00E2640A">
              <w:rPr>
                <w:rFonts w:eastAsiaTheme="minorEastAsia" w:hint="cs"/>
                <w:i/>
                <w:iCs/>
                <w:sz w:val="22"/>
                <w:rtl/>
                <w:lang w:eastAsia="zh-CN"/>
              </w:rPr>
              <w:t xml:space="preserve">الوثائق: القرار </w:t>
            </w:r>
            <w:r w:rsidRPr="00E2640A">
              <w:rPr>
                <w:rFonts w:eastAsiaTheme="minorEastAsia"/>
                <w:i/>
                <w:iCs/>
                <w:sz w:val="22"/>
                <w:lang w:eastAsia="zh-CN"/>
              </w:rPr>
              <w:t>71</w:t>
            </w:r>
            <w:r w:rsidRPr="00E2640A">
              <w:rPr>
                <w:rFonts w:eastAsiaTheme="minorEastAsia" w:hint="cs"/>
                <w:i/>
                <w:iCs/>
                <w:sz w:val="22"/>
                <w:rtl/>
                <w:lang w:eastAsia="zh-CN"/>
              </w:rPr>
              <w:t xml:space="preserve"> (</w:t>
            </w:r>
            <w:r w:rsidR="00D50C22" w:rsidRPr="00E2640A">
              <w:rPr>
                <w:rFonts w:eastAsiaTheme="minorEastAsia" w:hint="cs"/>
                <w:i/>
                <w:iCs/>
                <w:sz w:val="22"/>
                <w:rtl/>
                <w:lang w:eastAsia="zh-CN"/>
              </w:rPr>
              <w:t>المراجَع</w:t>
            </w:r>
            <w:r w:rsidRPr="00E2640A">
              <w:rPr>
                <w:rFonts w:eastAsiaTheme="minorEastAsia" w:hint="cs"/>
                <w:i/>
                <w:iCs/>
                <w:sz w:val="22"/>
                <w:rtl/>
                <w:lang w:eastAsia="zh-CN"/>
              </w:rPr>
              <w:t xml:space="preserve"> في بوسان، </w:t>
            </w:r>
            <w:r w:rsidRPr="00E2640A">
              <w:rPr>
                <w:rFonts w:eastAsiaTheme="minorEastAsia"/>
                <w:i/>
                <w:iCs/>
                <w:sz w:val="22"/>
                <w:lang w:eastAsia="zh-CN"/>
              </w:rPr>
              <w:t>2014</w:t>
            </w:r>
            <w:r w:rsidRPr="00E2640A">
              <w:rPr>
                <w:rFonts w:eastAsiaTheme="minorEastAsia" w:hint="cs"/>
                <w:i/>
                <w:iCs/>
                <w:sz w:val="22"/>
                <w:rtl/>
                <w:lang w:eastAsia="zh-CN"/>
              </w:rPr>
              <w:t xml:space="preserve">)؛ </w:t>
            </w:r>
            <w:r w:rsidRPr="00E2640A">
              <w:rPr>
                <w:rFonts w:eastAsiaTheme="minorEastAsia"/>
                <w:i/>
                <w:iCs/>
                <w:sz w:val="22"/>
                <w:lang w:eastAsia="zh-CN"/>
              </w:rPr>
              <w:t>C17/123</w:t>
            </w:r>
            <w:r w:rsidRPr="00E2640A">
              <w:rPr>
                <w:rFonts w:eastAsiaTheme="minorEastAsia" w:hint="cs"/>
                <w:i/>
                <w:iCs/>
                <w:sz w:val="22"/>
                <w:rtl/>
                <w:lang w:eastAsia="zh-CN"/>
              </w:rPr>
              <w:t xml:space="preserve">؛ القرار </w:t>
            </w:r>
            <w:r w:rsidRPr="00E2640A">
              <w:rPr>
                <w:rFonts w:eastAsiaTheme="minorEastAsia"/>
                <w:i/>
                <w:iCs/>
                <w:sz w:val="22"/>
                <w:lang w:eastAsia="zh-CN"/>
              </w:rPr>
              <w:t>1384</w:t>
            </w:r>
            <w:r w:rsidRPr="00E2640A">
              <w:rPr>
                <w:rFonts w:eastAsiaTheme="minorEastAsia" w:hint="cs"/>
                <w:i/>
                <w:iCs/>
                <w:sz w:val="22"/>
                <w:rtl/>
                <w:lang w:eastAsia="zh-CN"/>
              </w:rPr>
              <w:t xml:space="preserve"> الصادر عن المجلس في دورته لعام </w:t>
            </w:r>
            <w:r w:rsidRPr="00E2640A">
              <w:rPr>
                <w:rFonts w:eastAsiaTheme="minorEastAsia"/>
                <w:i/>
                <w:iCs/>
                <w:sz w:val="22"/>
                <w:lang w:eastAsia="zh-CN"/>
              </w:rPr>
              <w:t>2017</w:t>
            </w:r>
            <w:r w:rsidRPr="00E2640A">
              <w:rPr>
                <w:rFonts w:eastAsiaTheme="minorEastAsia" w:hint="cs"/>
                <w:i/>
                <w:iCs/>
                <w:sz w:val="22"/>
                <w:rtl/>
                <w:lang w:eastAsia="zh-CN"/>
              </w:rPr>
              <w:t xml:space="preserve">؛ القرار </w:t>
            </w:r>
            <w:r w:rsidRPr="00E2640A">
              <w:rPr>
                <w:rFonts w:eastAsiaTheme="minorEastAsia"/>
                <w:i/>
                <w:iCs/>
                <w:sz w:val="22"/>
                <w:lang w:eastAsia="zh-CN"/>
              </w:rPr>
              <w:t>151</w:t>
            </w:r>
            <w:r w:rsidRPr="00E2640A">
              <w:rPr>
                <w:rFonts w:eastAsiaTheme="minorEastAsia" w:hint="cs"/>
                <w:i/>
                <w:iCs/>
                <w:sz w:val="22"/>
                <w:rtl/>
                <w:lang w:eastAsia="zh-CN"/>
              </w:rPr>
              <w:t xml:space="preserve"> (</w:t>
            </w:r>
            <w:r w:rsidR="00D50C22" w:rsidRPr="00E2640A">
              <w:rPr>
                <w:rFonts w:eastAsiaTheme="minorEastAsia" w:hint="cs"/>
                <w:i/>
                <w:iCs/>
                <w:sz w:val="22"/>
                <w:rtl/>
                <w:lang w:eastAsia="zh-CN"/>
              </w:rPr>
              <w:t>المراجَع</w:t>
            </w:r>
            <w:r w:rsidRPr="00E2640A">
              <w:rPr>
                <w:rFonts w:eastAsiaTheme="minorEastAsia" w:hint="cs"/>
                <w:i/>
                <w:iCs/>
                <w:sz w:val="22"/>
                <w:rtl/>
                <w:lang w:eastAsia="zh-CN"/>
              </w:rPr>
              <w:t xml:space="preserve"> في بوسان، </w:t>
            </w:r>
            <w:r w:rsidRPr="00E2640A">
              <w:rPr>
                <w:rFonts w:eastAsiaTheme="minorEastAsia"/>
                <w:i/>
                <w:iCs/>
                <w:sz w:val="22"/>
                <w:lang w:eastAsia="zh-CN"/>
              </w:rPr>
              <w:t>2014</w:t>
            </w:r>
            <w:r w:rsidRPr="00E2640A">
              <w:rPr>
                <w:rFonts w:eastAsiaTheme="minorEastAsia" w:hint="cs"/>
                <w:i/>
                <w:iCs/>
                <w:sz w:val="22"/>
                <w:rtl/>
                <w:lang w:eastAsia="zh-CN"/>
              </w:rPr>
              <w:t xml:space="preserve">)؛ القرار </w:t>
            </w:r>
            <w:r w:rsidRPr="00E2640A">
              <w:rPr>
                <w:rFonts w:eastAsiaTheme="minorEastAsia"/>
                <w:i/>
                <w:iCs/>
                <w:sz w:val="22"/>
                <w:lang w:eastAsia="zh-CN"/>
              </w:rPr>
              <w:t>72</w:t>
            </w:r>
            <w:r w:rsidRPr="00E2640A">
              <w:rPr>
                <w:rFonts w:eastAsiaTheme="minorEastAsia" w:hint="cs"/>
                <w:i/>
                <w:iCs/>
                <w:sz w:val="22"/>
                <w:rtl/>
                <w:lang w:eastAsia="zh-CN"/>
              </w:rPr>
              <w:t xml:space="preserve"> (</w:t>
            </w:r>
            <w:r w:rsidR="00D50C22" w:rsidRPr="00E2640A">
              <w:rPr>
                <w:rFonts w:eastAsiaTheme="minorEastAsia" w:hint="cs"/>
                <w:i/>
                <w:iCs/>
                <w:sz w:val="22"/>
                <w:rtl/>
                <w:lang w:eastAsia="zh-CN"/>
              </w:rPr>
              <w:t>المراجَع</w:t>
            </w:r>
            <w:r w:rsidRPr="00E2640A">
              <w:rPr>
                <w:rFonts w:eastAsiaTheme="minorEastAsia" w:hint="cs"/>
                <w:i/>
                <w:iCs/>
                <w:sz w:val="22"/>
                <w:rtl/>
                <w:lang w:eastAsia="zh-CN"/>
              </w:rPr>
              <w:t xml:space="preserve"> في بوسان، </w:t>
            </w:r>
            <w:r w:rsidRPr="00E2640A">
              <w:rPr>
                <w:rFonts w:eastAsiaTheme="minorEastAsia"/>
                <w:i/>
                <w:iCs/>
                <w:sz w:val="22"/>
                <w:lang w:eastAsia="zh-CN"/>
              </w:rPr>
              <w:t>2014</w:t>
            </w:r>
            <w:r w:rsidR="00D50C22" w:rsidRPr="00E2640A">
              <w:rPr>
                <w:rFonts w:eastAsiaTheme="minorEastAsia" w:hint="cs"/>
                <w:i/>
                <w:iCs/>
                <w:sz w:val="22"/>
                <w:rtl/>
                <w:lang w:eastAsia="zh-CN"/>
              </w:rPr>
              <w:t>)؛ قرار</w:t>
            </w:r>
            <w:r w:rsidR="00D50C22" w:rsidRPr="00E2640A">
              <w:rPr>
                <w:rFonts w:eastAsiaTheme="minorEastAsia" w:hint="eastAsia"/>
                <w:i/>
                <w:iCs/>
                <w:sz w:val="22"/>
                <w:rtl/>
                <w:lang w:eastAsia="zh-CN"/>
              </w:rPr>
              <w:t> </w:t>
            </w:r>
            <w:r w:rsidRPr="00E2640A">
              <w:rPr>
                <w:rFonts w:eastAsiaTheme="minorEastAsia" w:hint="cs"/>
                <w:i/>
                <w:iCs/>
                <w:sz w:val="22"/>
                <w:rtl/>
                <w:lang w:eastAsia="zh-CN"/>
              </w:rPr>
              <w:t xml:space="preserve">الجمعية العامة للأمم المتحدة "خطة التنمية المستدامة لعام </w:t>
            </w:r>
            <w:r w:rsidRPr="00E2640A">
              <w:rPr>
                <w:rFonts w:eastAsiaTheme="minorEastAsia"/>
                <w:i/>
                <w:iCs/>
                <w:sz w:val="22"/>
                <w:lang w:eastAsia="zh-CN"/>
              </w:rPr>
              <w:t>2030</w:t>
            </w:r>
            <w:r w:rsidRPr="00E2640A">
              <w:rPr>
                <w:rFonts w:eastAsiaTheme="minorEastAsia" w:hint="cs"/>
                <w:i/>
                <w:iCs/>
                <w:sz w:val="22"/>
                <w:rtl/>
                <w:lang w:eastAsia="zh-CN"/>
              </w:rPr>
              <w:t xml:space="preserve">" </w:t>
            </w:r>
            <w:r w:rsidRPr="00E2640A">
              <w:rPr>
                <w:i/>
                <w:iCs/>
                <w:sz w:val="22"/>
              </w:rPr>
              <w:t>(</w:t>
            </w:r>
            <w:hyperlink r:id="rId11" w:history="1">
              <w:proofErr w:type="gramStart"/>
              <w:r w:rsidRPr="00E2640A">
                <w:rPr>
                  <w:rStyle w:val="Hyperlink"/>
                  <w:i/>
                  <w:iCs/>
                </w:rPr>
                <w:t>https://documents-dds-ny.un.org/doc/UNDOC/GEN/N15/291/89/PDF/N1529189.pdf</w:t>
              </w:r>
            </w:hyperlink>
            <w:r w:rsidRPr="00E2640A">
              <w:rPr>
                <w:i/>
                <w:iCs/>
                <w:sz w:val="22"/>
              </w:rPr>
              <w:t xml:space="preserve"> )</w:t>
            </w:r>
            <w:proofErr w:type="gramEnd"/>
          </w:p>
        </w:tc>
      </w:tr>
    </w:tbl>
    <w:p w:rsidR="00BE2AE3" w:rsidRPr="00BE2AE3" w:rsidRDefault="00BE2AE3" w:rsidP="00BE2AE3"/>
    <w:p w:rsidR="00CD0605" w:rsidRPr="00CD0605" w:rsidRDefault="00CD0605" w:rsidP="00BE2AE3">
      <w:pPr>
        <w:pStyle w:val="Heading1"/>
        <w:pageBreakBefore/>
        <w:rPr>
          <w:rtl/>
        </w:rPr>
      </w:pPr>
      <w:r w:rsidRPr="00CD0605">
        <w:lastRenderedPageBreak/>
        <w:t>1</w:t>
      </w:r>
      <w:r w:rsidRPr="00CD0605">
        <w:rPr>
          <w:rtl/>
        </w:rPr>
        <w:tab/>
      </w:r>
      <w:r w:rsidRPr="00CD0605">
        <w:rPr>
          <w:rFonts w:hint="cs"/>
          <w:rtl/>
        </w:rPr>
        <w:t>مقدمة</w:t>
      </w:r>
    </w:p>
    <w:p w:rsidR="00CD0605" w:rsidRPr="00CD0605" w:rsidRDefault="00CD0605" w:rsidP="00CD0605">
      <w:pPr>
        <w:tabs>
          <w:tab w:val="left" w:pos="1134"/>
        </w:tabs>
        <w:rPr>
          <w:rtl/>
          <w:lang w:bidi="ar-EG"/>
        </w:rPr>
      </w:pPr>
      <w:r w:rsidRPr="00CD0605">
        <w:rPr>
          <w:rFonts w:hint="cs"/>
          <w:rtl/>
          <w:lang w:bidi="ar-EG"/>
        </w:rPr>
        <w:t xml:space="preserve">اعتُمد الهيكل العام للخطة الاستراتيجية للاتحاد للفترة </w:t>
      </w:r>
      <w:r w:rsidRPr="00CD0605">
        <w:rPr>
          <w:lang w:bidi="ar-EG"/>
        </w:rPr>
        <w:t>2023-2020</w:t>
      </w:r>
      <w:r w:rsidRPr="00CD0605">
        <w:rPr>
          <w:rFonts w:hint="cs"/>
          <w:rtl/>
          <w:lang w:bidi="ar-EG"/>
        </w:rPr>
        <w:t xml:space="preserve"> وفقاً لوثيقة المجلس </w:t>
      </w:r>
      <w:r w:rsidRPr="00CD0605">
        <w:rPr>
          <w:lang w:bidi="ar-EG"/>
        </w:rPr>
        <w:t>C17/123</w:t>
      </w:r>
      <w:r w:rsidRPr="00CD0605">
        <w:rPr>
          <w:rFonts w:hint="cs"/>
          <w:rtl/>
          <w:lang w:bidi="ar-EG"/>
        </w:rPr>
        <w:t xml:space="preserve"> (الفقرة </w:t>
      </w:r>
      <w:r w:rsidRPr="00CD0605">
        <w:rPr>
          <w:lang w:bidi="ar-EG"/>
        </w:rPr>
        <w:t>2.6</w:t>
      </w:r>
      <w:r w:rsidRPr="00CD0605">
        <w:rPr>
          <w:rFonts w:hint="cs"/>
          <w:rtl/>
          <w:lang w:bidi="ar-EG"/>
        </w:rPr>
        <w:t xml:space="preserve">)، وتقرر تسمية الخطة بالملحق </w:t>
      </w:r>
      <w:r w:rsidRPr="00CD0605">
        <w:rPr>
          <w:lang w:bidi="ar-EG"/>
        </w:rPr>
        <w:t>1</w:t>
      </w:r>
      <w:r w:rsidRPr="00CD0605">
        <w:rPr>
          <w:rFonts w:hint="cs"/>
          <w:rtl/>
          <w:lang w:bidi="ar-EG"/>
        </w:rPr>
        <w:t xml:space="preserve"> بالقرار </w:t>
      </w:r>
      <w:r w:rsidRPr="00CD0605">
        <w:rPr>
          <w:lang w:bidi="ar-EG"/>
        </w:rPr>
        <w:t>71</w:t>
      </w:r>
      <w:r w:rsidRPr="00CD0605">
        <w:rPr>
          <w:rFonts w:hint="cs"/>
          <w:rtl/>
          <w:lang w:bidi="ar-EG"/>
        </w:rPr>
        <w:t xml:space="preserve">؛ على أن يتضمن الملحق </w:t>
      </w:r>
      <w:r w:rsidRPr="00CD0605">
        <w:rPr>
          <w:lang w:bidi="ar-EG"/>
        </w:rPr>
        <w:t>2</w:t>
      </w:r>
      <w:r w:rsidRPr="00CD0605">
        <w:rPr>
          <w:rFonts w:hint="cs"/>
          <w:rtl/>
          <w:lang w:bidi="ar-EG"/>
        </w:rPr>
        <w:t xml:space="preserve"> بالقرار </w:t>
      </w:r>
      <w:r w:rsidRPr="00CD0605">
        <w:rPr>
          <w:lang w:bidi="ar-EG"/>
        </w:rPr>
        <w:t>71</w:t>
      </w:r>
      <w:r w:rsidRPr="00CD0605">
        <w:rPr>
          <w:rFonts w:hint="cs"/>
          <w:rtl/>
          <w:lang w:bidi="ar-EG"/>
        </w:rPr>
        <w:t xml:space="preserve"> (</w:t>
      </w:r>
      <w:r w:rsidR="00D50C22">
        <w:rPr>
          <w:rFonts w:hint="cs"/>
          <w:rtl/>
          <w:lang w:bidi="ar-EG"/>
        </w:rPr>
        <w:t>المراجَع</w:t>
      </w:r>
      <w:r w:rsidRPr="00CD0605">
        <w:rPr>
          <w:rFonts w:hint="cs"/>
          <w:rtl/>
          <w:lang w:bidi="ar-EG"/>
        </w:rPr>
        <w:t xml:space="preserve"> في بوسان، </w:t>
      </w:r>
      <w:r w:rsidRPr="00CD0605">
        <w:rPr>
          <w:lang w:bidi="ar-EG"/>
        </w:rPr>
        <w:t>2014</w:t>
      </w:r>
      <w:r w:rsidRPr="00CD0605">
        <w:rPr>
          <w:rFonts w:hint="cs"/>
          <w:rtl/>
          <w:lang w:bidi="ar-EG"/>
        </w:rPr>
        <w:t xml:space="preserve">) تحليل الوضع العام مع مراعاة الاتجاهات المتوقعة في مجال الاتصالات/تكنولوجيا المعلومات والاتصالات فضلاً عن أحكام خطة التنمية المستدامة لعام </w:t>
      </w:r>
      <w:r w:rsidRPr="00CD0605">
        <w:rPr>
          <w:lang w:bidi="ar-EG"/>
        </w:rPr>
        <w:t>2030</w:t>
      </w:r>
      <w:r w:rsidRPr="00CD0605">
        <w:rPr>
          <w:rFonts w:hint="cs"/>
          <w:rtl/>
          <w:lang w:bidi="ar-EG"/>
        </w:rPr>
        <w:t xml:space="preserve"> المتصلة بالعناصر الاقتصادية والاجتماعية والإيكولوجية.</w:t>
      </w:r>
    </w:p>
    <w:p w:rsidR="00CD0605" w:rsidRPr="00CD0605" w:rsidRDefault="00922410" w:rsidP="00CD0605">
      <w:pPr>
        <w:tabs>
          <w:tab w:val="left" w:pos="1134"/>
        </w:tabs>
        <w:rPr>
          <w:rtl/>
          <w:lang w:bidi="ar-EG"/>
        </w:rPr>
      </w:pPr>
      <w:r>
        <w:rPr>
          <w:rFonts w:hint="cs"/>
          <w:rtl/>
          <w:lang w:bidi="ar-EG"/>
        </w:rPr>
        <w:t>وقد أدى تحليل الخطط</w:t>
      </w:r>
      <w:r w:rsidR="00CD0605" w:rsidRPr="00CD0605">
        <w:rPr>
          <w:rFonts w:hint="cs"/>
          <w:rtl/>
          <w:lang w:bidi="ar-EG"/>
        </w:rPr>
        <w:t xml:space="preserve"> الاستراتيجية للاتحاد المعتمدة في مؤتمرات المندوبين المفوضين للأعوام </w:t>
      </w:r>
      <w:r w:rsidR="00CD0605" w:rsidRPr="00CD0605">
        <w:rPr>
          <w:lang w:bidi="ar-EG"/>
        </w:rPr>
        <w:t>2006</w:t>
      </w:r>
      <w:r w:rsidR="00CD0605" w:rsidRPr="00CD0605">
        <w:rPr>
          <w:rFonts w:hint="cs"/>
          <w:rtl/>
          <w:lang w:bidi="ar-EG"/>
        </w:rPr>
        <w:t xml:space="preserve"> و</w:t>
      </w:r>
      <w:r w:rsidR="00CD0605" w:rsidRPr="00CD0605">
        <w:rPr>
          <w:lang w:bidi="ar-EG"/>
        </w:rPr>
        <w:t>2010</w:t>
      </w:r>
      <w:r w:rsidR="00CD0605" w:rsidRPr="00CD0605">
        <w:rPr>
          <w:rFonts w:hint="cs"/>
          <w:rtl/>
          <w:lang w:bidi="ar-EG"/>
        </w:rPr>
        <w:t xml:space="preserve"> و</w:t>
      </w:r>
      <w:r w:rsidR="00CD0605" w:rsidRPr="00CD0605">
        <w:rPr>
          <w:lang w:bidi="ar-EG"/>
        </w:rPr>
        <w:t>2014</w:t>
      </w:r>
      <w:r w:rsidR="00CD0605" w:rsidRPr="00CD0605">
        <w:rPr>
          <w:rFonts w:hint="cs"/>
          <w:rtl/>
          <w:lang w:bidi="ar-EG"/>
        </w:rPr>
        <w:t xml:space="preserve"> إلى الاستنتاج الذي يفيد بإمكانية تحسين هيكل الخطة الاستراتيجية ومحتواها مع مراعاة التجربة السابقة، من أجل وضع خطة جديدة أكثر إيجازاً وشمولاً وتمكين مقارنة مؤشرات الخطة الاستراتيجية للاتحاد المتعلقة بالفترات المختلفة.</w:t>
      </w:r>
    </w:p>
    <w:p w:rsidR="00CD0605" w:rsidRPr="00CD0605" w:rsidRDefault="00CD0605" w:rsidP="00D50C22">
      <w:pPr>
        <w:tabs>
          <w:tab w:val="left" w:pos="1134"/>
        </w:tabs>
        <w:rPr>
          <w:rtl/>
          <w:lang w:bidi="ar-EG"/>
        </w:rPr>
      </w:pPr>
      <w:r w:rsidRPr="00CD0605">
        <w:rPr>
          <w:rFonts w:hint="cs"/>
          <w:rtl/>
          <w:lang w:bidi="ar-EG"/>
        </w:rPr>
        <w:t>ومن الضروري تقليل كمية المعلومات ذات الطابع العام. فعلى سبيل المثال، تُ</w:t>
      </w:r>
      <w:r w:rsidR="00922410">
        <w:rPr>
          <w:rFonts w:hint="cs"/>
          <w:rtl/>
          <w:lang w:bidi="ar-EG"/>
        </w:rPr>
        <w:t>كرر المقدمة (</w:t>
      </w:r>
      <w:r w:rsidRPr="00CD0605">
        <w:rPr>
          <w:rFonts w:hint="cs"/>
          <w:rtl/>
          <w:lang w:bidi="ar-EG"/>
        </w:rPr>
        <w:t xml:space="preserve">القسم </w:t>
      </w:r>
      <w:r w:rsidRPr="00CD0605">
        <w:rPr>
          <w:lang w:bidi="ar-EG"/>
        </w:rPr>
        <w:t>1</w:t>
      </w:r>
      <w:r w:rsidRPr="00CD0605">
        <w:rPr>
          <w:rFonts w:hint="cs"/>
          <w:rtl/>
          <w:lang w:bidi="ar-EG"/>
        </w:rPr>
        <w:t xml:space="preserve">) في الملحق </w:t>
      </w:r>
      <w:r w:rsidRPr="00CD0605">
        <w:rPr>
          <w:lang w:bidi="ar-EG"/>
        </w:rPr>
        <w:t>1</w:t>
      </w:r>
      <w:r w:rsidRPr="00CD0605">
        <w:rPr>
          <w:rFonts w:hint="cs"/>
          <w:rtl/>
          <w:lang w:bidi="ar-EG"/>
        </w:rPr>
        <w:t xml:space="preserve"> بالقرار </w:t>
      </w:r>
      <w:r w:rsidRPr="00CD0605">
        <w:rPr>
          <w:lang w:bidi="ar-EG"/>
        </w:rPr>
        <w:t>71</w:t>
      </w:r>
      <w:r w:rsidRPr="00CD0605">
        <w:rPr>
          <w:rFonts w:hint="cs"/>
          <w:rtl/>
          <w:lang w:bidi="ar-EG"/>
        </w:rPr>
        <w:t xml:space="preserve"> (</w:t>
      </w:r>
      <w:r w:rsidR="00D50C22">
        <w:rPr>
          <w:rFonts w:hint="cs"/>
          <w:rtl/>
          <w:lang w:bidi="ar-EG"/>
        </w:rPr>
        <w:t>المراجَع</w:t>
      </w:r>
      <w:r w:rsidRPr="00CD0605">
        <w:rPr>
          <w:rFonts w:hint="cs"/>
          <w:rtl/>
          <w:lang w:bidi="ar-EG"/>
        </w:rPr>
        <w:t xml:space="preserve"> في بوسان، </w:t>
      </w:r>
      <w:r w:rsidRPr="00CD0605">
        <w:rPr>
          <w:lang w:bidi="ar-EG"/>
        </w:rPr>
        <w:t>2014</w:t>
      </w:r>
      <w:r w:rsidRPr="00CD0605">
        <w:rPr>
          <w:rFonts w:hint="cs"/>
          <w:rtl/>
          <w:lang w:bidi="ar-EG"/>
        </w:rPr>
        <w:t xml:space="preserve">) المعلومات الواردة في دستور الاتحاد وفي اتفاقيته أيضاً، ولا تضيف أي شيء جديد </w:t>
      </w:r>
      <w:r w:rsidR="00922410">
        <w:rPr>
          <w:rFonts w:hint="cs"/>
          <w:rtl/>
          <w:lang w:bidi="ar-EG"/>
        </w:rPr>
        <w:t>إلى نص ا</w:t>
      </w:r>
      <w:r w:rsidRPr="00CD0605">
        <w:rPr>
          <w:rFonts w:hint="cs"/>
          <w:rtl/>
          <w:lang w:bidi="ar-EG"/>
        </w:rPr>
        <w:t>لغايات</w:t>
      </w:r>
      <w:r w:rsidR="00922410">
        <w:rPr>
          <w:rFonts w:hint="cs"/>
          <w:rtl/>
          <w:lang w:bidi="ar-EG"/>
        </w:rPr>
        <w:t xml:space="preserve"> والأهداف في</w:t>
      </w:r>
      <w:r w:rsidRPr="00CD0605">
        <w:rPr>
          <w:rFonts w:hint="cs"/>
          <w:rtl/>
          <w:lang w:bidi="ar-EG"/>
        </w:rPr>
        <w:t xml:space="preserve"> مشروع الخطة الاستراتيجية. </w:t>
      </w:r>
      <w:r w:rsidR="00D50C22">
        <w:rPr>
          <w:rFonts w:hint="cs"/>
          <w:rtl/>
          <w:lang w:bidi="ar-EG"/>
        </w:rPr>
        <w:t>ويوجد الكثير من</w:t>
      </w:r>
      <w:r w:rsidRPr="00CD0605">
        <w:rPr>
          <w:rFonts w:hint="cs"/>
          <w:rtl/>
          <w:lang w:bidi="ar-EG"/>
        </w:rPr>
        <w:t xml:space="preserve"> هذه الأمثلة.</w:t>
      </w:r>
    </w:p>
    <w:p w:rsidR="00CD0605" w:rsidRPr="00CD0605" w:rsidRDefault="00CD0605" w:rsidP="00CD0605">
      <w:pPr>
        <w:tabs>
          <w:tab w:val="left" w:pos="1134"/>
        </w:tabs>
        <w:rPr>
          <w:b/>
          <w:bCs/>
          <w:rtl/>
          <w:lang w:bidi="ar-EG"/>
        </w:rPr>
      </w:pPr>
      <w:proofErr w:type="gramStart"/>
      <w:r w:rsidRPr="00CD0605">
        <w:rPr>
          <w:b/>
          <w:bCs/>
          <w:lang w:bidi="ar-EG"/>
        </w:rPr>
        <w:t>2</w:t>
      </w:r>
      <w:proofErr w:type="gramEnd"/>
      <w:r w:rsidRPr="00CD0605">
        <w:rPr>
          <w:b/>
          <w:bCs/>
          <w:rtl/>
          <w:lang w:bidi="ar-EG"/>
        </w:rPr>
        <w:tab/>
      </w:r>
      <w:r w:rsidRPr="00CD0605">
        <w:rPr>
          <w:rFonts w:hint="cs"/>
          <w:b/>
          <w:bCs/>
          <w:rtl/>
          <w:lang w:bidi="ar-EG"/>
        </w:rPr>
        <w:t>المقترحات</w:t>
      </w:r>
    </w:p>
    <w:p w:rsidR="00CD0605" w:rsidRPr="00CD0605" w:rsidRDefault="00D50C22" w:rsidP="00CD0605">
      <w:pPr>
        <w:tabs>
          <w:tab w:val="left" w:pos="1134"/>
        </w:tabs>
        <w:rPr>
          <w:rtl/>
          <w:lang w:bidi="ar-EG"/>
        </w:rPr>
      </w:pPr>
      <w:r>
        <w:rPr>
          <w:rFonts w:hint="cs"/>
          <w:rtl/>
          <w:lang w:bidi="ar-EG"/>
        </w:rPr>
        <w:t>وبناءً على الأسباب</w:t>
      </w:r>
      <w:r w:rsidR="00CD0605" w:rsidRPr="00CD0605">
        <w:rPr>
          <w:rFonts w:hint="cs"/>
          <w:rtl/>
          <w:lang w:bidi="ar-EG"/>
        </w:rPr>
        <w:t xml:space="preserve"> المذكورة أعلاه، يُقترح ما يلي:</w:t>
      </w:r>
    </w:p>
    <w:p w:rsidR="00CD0605" w:rsidRPr="00CD0605" w:rsidRDefault="00CD0605" w:rsidP="00D50C22">
      <w:pPr>
        <w:pStyle w:val="enumlev1"/>
        <w:rPr>
          <w:rtl/>
          <w:lang w:bidi="ar-EG"/>
        </w:rPr>
      </w:pPr>
      <w:proofErr w:type="gramStart"/>
      <w:r w:rsidRPr="00CD0605">
        <w:rPr>
          <w:lang w:bidi="ar-EG"/>
        </w:rPr>
        <w:t>1</w:t>
      </w:r>
      <w:proofErr w:type="gramEnd"/>
      <w:r w:rsidRPr="00CD0605">
        <w:rPr>
          <w:rtl/>
          <w:lang w:bidi="ar-EG"/>
        </w:rPr>
        <w:tab/>
      </w:r>
      <w:r w:rsidRPr="00CD0605">
        <w:rPr>
          <w:rFonts w:hint="cs"/>
          <w:rtl/>
          <w:lang w:bidi="ar-EG"/>
        </w:rPr>
        <w:t xml:space="preserve">الحد من المعلومات الأساسية وغيرها من المعلومات </w:t>
      </w:r>
      <w:r w:rsidR="00D50C22">
        <w:rPr>
          <w:rFonts w:hint="cs"/>
          <w:rtl/>
          <w:lang w:bidi="ar-EG"/>
        </w:rPr>
        <w:t xml:space="preserve">في </w:t>
      </w:r>
      <w:r w:rsidRPr="00CD0605">
        <w:rPr>
          <w:rFonts w:hint="cs"/>
          <w:rtl/>
          <w:lang w:bidi="ar-EG"/>
        </w:rPr>
        <w:t xml:space="preserve">الخطة الاستراتيجية، </w:t>
      </w:r>
      <w:r w:rsidR="00D50C22">
        <w:rPr>
          <w:rFonts w:hint="cs"/>
          <w:rtl/>
          <w:lang w:bidi="ar-EG"/>
        </w:rPr>
        <w:t>وخصوص</w:t>
      </w:r>
      <w:r w:rsidRPr="00CD0605">
        <w:rPr>
          <w:rFonts w:hint="cs"/>
          <w:rtl/>
          <w:lang w:bidi="ar-EG"/>
        </w:rPr>
        <w:t xml:space="preserve">اً المعلومات الوصفية، وذلك من خلال تجنب </w:t>
      </w:r>
      <w:r w:rsidR="00D50C22">
        <w:rPr>
          <w:rFonts w:hint="cs"/>
          <w:rtl/>
          <w:lang w:bidi="ar-EG"/>
        </w:rPr>
        <w:t>تكرار</w:t>
      </w:r>
      <w:r w:rsidRPr="00CD0605">
        <w:rPr>
          <w:rFonts w:hint="cs"/>
          <w:rtl/>
          <w:lang w:bidi="ar-EG"/>
        </w:rPr>
        <w:t xml:space="preserve"> النصوص الأساسية للاتحاد (الدستور والاتفاقية واللوائح الإدارية)</w:t>
      </w:r>
      <w:r w:rsidR="00D50C22" w:rsidRPr="00CD0605">
        <w:rPr>
          <w:rFonts w:hint="cs"/>
          <w:rtl/>
          <w:lang w:bidi="ar-EG"/>
        </w:rPr>
        <w:t xml:space="preserve"> </w:t>
      </w:r>
      <w:r w:rsidR="00D50C22">
        <w:rPr>
          <w:rFonts w:hint="cs"/>
          <w:rtl/>
          <w:lang w:bidi="ar-EG"/>
        </w:rPr>
        <w:t xml:space="preserve">بذكرها </w:t>
      </w:r>
      <w:r w:rsidR="00D50C22" w:rsidRPr="00CD0605">
        <w:rPr>
          <w:rFonts w:hint="cs"/>
          <w:rtl/>
          <w:lang w:bidi="ar-EG"/>
        </w:rPr>
        <w:t xml:space="preserve">في القرار </w:t>
      </w:r>
      <w:r w:rsidR="00D50C22" w:rsidRPr="00CD0605">
        <w:rPr>
          <w:lang w:bidi="ar-EG"/>
        </w:rPr>
        <w:t>71</w:t>
      </w:r>
      <w:r w:rsidR="00D50C22">
        <w:rPr>
          <w:rFonts w:hint="cs"/>
          <w:rtl/>
          <w:lang w:bidi="ar-EG"/>
        </w:rPr>
        <w:t xml:space="preserve"> (المراجَع في</w:t>
      </w:r>
      <w:r w:rsidR="00D50C22">
        <w:rPr>
          <w:rFonts w:hint="eastAsia"/>
          <w:rtl/>
          <w:lang w:bidi="ar-EG"/>
        </w:rPr>
        <w:t> </w:t>
      </w:r>
      <w:r w:rsidR="00D50C22" w:rsidRPr="00CD0605">
        <w:rPr>
          <w:rFonts w:hint="cs"/>
          <w:rtl/>
          <w:lang w:bidi="ar-EG"/>
        </w:rPr>
        <w:t xml:space="preserve">بوسان، </w:t>
      </w:r>
      <w:r w:rsidR="00D50C22" w:rsidRPr="00CD0605">
        <w:rPr>
          <w:lang w:bidi="ar-EG"/>
        </w:rPr>
        <w:t>2014</w:t>
      </w:r>
      <w:r w:rsidR="00D50C22" w:rsidRPr="00CD0605">
        <w:rPr>
          <w:rFonts w:hint="cs"/>
          <w:rtl/>
          <w:lang w:bidi="ar-EG"/>
        </w:rPr>
        <w:t>) وملحقاته</w:t>
      </w:r>
      <w:r w:rsidRPr="00CD0605">
        <w:rPr>
          <w:rFonts w:hint="cs"/>
          <w:rtl/>
          <w:lang w:bidi="ar-EG"/>
        </w:rPr>
        <w:t>.</w:t>
      </w:r>
    </w:p>
    <w:p w:rsidR="00CD0605" w:rsidRPr="00CD0605" w:rsidRDefault="00CD0605" w:rsidP="00BE2AE3">
      <w:pPr>
        <w:pStyle w:val="enumlev1"/>
        <w:rPr>
          <w:rtl/>
          <w:lang w:bidi="ar-EG"/>
        </w:rPr>
      </w:pPr>
      <w:proofErr w:type="gramStart"/>
      <w:r w:rsidRPr="00CD0605">
        <w:rPr>
          <w:lang w:bidi="ar-EG"/>
        </w:rPr>
        <w:t>2</w:t>
      </w:r>
      <w:r w:rsidRPr="00CD0605">
        <w:rPr>
          <w:rtl/>
          <w:lang w:bidi="ar-EG"/>
        </w:rPr>
        <w:tab/>
      </w:r>
      <w:r w:rsidRPr="00CD0605">
        <w:rPr>
          <w:rFonts w:hint="cs"/>
          <w:rtl/>
          <w:lang w:bidi="ar-EG"/>
        </w:rPr>
        <w:t>الالتزام</w:t>
      </w:r>
      <w:proofErr w:type="gramEnd"/>
      <w:r w:rsidRPr="00CD0605">
        <w:rPr>
          <w:rFonts w:hint="cs"/>
          <w:rtl/>
          <w:lang w:bidi="ar-EG"/>
        </w:rPr>
        <w:t xml:space="preserve"> بقرار المجلس الوارد في الوثيقة </w:t>
      </w:r>
      <w:r w:rsidRPr="00CD0605">
        <w:rPr>
          <w:lang w:bidi="ar-EG"/>
        </w:rPr>
        <w:t>C17/123</w:t>
      </w:r>
      <w:r w:rsidRPr="00CD0605">
        <w:rPr>
          <w:rFonts w:hint="cs"/>
          <w:rtl/>
          <w:lang w:bidi="ar-EG"/>
        </w:rPr>
        <w:t xml:space="preserve"> (الفقرة </w:t>
      </w:r>
      <w:r w:rsidRPr="00CD0605">
        <w:rPr>
          <w:lang w:bidi="ar-EG"/>
        </w:rPr>
        <w:t>2.6</w:t>
      </w:r>
      <w:r w:rsidRPr="00CD0605">
        <w:rPr>
          <w:rFonts w:hint="cs"/>
          <w:rtl/>
          <w:lang w:bidi="ar-EG"/>
        </w:rPr>
        <w:t>) بشأن الهيكل الجديد ال</w:t>
      </w:r>
      <w:r w:rsidR="00BE2AE3">
        <w:rPr>
          <w:rFonts w:hint="cs"/>
          <w:rtl/>
          <w:lang w:bidi="ar-EG"/>
        </w:rPr>
        <w:t>مقترح للخطة الاستراتيجية للفترة</w:t>
      </w:r>
      <w:r w:rsidR="00BE2AE3">
        <w:rPr>
          <w:rFonts w:hint="eastAsia"/>
          <w:rtl/>
          <w:lang w:bidi="ar-EG"/>
        </w:rPr>
        <w:t> </w:t>
      </w:r>
      <w:r w:rsidRPr="00CD0605">
        <w:rPr>
          <w:lang w:bidi="ar-EG"/>
        </w:rPr>
        <w:t>2023-2020</w:t>
      </w:r>
      <w:r w:rsidRPr="00CD0605">
        <w:rPr>
          <w:rFonts w:hint="cs"/>
          <w:rtl/>
          <w:lang w:bidi="ar-EG"/>
        </w:rPr>
        <w:t xml:space="preserve">، لا سيما ما يلي: "... </w:t>
      </w:r>
      <w:r w:rsidRPr="00CD0605">
        <w:rPr>
          <w:rtl/>
          <w:lang w:bidi="ar-EG"/>
        </w:rPr>
        <w:t xml:space="preserve">تسمية الخطة الملحق </w:t>
      </w:r>
      <w:r w:rsidRPr="00CD0605">
        <w:rPr>
          <w:lang w:bidi="ar-EG"/>
        </w:rPr>
        <w:t>1</w:t>
      </w:r>
      <w:r w:rsidRPr="00CD0605">
        <w:rPr>
          <w:rtl/>
          <w:lang w:bidi="ar-EG"/>
        </w:rPr>
        <w:t xml:space="preserve"> بالقرار </w:t>
      </w:r>
      <w:r w:rsidRPr="00CD0605">
        <w:rPr>
          <w:lang w:bidi="ar-EG"/>
        </w:rPr>
        <w:t>71</w:t>
      </w:r>
      <w:r w:rsidRPr="00CD0605">
        <w:rPr>
          <w:rtl/>
          <w:lang w:bidi="ar-EG"/>
        </w:rPr>
        <w:t xml:space="preserve">، أما الملحق </w:t>
      </w:r>
      <w:r w:rsidRPr="00CD0605">
        <w:rPr>
          <w:lang w:bidi="ar-EG"/>
        </w:rPr>
        <w:t>2</w:t>
      </w:r>
      <w:r w:rsidRPr="00CD0605">
        <w:rPr>
          <w:rtl/>
          <w:lang w:bidi="ar-EG"/>
        </w:rPr>
        <w:t>، فينبغي أن يتضمن تحليل المعلومات الأساسي</w:t>
      </w:r>
      <w:r w:rsidRPr="00CD0605">
        <w:rPr>
          <w:rFonts w:hint="cs"/>
          <w:rtl/>
          <w:lang w:bidi="ar-EG"/>
        </w:rPr>
        <w:t>ة".</w:t>
      </w:r>
    </w:p>
    <w:p w:rsidR="00CD0605" w:rsidRPr="00CD0605" w:rsidRDefault="00CD0605" w:rsidP="00D50C22">
      <w:pPr>
        <w:pStyle w:val="enumlev1"/>
        <w:rPr>
          <w:rtl/>
          <w:lang w:bidi="ar-EG"/>
        </w:rPr>
      </w:pPr>
      <w:proofErr w:type="gramStart"/>
      <w:r w:rsidRPr="00CD0605">
        <w:rPr>
          <w:lang w:bidi="ar-EG"/>
        </w:rPr>
        <w:t>3</w:t>
      </w:r>
      <w:r w:rsidRPr="00CD0605">
        <w:rPr>
          <w:rtl/>
          <w:lang w:bidi="ar-EG"/>
        </w:rPr>
        <w:tab/>
      </w:r>
      <w:r w:rsidRPr="00CD0605">
        <w:rPr>
          <w:rFonts w:hint="cs"/>
          <w:rtl/>
          <w:lang w:bidi="ar-EG"/>
        </w:rPr>
        <w:t>ينبغي</w:t>
      </w:r>
      <w:proofErr w:type="gramEnd"/>
      <w:r w:rsidRPr="00CD0605">
        <w:rPr>
          <w:rFonts w:hint="cs"/>
          <w:rtl/>
          <w:lang w:bidi="ar-EG"/>
        </w:rPr>
        <w:t xml:space="preserve"> أن يشمل الملحق </w:t>
      </w:r>
      <w:r w:rsidRPr="00BE2AE3">
        <w:rPr>
          <w:rStyle w:val="FootnoteReference"/>
        </w:rPr>
        <w:footnoteReference w:id="1"/>
      </w:r>
      <w:r w:rsidRPr="00CD0605">
        <w:rPr>
          <w:lang w:bidi="ar-EG"/>
        </w:rPr>
        <w:t>2</w:t>
      </w:r>
      <w:r w:rsidRPr="00CD0605">
        <w:rPr>
          <w:rFonts w:hint="cs"/>
          <w:rtl/>
          <w:lang w:bidi="ar-EG"/>
        </w:rPr>
        <w:t xml:space="preserve"> جدول محتويات الملحق. وينبغي أن يكون عنوان القسم </w:t>
      </w:r>
      <w:r w:rsidRPr="00CD0605">
        <w:rPr>
          <w:lang w:bidi="ar-EG"/>
        </w:rPr>
        <w:t>2</w:t>
      </w:r>
      <w:r w:rsidRPr="00CD0605">
        <w:rPr>
          <w:rFonts w:hint="cs"/>
          <w:rtl/>
          <w:lang w:bidi="ar-EG"/>
        </w:rPr>
        <w:t xml:space="preserve"> بهذا الملحق كالتالي: "التقييم العام لتنفيذ الخطة الاستراتيجية للاتحاد للفترة </w:t>
      </w:r>
      <w:r w:rsidRPr="00CD0605">
        <w:rPr>
          <w:lang w:bidi="ar-EG"/>
        </w:rPr>
        <w:t>2019-2016</w:t>
      </w:r>
      <w:r w:rsidRPr="00CD0605">
        <w:rPr>
          <w:rFonts w:hint="cs"/>
          <w:rtl/>
          <w:lang w:bidi="ar-EG"/>
        </w:rPr>
        <w:t>". ويوصى بتقديم استعراض موجز لتنف</w:t>
      </w:r>
      <w:r w:rsidR="00D50C22">
        <w:rPr>
          <w:rFonts w:hint="cs"/>
          <w:rtl/>
          <w:lang w:bidi="ar-EG"/>
        </w:rPr>
        <w:t>يذ الخطة الاستراتيجية في</w:t>
      </w:r>
      <w:r w:rsidR="00D50C22">
        <w:rPr>
          <w:rFonts w:hint="eastAsia"/>
          <w:rtl/>
          <w:lang w:bidi="ar-EG"/>
        </w:rPr>
        <w:t> </w:t>
      </w:r>
      <w:r w:rsidRPr="00CD0605">
        <w:rPr>
          <w:rFonts w:hint="cs"/>
          <w:rtl/>
          <w:lang w:bidi="ar-EG"/>
        </w:rPr>
        <w:t xml:space="preserve">شكل جدول حيث تُبيّن نتائج أنشطة الاتحاد المخططة والمحققة فعلاً خلال </w:t>
      </w:r>
      <w:r w:rsidR="00D50C22">
        <w:rPr>
          <w:rFonts w:hint="cs"/>
          <w:rtl/>
          <w:lang w:bidi="ar-EG"/>
        </w:rPr>
        <w:t>ال</w:t>
      </w:r>
      <w:r w:rsidRPr="00CD0605">
        <w:rPr>
          <w:rFonts w:hint="cs"/>
          <w:rtl/>
          <w:lang w:bidi="ar-EG"/>
        </w:rPr>
        <w:t xml:space="preserve">فترة </w:t>
      </w:r>
      <w:r w:rsidR="00D50C22">
        <w:rPr>
          <w:rFonts w:hint="cs"/>
          <w:rtl/>
          <w:lang w:bidi="ar-EG"/>
        </w:rPr>
        <w:t>المذكور</w:t>
      </w:r>
      <w:r w:rsidRPr="00CD0605">
        <w:rPr>
          <w:rFonts w:hint="cs"/>
          <w:rtl/>
          <w:lang w:bidi="ar-EG"/>
        </w:rPr>
        <w:t xml:space="preserve">ة مع </w:t>
      </w:r>
      <w:r w:rsidR="00D50C22">
        <w:rPr>
          <w:rFonts w:hint="cs"/>
          <w:rtl/>
          <w:lang w:bidi="ar-EG"/>
        </w:rPr>
        <w:t>بيان الصلة</w:t>
      </w:r>
      <w:r w:rsidRPr="00CD0605">
        <w:rPr>
          <w:rFonts w:hint="cs"/>
          <w:rtl/>
          <w:lang w:bidi="ar-EG"/>
        </w:rPr>
        <w:t xml:space="preserve"> بين الخطط </w:t>
      </w:r>
      <w:r w:rsidR="00D50C22">
        <w:rPr>
          <w:rFonts w:hint="cs"/>
          <w:rtl/>
          <w:lang w:bidi="ar-EG"/>
        </w:rPr>
        <w:t xml:space="preserve">المختلفة </w:t>
      </w:r>
      <w:r w:rsidRPr="00CD0605">
        <w:rPr>
          <w:rFonts w:hint="cs"/>
          <w:rtl/>
          <w:lang w:bidi="ar-EG"/>
        </w:rPr>
        <w:t xml:space="preserve">وفقاً للقرار </w:t>
      </w:r>
      <w:r w:rsidRPr="00CD0605">
        <w:rPr>
          <w:lang w:bidi="ar-EG"/>
        </w:rPr>
        <w:t>7</w:t>
      </w:r>
      <w:r w:rsidR="00D50C22">
        <w:rPr>
          <w:lang w:bidi="ar-EG"/>
        </w:rPr>
        <w:t>2</w:t>
      </w:r>
      <w:r w:rsidRPr="00CD0605">
        <w:rPr>
          <w:rFonts w:hint="cs"/>
          <w:rtl/>
          <w:lang w:bidi="ar-EG"/>
        </w:rPr>
        <w:t xml:space="preserve"> (</w:t>
      </w:r>
      <w:r w:rsidR="00D50C22">
        <w:rPr>
          <w:rFonts w:hint="cs"/>
          <w:rtl/>
          <w:lang w:bidi="ar-EG"/>
        </w:rPr>
        <w:t>المراجَع</w:t>
      </w:r>
      <w:r w:rsidRPr="00CD0605">
        <w:rPr>
          <w:rFonts w:hint="cs"/>
          <w:rtl/>
          <w:lang w:bidi="ar-EG"/>
        </w:rPr>
        <w:t xml:space="preserve"> في بوسان، </w:t>
      </w:r>
      <w:r w:rsidRPr="00CD0605">
        <w:rPr>
          <w:lang w:bidi="ar-EG"/>
        </w:rPr>
        <w:t>2014</w:t>
      </w:r>
      <w:r w:rsidRPr="00CD0605">
        <w:rPr>
          <w:rFonts w:hint="cs"/>
          <w:rtl/>
          <w:lang w:bidi="ar-EG"/>
        </w:rPr>
        <w:t>).</w:t>
      </w:r>
    </w:p>
    <w:p w:rsidR="00CD0605" w:rsidRPr="00CD0605" w:rsidRDefault="00CD0605" w:rsidP="008E0DE2">
      <w:pPr>
        <w:pStyle w:val="enumlev1"/>
        <w:rPr>
          <w:rtl/>
          <w:lang w:bidi="ar-EG"/>
        </w:rPr>
      </w:pPr>
      <w:proofErr w:type="gramStart"/>
      <w:r w:rsidRPr="00CD0605">
        <w:rPr>
          <w:lang w:bidi="ar-EG"/>
        </w:rPr>
        <w:t>4</w:t>
      </w:r>
      <w:r w:rsidRPr="00CD0605">
        <w:rPr>
          <w:rtl/>
          <w:lang w:bidi="ar-EG"/>
        </w:rPr>
        <w:tab/>
      </w:r>
      <w:r w:rsidRPr="00CD0605">
        <w:rPr>
          <w:rFonts w:hint="cs"/>
          <w:rtl/>
          <w:lang w:bidi="ar-EG"/>
        </w:rPr>
        <w:t>في القسم "</w:t>
      </w:r>
      <w:r w:rsidRPr="00CD0605">
        <w:rPr>
          <w:rtl/>
          <w:lang w:bidi="ar-EG"/>
        </w:rPr>
        <w:t>المقاصد العالمية للاتصالات/تكنولوجيا المعلومات والاتصالات</w:t>
      </w:r>
      <w:r w:rsidRPr="00CD0605">
        <w:rPr>
          <w:rFonts w:hint="cs"/>
          <w:rtl/>
          <w:lang w:bidi="ar-EG"/>
        </w:rPr>
        <w:t xml:space="preserve">" من الملحق </w:t>
      </w:r>
      <w:r w:rsidRPr="00CD0605">
        <w:rPr>
          <w:lang w:bidi="ar-EG"/>
        </w:rPr>
        <w:t>1</w:t>
      </w:r>
      <w:r w:rsidRPr="00BE2AE3">
        <w:rPr>
          <w:rStyle w:val="FootnoteReference"/>
          <w:rtl/>
        </w:rPr>
        <w:footnoteReference w:id="2"/>
      </w:r>
      <w:r w:rsidRPr="00CD0605">
        <w:rPr>
          <w:rFonts w:hint="cs"/>
          <w:rtl/>
          <w:lang w:bidi="ar-EG"/>
        </w:rPr>
        <w:t xml:space="preserve"> (وهو القسم </w:t>
      </w:r>
      <w:r w:rsidRPr="00CD0605">
        <w:rPr>
          <w:lang w:bidi="ar-EG"/>
        </w:rPr>
        <w:t>2.2.3</w:t>
      </w:r>
      <w:r w:rsidRPr="00CD0605">
        <w:rPr>
          <w:rFonts w:hint="cs"/>
          <w:rtl/>
          <w:lang w:bidi="ar-EG"/>
        </w:rPr>
        <w:t xml:space="preserve"> من الملحق </w:t>
      </w:r>
      <w:r w:rsidRPr="00CD0605">
        <w:rPr>
          <w:lang w:bidi="ar-EG"/>
        </w:rPr>
        <w:t>2</w:t>
      </w:r>
      <w:r w:rsidRPr="00CD0605">
        <w:rPr>
          <w:rFonts w:hint="cs"/>
          <w:rtl/>
          <w:lang w:bidi="ar-EG"/>
        </w:rPr>
        <w:t xml:space="preserve"> بالقرار </w:t>
      </w:r>
      <w:r w:rsidRPr="00CD0605">
        <w:rPr>
          <w:lang w:bidi="ar-EG"/>
        </w:rPr>
        <w:t>71</w:t>
      </w:r>
      <w:r w:rsidRPr="00CD0605">
        <w:rPr>
          <w:rFonts w:hint="cs"/>
          <w:rtl/>
          <w:lang w:bidi="ar-EG"/>
        </w:rPr>
        <w:t xml:space="preserve"> الحالي (</w:t>
      </w:r>
      <w:r w:rsidR="00D50C22">
        <w:rPr>
          <w:rFonts w:hint="cs"/>
          <w:rtl/>
          <w:lang w:bidi="ar-EG"/>
        </w:rPr>
        <w:t>المراجَع</w:t>
      </w:r>
      <w:r w:rsidRPr="00CD0605">
        <w:rPr>
          <w:rFonts w:hint="cs"/>
          <w:rtl/>
          <w:lang w:bidi="ar-EG"/>
        </w:rPr>
        <w:t xml:space="preserve"> في بوسان، </w:t>
      </w:r>
      <w:r w:rsidRPr="00CD0605">
        <w:rPr>
          <w:lang w:bidi="ar-EG"/>
        </w:rPr>
        <w:t>2014</w:t>
      </w:r>
      <w:r w:rsidRPr="00CD0605">
        <w:rPr>
          <w:rFonts w:hint="cs"/>
          <w:rtl/>
          <w:lang w:bidi="ar-EG"/>
        </w:rPr>
        <w:t>)، ينبغي أن تُدرج معلمات (</w:t>
      </w:r>
      <w:r w:rsidR="00D50C22">
        <w:rPr>
          <w:rFonts w:hint="cs"/>
          <w:rtl/>
          <w:lang w:bidi="ar-EG"/>
        </w:rPr>
        <w:t>مقاصد</w:t>
      </w:r>
      <w:r w:rsidRPr="00CD0605">
        <w:rPr>
          <w:rFonts w:hint="cs"/>
          <w:rtl/>
          <w:lang w:bidi="ar-EG"/>
        </w:rPr>
        <w:t>) توفر المؤشرات الواردة</w:t>
      </w:r>
      <w:r w:rsidR="00D50C22">
        <w:rPr>
          <w:rFonts w:hint="cs"/>
          <w:rtl/>
          <w:lang w:bidi="ar-EG"/>
        </w:rPr>
        <w:t xml:space="preserve"> ضمن </w:t>
      </w:r>
      <w:r w:rsidRPr="00CD0605">
        <w:rPr>
          <w:rtl/>
          <w:lang w:bidi="ar-EG"/>
        </w:rPr>
        <w:t>الرقم القياسي لتنمية تكنولوجيا المعلومات والاتصالات</w:t>
      </w:r>
      <w:r w:rsidRPr="00CD0605">
        <w:rPr>
          <w:rFonts w:hint="cs"/>
          <w:rtl/>
          <w:lang w:bidi="ar-EG"/>
        </w:rPr>
        <w:t xml:space="preserve"> </w:t>
      </w:r>
      <w:r w:rsidRPr="00CD0605">
        <w:rPr>
          <w:lang w:bidi="ar-EG"/>
        </w:rPr>
        <w:t>(IDI)</w:t>
      </w:r>
      <w:r w:rsidRPr="00CD0605">
        <w:rPr>
          <w:rFonts w:hint="cs"/>
          <w:rtl/>
          <w:lang w:bidi="ar-EG"/>
        </w:rPr>
        <w:t xml:space="preserve">، وأن تُدرج، بقدر الإمكان، المؤشرات التي تبيّن مستوى استعمال الأسر لتكنولوجيا المعلومات والاتصالات مع مراعاة نتائج الندوة العالمية لمؤشرات الاتصالات/تكنولوجيا المعلومات والاتصالات </w:t>
      </w:r>
      <w:r w:rsidRPr="00CD0605">
        <w:rPr>
          <w:lang w:bidi="ar-EG"/>
        </w:rPr>
        <w:t>(WTIS)</w:t>
      </w:r>
      <w:r w:rsidRPr="00CD0605">
        <w:rPr>
          <w:rFonts w:hint="cs"/>
          <w:rtl/>
          <w:lang w:bidi="ar-EG"/>
        </w:rPr>
        <w:t>.</w:t>
      </w:r>
      <w:proofErr w:type="gramEnd"/>
    </w:p>
    <w:p w:rsidR="00986A54" w:rsidRDefault="00CD0605" w:rsidP="00CD0605">
      <w:pPr>
        <w:spacing w:before="600"/>
        <w:jc w:val="center"/>
        <w:rPr>
          <w:rtl/>
          <w:lang w:bidi="ar-EG"/>
        </w:rPr>
      </w:pPr>
      <w:r>
        <w:rPr>
          <w:rtl/>
          <w:lang w:bidi="ar-EG"/>
        </w:rPr>
        <w:t>___________</w:t>
      </w:r>
    </w:p>
    <w:sectPr w:rsidR="00986A54" w:rsidSect="008B5B5D">
      <w:headerReference w:type="default" r:id="rId12"/>
      <w:footerReference w:type="default" r:id="rId13"/>
      <w:footerReference w:type="first" r:id="rId1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ED1" w:rsidRDefault="00E10ED1" w:rsidP="00E07379">
      <w:pPr>
        <w:spacing w:before="0" w:line="240" w:lineRule="auto"/>
      </w:pPr>
      <w:r>
        <w:separator/>
      </w:r>
    </w:p>
  </w:endnote>
  <w:endnote w:type="continuationSeparator" w:id="0">
    <w:p w:rsidR="00E10ED1" w:rsidRDefault="00E10ED1"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8E0DE2" w:rsidP="004E5FBA">
    <w:pPr>
      <w:pStyle w:val="Footer"/>
      <w:tabs>
        <w:tab w:val="clear" w:pos="5812"/>
        <w:tab w:val="right" w:pos="5670"/>
      </w:tabs>
    </w:pPr>
    <w:fldSimple w:instr=" FILENAME \p \* MERGEFORMAT ">
      <w:r w:rsidR="002A7C0A">
        <w:rPr>
          <w:noProof/>
        </w:rPr>
        <w:t>C:\Users\brouard\Desktop\010A.docx</w:t>
      </w:r>
    </w:fldSimple>
    <w:r w:rsidR="00BD0C50" w:rsidRPr="00665956">
      <w:t xml:space="preserve">   (</w:t>
    </w:r>
    <w:r w:rsidR="004E5FBA" w:rsidRPr="004E5FBA">
      <w:rPr>
        <w:rFonts w:hint="cs"/>
        <w:vanish/>
        <w:rtl/>
      </w:rPr>
      <w:t>423038</w:t>
    </w:r>
    <w:r w:rsidR="00BD0C50" w:rsidRPr="00665956">
      <w:t>)</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2A7C0A">
      <w:rPr>
        <w:noProof/>
      </w:rPr>
      <w:t>08.09.17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2A7C0A">
      <w:rPr>
        <w:noProof/>
      </w:rPr>
      <w:t>08.09.17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E2640A" w:rsidRDefault="00E10ED1" w:rsidP="004E5FBA">
    <w:pPr>
      <w:pStyle w:val="Footer"/>
      <w:tabs>
        <w:tab w:val="clear" w:pos="5812"/>
        <w:tab w:val="right" w:pos="5670"/>
      </w:tabs>
    </w:pPr>
    <w:r>
      <w:fldChar w:fldCharType="begin"/>
    </w:r>
    <w:r>
      <w:instrText xml:space="preserve"> FILENAME \p \* MERGEFORMAT </w:instrText>
    </w:r>
    <w:r>
      <w:fldChar w:fldCharType="separate"/>
    </w:r>
    <w:r w:rsidR="002A7C0A">
      <w:rPr>
        <w:noProof/>
      </w:rPr>
      <w:t>C:\Users\brouard\Desktop\010A.docx</w:t>
    </w:r>
    <w:r>
      <w:rPr>
        <w:noProof/>
      </w:rPr>
      <w:fldChar w:fldCharType="end"/>
    </w:r>
    <w:r w:rsidR="00BD0C50" w:rsidRPr="00E2640A">
      <w:t xml:space="preserve">   (</w:t>
    </w:r>
    <w:r w:rsidR="004E5FBA" w:rsidRPr="00E2640A">
      <w:rPr>
        <w:rFonts w:hint="cs"/>
        <w:rtl/>
      </w:rPr>
      <w:t>423038</w:t>
    </w:r>
    <w:r w:rsidR="00BD0C50" w:rsidRPr="00E2640A">
      <w:t>)</w:t>
    </w:r>
    <w:r w:rsidR="00BD0C50" w:rsidRPr="00E2640A">
      <w:tab/>
    </w:r>
    <w:r w:rsidR="00BD0C50" w:rsidRPr="00E2640A">
      <w:fldChar w:fldCharType="begin"/>
    </w:r>
    <w:r w:rsidR="00BD0C50" w:rsidRPr="00E2640A">
      <w:instrText xml:space="preserve"> savedate \@ dd.MM.yy </w:instrText>
    </w:r>
    <w:r w:rsidR="00BD0C50" w:rsidRPr="00E2640A">
      <w:fldChar w:fldCharType="separate"/>
    </w:r>
    <w:r w:rsidR="002A7C0A">
      <w:rPr>
        <w:noProof/>
      </w:rPr>
      <w:t>08.09.17</w:t>
    </w:r>
    <w:r w:rsidR="00BD0C50" w:rsidRPr="00E2640A">
      <w:fldChar w:fldCharType="end"/>
    </w:r>
    <w:r w:rsidR="00BD0C50" w:rsidRPr="00E2640A">
      <w:tab/>
    </w:r>
    <w:r w:rsidR="00BD0C50" w:rsidRPr="00E2640A">
      <w:fldChar w:fldCharType="begin"/>
    </w:r>
    <w:r w:rsidR="00BD0C50" w:rsidRPr="00E2640A">
      <w:instrText xml:space="preserve"> printdate \@ dd.MM.yy </w:instrText>
    </w:r>
    <w:r w:rsidR="00BD0C50" w:rsidRPr="00E2640A">
      <w:fldChar w:fldCharType="separate"/>
    </w:r>
    <w:r w:rsidR="002A7C0A">
      <w:rPr>
        <w:noProof/>
      </w:rPr>
      <w:t>08.09.17</w:t>
    </w:r>
    <w:r w:rsidR="00BD0C50" w:rsidRPr="00E2640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ED1" w:rsidRDefault="00E10ED1" w:rsidP="00E07379">
      <w:pPr>
        <w:spacing w:before="0" w:line="240" w:lineRule="auto"/>
      </w:pPr>
      <w:r>
        <w:separator/>
      </w:r>
    </w:p>
  </w:footnote>
  <w:footnote w:type="continuationSeparator" w:id="0">
    <w:p w:rsidR="00E10ED1" w:rsidRDefault="00E10ED1" w:rsidP="00E07379">
      <w:pPr>
        <w:spacing w:before="0" w:line="240" w:lineRule="auto"/>
      </w:pPr>
      <w:r>
        <w:continuationSeparator/>
      </w:r>
    </w:p>
  </w:footnote>
  <w:footnote w:id="1">
    <w:p w:rsidR="00CD0605" w:rsidRPr="00D62E51" w:rsidRDefault="00CD0605" w:rsidP="00BE2AE3">
      <w:pPr>
        <w:pStyle w:val="FootnoteText"/>
        <w:rPr>
          <w:rtl/>
        </w:rPr>
      </w:pPr>
      <w:r>
        <w:rPr>
          <w:rStyle w:val="FootnoteReference"/>
        </w:rPr>
        <w:footnoteRef/>
      </w:r>
      <w:r w:rsidR="00BE2AE3">
        <w:tab/>
      </w:r>
      <w:r>
        <w:rPr>
          <w:rFonts w:hint="cs"/>
          <w:rtl/>
        </w:rPr>
        <w:t xml:space="preserve">في سياق الفقرة </w:t>
      </w:r>
      <w:r>
        <w:t>2</w:t>
      </w:r>
      <w:r>
        <w:rPr>
          <w:rFonts w:hint="cs"/>
          <w:rtl/>
        </w:rPr>
        <w:t xml:space="preserve"> من هذه الوثيقة</w:t>
      </w:r>
      <w:r w:rsidR="00BE2AE3">
        <w:rPr>
          <w:rFonts w:hint="cs"/>
          <w:rtl/>
        </w:rPr>
        <w:t>.</w:t>
      </w:r>
    </w:p>
  </w:footnote>
  <w:footnote w:id="2">
    <w:p w:rsidR="00CD0605" w:rsidRDefault="00CD0605" w:rsidP="00BE2AE3">
      <w:pPr>
        <w:pStyle w:val="FootnoteText"/>
        <w:rPr>
          <w:rtl/>
        </w:rPr>
      </w:pPr>
      <w:r>
        <w:rPr>
          <w:rStyle w:val="FootnoteReference"/>
        </w:rPr>
        <w:footnoteRef/>
      </w:r>
      <w:r w:rsidR="00BE2AE3">
        <w:tab/>
      </w:r>
      <w:r>
        <w:rPr>
          <w:rFonts w:hint="cs"/>
          <w:rtl/>
        </w:rPr>
        <w:t xml:space="preserve">في سياق الفقرة </w:t>
      </w:r>
      <w:r>
        <w:t>2</w:t>
      </w:r>
      <w:r>
        <w:rPr>
          <w:rFonts w:hint="cs"/>
          <w:rtl/>
        </w:rPr>
        <w:t xml:space="preserve"> من هذه الوثيقة</w:t>
      </w:r>
      <w:r w:rsidR="00BE2AE3">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4" w:rsidRPr="00FE1E47" w:rsidRDefault="00986A54" w:rsidP="00F02705">
    <w:pPr>
      <w:pStyle w:val="Header"/>
      <w:spacing w:before="120" w:after="240"/>
      <w:jc w:val="center"/>
      <w:rPr>
        <w:rFonts w:cs="Calibri"/>
        <w:sz w:val="20"/>
        <w:szCs w:val="20"/>
        <w:rtl/>
      </w:rPr>
    </w:pPr>
    <w:r w:rsidRPr="00FE1E47">
      <w:rPr>
        <w:rFonts w:cs="Calibri"/>
        <w:sz w:val="20"/>
        <w:szCs w:val="20"/>
      </w:rPr>
      <w:fldChar w:fldCharType="begin"/>
    </w:r>
    <w:r w:rsidRPr="00FE1E47">
      <w:rPr>
        <w:rFonts w:cs="Calibri"/>
        <w:sz w:val="20"/>
        <w:szCs w:val="20"/>
      </w:rPr>
      <w:instrText>PAGE</w:instrText>
    </w:r>
    <w:r w:rsidRPr="00FE1E47">
      <w:rPr>
        <w:rFonts w:cs="Calibri"/>
        <w:sz w:val="20"/>
        <w:szCs w:val="20"/>
      </w:rPr>
      <w:fldChar w:fldCharType="separate"/>
    </w:r>
    <w:r w:rsidR="002A7C0A">
      <w:rPr>
        <w:rFonts w:cs="Times New Roman"/>
        <w:noProof/>
        <w:sz w:val="20"/>
        <w:szCs w:val="20"/>
        <w:rtl/>
      </w:rPr>
      <w:t>2</w:t>
    </w:r>
    <w:r w:rsidRPr="00FE1E47">
      <w:rPr>
        <w:rFonts w:cs="Calibri"/>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605"/>
    <w:rsid w:val="000028DA"/>
    <w:rsid w:val="000124CC"/>
    <w:rsid w:val="00041F8B"/>
    <w:rsid w:val="00046444"/>
    <w:rsid w:val="0006023B"/>
    <w:rsid w:val="0008638B"/>
    <w:rsid w:val="00090574"/>
    <w:rsid w:val="00092FC2"/>
    <w:rsid w:val="000A1677"/>
    <w:rsid w:val="000B407F"/>
    <w:rsid w:val="000C13C2"/>
    <w:rsid w:val="000D4C64"/>
    <w:rsid w:val="000F0B1C"/>
    <w:rsid w:val="000F1D42"/>
    <w:rsid w:val="000F4D07"/>
    <w:rsid w:val="00102A03"/>
    <w:rsid w:val="001040A3"/>
    <w:rsid w:val="00173915"/>
    <w:rsid w:val="0022345D"/>
    <w:rsid w:val="00225854"/>
    <w:rsid w:val="0023283D"/>
    <w:rsid w:val="00252E0C"/>
    <w:rsid w:val="00276881"/>
    <w:rsid w:val="002916BE"/>
    <w:rsid w:val="002978F4"/>
    <w:rsid w:val="002A7C0A"/>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2686F"/>
    <w:rsid w:val="004367CE"/>
    <w:rsid w:val="00443869"/>
    <w:rsid w:val="004712C6"/>
    <w:rsid w:val="00497703"/>
    <w:rsid w:val="004E5FBA"/>
    <w:rsid w:val="004F0F06"/>
    <w:rsid w:val="00501E0E"/>
    <w:rsid w:val="0051790E"/>
    <w:rsid w:val="005204D7"/>
    <w:rsid w:val="00530420"/>
    <w:rsid w:val="00552BC5"/>
    <w:rsid w:val="0055516A"/>
    <w:rsid w:val="0056374C"/>
    <w:rsid w:val="0056614F"/>
    <w:rsid w:val="0057656F"/>
    <w:rsid w:val="00576731"/>
    <w:rsid w:val="0059285F"/>
    <w:rsid w:val="00595CD1"/>
    <w:rsid w:val="005A24B1"/>
    <w:rsid w:val="005B7B8A"/>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B5B5D"/>
    <w:rsid w:val="008E0DE2"/>
    <w:rsid w:val="00917694"/>
    <w:rsid w:val="00922410"/>
    <w:rsid w:val="009263CD"/>
    <w:rsid w:val="00930E6D"/>
    <w:rsid w:val="00972CA2"/>
    <w:rsid w:val="00982B28"/>
    <w:rsid w:val="00984EA5"/>
    <w:rsid w:val="00986A54"/>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2AE3"/>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0605"/>
    <w:rsid w:val="00CD123C"/>
    <w:rsid w:val="00CD2085"/>
    <w:rsid w:val="00CE2EE1"/>
    <w:rsid w:val="00CF3FFD"/>
    <w:rsid w:val="00CF5ED3"/>
    <w:rsid w:val="00D0494C"/>
    <w:rsid w:val="00D14BEB"/>
    <w:rsid w:val="00D21C89"/>
    <w:rsid w:val="00D45542"/>
    <w:rsid w:val="00D50C22"/>
    <w:rsid w:val="00D77D0F"/>
    <w:rsid w:val="00DA1CF0"/>
    <w:rsid w:val="00DB2271"/>
    <w:rsid w:val="00DB5659"/>
    <w:rsid w:val="00DC24B4"/>
    <w:rsid w:val="00DD7A05"/>
    <w:rsid w:val="00DF16DC"/>
    <w:rsid w:val="00DF5361"/>
    <w:rsid w:val="00E009A1"/>
    <w:rsid w:val="00E00D15"/>
    <w:rsid w:val="00E071BE"/>
    <w:rsid w:val="00E07379"/>
    <w:rsid w:val="00E10ED1"/>
    <w:rsid w:val="00E14494"/>
    <w:rsid w:val="00E17033"/>
    <w:rsid w:val="00E22744"/>
    <w:rsid w:val="00E2640A"/>
    <w:rsid w:val="00E32189"/>
    <w:rsid w:val="00E45211"/>
    <w:rsid w:val="00E7380C"/>
    <w:rsid w:val="00E74BE7"/>
    <w:rsid w:val="00E86CC9"/>
    <w:rsid w:val="00E96624"/>
    <w:rsid w:val="00F02705"/>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996A8E-23B0-49AD-8B11-EB1F0F702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AE3"/>
    <w:pPr>
      <w:tabs>
        <w:tab w:val="left" w:pos="79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BE2AE3"/>
    <w:pPr>
      <w:keepNext/>
      <w:keepLines/>
      <w:spacing w:before="360"/>
      <w:ind w:left="794" w:hanging="79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BE2AE3"/>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uiPriority w:val="99"/>
    <w:rsid w:val="0022345D"/>
    <w:pPr>
      <w:tabs>
        <w:tab w:val="center" w:pos="4680"/>
        <w:tab w:val="right" w:pos="9360"/>
      </w:tabs>
      <w:spacing w:before="0" w:line="240" w:lineRule="auto"/>
    </w:pPr>
  </w:style>
  <w:style w:type="character" w:customStyle="1" w:styleId="HeaderChar">
    <w:name w:val="Header Char"/>
    <w:basedOn w:val="DefaultParagraphFont"/>
    <w:link w:val="Header"/>
    <w:uiPriority w:val="99"/>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BE2AE3"/>
    <w:pPr>
      <w:tabs>
        <w:tab w:val="clear" w:pos="794"/>
      </w:tabs>
      <w:spacing w:before="80"/>
      <w:ind w:left="794" w:hanging="794"/>
    </w:pPr>
  </w:style>
  <w:style w:type="character" w:customStyle="1" w:styleId="enumlev1Char">
    <w:name w:val="enumlev1 Char"/>
    <w:basedOn w:val="DefaultParagraphFont"/>
    <w:link w:val="enumlev1"/>
    <w:rsid w:val="00BE2AE3"/>
    <w:rPr>
      <w:rFonts w:ascii="Calibri" w:eastAsia="Times New Roman" w:hAnsi="Calibri"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986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E2AE3"/>
    <w:pPr>
      <w:overflowPunct w:val="0"/>
      <w:autoSpaceDE w:val="0"/>
      <w:autoSpaceDN w:val="0"/>
      <w:bidi/>
      <w:adjustRightInd w:val="0"/>
      <w:spacing w:before="120" w:after="0" w:line="192" w:lineRule="auto"/>
      <w:jc w:val="both"/>
      <w:textAlignment w:val="baseline"/>
    </w:pPr>
    <w:rPr>
      <w:rFonts w:ascii="CG Times" w:eastAsia="Times New Roman" w:hAnsi="CG Time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cuments-dds-ny.un.org/doc/UNDOC/GEN/N15/291/89/PDF/N1529189.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35F954-95FD-416F-9F66-87E158AA3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Contribution from the Russian Federation</vt:lpstr>
    </vt:vector>
  </TitlesOfParts>
  <Company>International Telecommunication Union (ITU)</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CWG-SFP</dc:subject>
  <dc:creator>Saad, Samuel</dc:creator>
  <cp:keywords>CWG-SFP</cp:keywords>
  <dc:description/>
  <cp:lastModifiedBy>Brouard, Ricarda</cp:lastModifiedBy>
  <cp:revision>4</cp:revision>
  <cp:lastPrinted>2017-09-08T12:47:00Z</cp:lastPrinted>
  <dcterms:created xsi:type="dcterms:W3CDTF">2017-09-08T12:47:00Z</dcterms:created>
  <dcterms:modified xsi:type="dcterms:W3CDTF">2017-09-08T12:47:00Z</dcterms:modified>
  <cp:category>Conference document</cp:category>
</cp:coreProperties>
</file>