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E2EB3" w14:paraId="6FC336CB" w14:textId="77777777">
        <w:trPr>
          <w:cantSplit/>
        </w:trPr>
        <w:tc>
          <w:tcPr>
            <w:tcW w:w="6912" w:type="dxa"/>
          </w:tcPr>
          <w:p w14:paraId="0A3264EC" w14:textId="77777777" w:rsidR="00520F36" w:rsidRPr="007E2EB3" w:rsidRDefault="00D76368" w:rsidP="00033613">
            <w:pPr>
              <w:spacing w:before="360"/>
            </w:pPr>
            <w:r w:rsidRPr="007E2EB3">
              <w:rPr>
                <w:b/>
                <w:bCs/>
                <w:sz w:val="30"/>
                <w:szCs w:val="30"/>
              </w:rPr>
              <w:t>Groupe de travail du Conseil</w:t>
            </w:r>
            <w:r w:rsidRPr="007E2EB3">
              <w:rPr>
                <w:b/>
                <w:bCs/>
                <w:color w:val="000000"/>
                <w:sz w:val="30"/>
                <w:szCs w:val="30"/>
              </w:rPr>
              <w:t xml:space="preserve"> chargé d</w:t>
            </w:r>
            <w:r w:rsidR="00033613" w:rsidRPr="007E2EB3">
              <w:rPr>
                <w:b/>
                <w:bCs/>
                <w:color w:val="000000"/>
                <w:sz w:val="30"/>
                <w:szCs w:val="30"/>
              </w:rPr>
              <w:t>'</w:t>
            </w:r>
            <w:r w:rsidRPr="007E2EB3">
              <w:rPr>
                <w:b/>
                <w:bCs/>
                <w:color w:val="000000"/>
                <w:sz w:val="30"/>
                <w:szCs w:val="30"/>
              </w:rPr>
              <w:t xml:space="preserve">élaborer </w:t>
            </w:r>
            <w:r w:rsidRPr="007E2EB3">
              <w:rPr>
                <w:b/>
                <w:bCs/>
                <w:color w:val="000000"/>
                <w:sz w:val="30"/>
                <w:szCs w:val="30"/>
              </w:rPr>
              <w:br/>
              <w:t>le Plan stratégique et le Plan financier pour la période 2020-2023</w:t>
            </w:r>
          </w:p>
        </w:tc>
        <w:tc>
          <w:tcPr>
            <w:tcW w:w="3261" w:type="dxa"/>
          </w:tcPr>
          <w:p w14:paraId="4A56673C" w14:textId="77777777" w:rsidR="00520F36" w:rsidRPr="007E2EB3" w:rsidRDefault="00520F36" w:rsidP="00033613">
            <w:pPr>
              <w:spacing w:before="0"/>
              <w:jc w:val="right"/>
            </w:pPr>
            <w:bookmarkStart w:id="0" w:name="ditulogo"/>
            <w:bookmarkEnd w:id="0"/>
            <w:r w:rsidRPr="007E2EB3">
              <w:rPr>
                <w:rFonts w:cstheme="minorHAnsi"/>
                <w:b/>
                <w:bCs/>
                <w:noProof/>
                <w:lang w:val="en-US" w:eastAsia="zh-CN"/>
              </w:rPr>
              <w:drawing>
                <wp:inline distT="0" distB="0" distL="0" distR="0" wp14:anchorId="28636897" wp14:editId="08B038E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7E2EB3" w14:paraId="184C60C0" w14:textId="77777777" w:rsidTr="00DB0234">
        <w:trPr>
          <w:cantSplit/>
          <w:trHeight w:val="20"/>
        </w:trPr>
        <w:tc>
          <w:tcPr>
            <w:tcW w:w="6912" w:type="dxa"/>
            <w:tcBorders>
              <w:bottom w:val="single" w:sz="12" w:space="0" w:color="auto"/>
            </w:tcBorders>
            <w:vAlign w:val="center"/>
          </w:tcPr>
          <w:p w14:paraId="2F1A0D52" w14:textId="77777777" w:rsidR="00520F36" w:rsidRPr="007E2EB3" w:rsidRDefault="00D76368" w:rsidP="00033613">
            <w:pPr>
              <w:spacing w:before="60" w:after="60"/>
              <w:rPr>
                <w:b/>
                <w:bCs/>
                <w:szCs w:val="24"/>
              </w:rPr>
            </w:pPr>
            <w:r w:rsidRPr="007E2EB3">
              <w:rPr>
                <w:b/>
                <w:bCs/>
                <w:szCs w:val="24"/>
              </w:rPr>
              <w:t>Deuxième réunion – Genève, 11-12 septembre 2017</w:t>
            </w:r>
          </w:p>
        </w:tc>
        <w:tc>
          <w:tcPr>
            <w:tcW w:w="3261" w:type="dxa"/>
            <w:tcBorders>
              <w:bottom w:val="single" w:sz="12" w:space="0" w:color="auto"/>
            </w:tcBorders>
          </w:tcPr>
          <w:p w14:paraId="157DDB22" w14:textId="77777777" w:rsidR="00520F36" w:rsidRPr="007E2EB3" w:rsidRDefault="00520F36" w:rsidP="00033613">
            <w:pPr>
              <w:spacing w:before="0"/>
              <w:rPr>
                <w:b/>
                <w:bCs/>
              </w:rPr>
            </w:pPr>
          </w:p>
        </w:tc>
      </w:tr>
      <w:tr w:rsidR="00520F36" w:rsidRPr="007E2EB3" w14:paraId="47E961C2" w14:textId="77777777">
        <w:trPr>
          <w:cantSplit/>
          <w:trHeight w:val="20"/>
        </w:trPr>
        <w:tc>
          <w:tcPr>
            <w:tcW w:w="6912" w:type="dxa"/>
            <w:tcBorders>
              <w:top w:val="single" w:sz="12" w:space="0" w:color="auto"/>
            </w:tcBorders>
          </w:tcPr>
          <w:p w14:paraId="45285E79" w14:textId="77777777" w:rsidR="00520F36" w:rsidRPr="007E2EB3" w:rsidRDefault="00520F36" w:rsidP="00033613">
            <w:pPr>
              <w:spacing w:before="0"/>
              <w:rPr>
                <w:smallCaps/>
                <w:sz w:val="22"/>
              </w:rPr>
            </w:pPr>
          </w:p>
        </w:tc>
        <w:tc>
          <w:tcPr>
            <w:tcW w:w="3261" w:type="dxa"/>
            <w:tcBorders>
              <w:top w:val="single" w:sz="12" w:space="0" w:color="auto"/>
            </w:tcBorders>
          </w:tcPr>
          <w:p w14:paraId="38BD0EB1" w14:textId="77777777" w:rsidR="00520F36" w:rsidRPr="007E2EB3" w:rsidRDefault="00520F36" w:rsidP="00033613">
            <w:pPr>
              <w:spacing w:before="0"/>
              <w:rPr>
                <w:b/>
                <w:bCs/>
              </w:rPr>
            </w:pPr>
          </w:p>
        </w:tc>
      </w:tr>
      <w:tr w:rsidR="00520F36" w:rsidRPr="007E2EB3" w14:paraId="309F7327" w14:textId="77777777">
        <w:trPr>
          <w:cantSplit/>
          <w:trHeight w:val="20"/>
        </w:trPr>
        <w:tc>
          <w:tcPr>
            <w:tcW w:w="6912" w:type="dxa"/>
            <w:vMerge w:val="restart"/>
          </w:tcPr>
          <w:p w14:paraId="5F5837ED" w14:textId="77777777" w:rsidR="00520F36" w:rsidRPr="007E2EB3" w:rsidRDefault="00520F36" w:rsidP="00033613">
            <w:pPr>
              <w:spacing w:before="0"/>
              <w:rPr>
                <w:rFonts w:cs="Times"/>
                <w:b/>
                <w:bCs/>
                <w:szCs w:val="24"/>
              </w:rPr>
            </w:pPr>
            <w:bookmarkStart w:id="1" w:name="dnum" w:colFirst="1" w:colLast="1"/>
            <w:bookmarkStart w:id="2" w:name="dmeeting" w:colFirst="0" w:colLast="0"/>
          </w:p>
        </w:tc>
        <w:tc>
          <w:tcPr>
            <w:tcW w:w="3261" w:type="dxa"/>
          </w:tcPr>
          <w:p w14:paraId="566660E1" w14:textId="77777777" w:rsidR="00520F36" w:rsidRPr="007E2EB3" w:rsidRDefault="00520F36" w:rsidP="00C62EE2">
            <w:pPr>
              <w:spacing w:before="0"/>
              <w:rPr>
                <w:b/>
                <w:bCs/>
              </w:rPr>
            </w:pPr>
            <w:r w:rsidRPr="007E2EB3">
              <w:rPr>
                <w:b/>
                <w:bCs/>
              </w:rPr>
              <w:t xml:space="preserve">Document </w:t>
            </w:r>
            <w:r w:rsidR="00D76368" w:rsidRPr="007E2EB3">
              <w:rPr>
                <w:b/>
                <w:bCs/>
              </w:rPr>
              <w:t>CWG-SFP-2/</w:t>
            </w:r>
            <w:r w:rsidR="00C62EE2" w:rsidRPr="007E2EB3">
              <w:rPr>
                <w:b/>
                <w:bCs/>
              </w:rPr>
              <w:t>8</w:t>
            </w:r>
            <w:r w:rsidRPr="007E2EB3">
              <w:rPr>
                <w:b/>
                <w:bCs/>
              </w:rPr>
              <w:t>-F</w:t>
            </w:r>
          </w:p>
        </w:tc>
      </w:tr>
      <w:tr w:rsidR="00520F36" w:rsidRPr="007E2EB3" w14:paraId="2C44A7E6" w14:textId="77777777">
        <w:trPr>
          <w:cantSplit/>
          <w:trHeight w:val="20"/>
        </w:trPr>
        <w:tc>
          <w:tcPr>
            <w:tcW w:w="6912" w:type="dxa"/>
            <w:vMerge/>
          </w:tcPr>
          <w:p w14:paraId="701169B8" w14:textId="77777777" w:rsidR="00520F36" w:rsidRPr="007E2EB3" w:rsidRDefault="00520F36" w:rsidP="00033613">
            <w:pPr>
              <w:shd w:val="solid" w:color="FFFFFF" w:fill="FFFFFF"/>
              <w:spacing w:before="180"/>
              <w:rPr>
                <w:smallCaps/>
              </w:rPr>
            </w:pPr>
            <w:bookmarkStart w:id="3" w:name="ddate" w:colFirst="1" w:colLast="1"/>
            <w:bookmarkEnd w:id="1"/>
            <w:bookmarkEnd w:id="2"/>
          </w:p>
        </w:tc>
        <w:tc>
          <w:tcPr>
            <w:tcW w:w="3261" w:type="dxa"/>
          </w:tcPr>
          <w:p w14:paraId="6711ADC7" w14:textId="77777777" w:rsidR="00520F36" w:rsidRPr="007E2EB3" w:rsidRDefault="00C62EE2" w:rsidP="00033613">
            <w:pPr>
              <w:spacing w:before="0"/>
              <w:rPr>
                <w:b/>
                <w:bCs/>
              </w:rPr>
            </w:pPr>
            <w:r w:rsidRPr="007E2EB3">
              <w:rPr>
                <w:b/>
                <w:bCs/>
              </w:rPr>
              <w:t>25</w:t>
            </w:r>
            <w:r w:rsidR="00D76368" w:rsidRPr="007E2EB3">
              <w:rPr>
                <w:b/>
                <w:bCs/>
              </w:rPr>
              <w:t xml:space="preserve"> août</w:t>
            </w:r>
            <w:r w:rsidR="00520F36" w:rsidRPr="007E2EB3">
              <w:rPr>
                <w:b/>
                <w:bCs/>
              </w:rPr>
              <w:t xml:space="preserve"> 2017</w:t>
            </w:r>
          </w:p>
        </w:tc>
      </w:tr>
      <w:tr w:rsidR="00520F36" w:rsidRPr="007E2EB3" w14:paraId="08DDC35A" w14:textId="77777777">
        <w:trPr>
          <w:cantSplit/>
          <w:trHeight w:val="20"/>
        </w:trPr>
        <w:tc>
          <w:tcPr>
            <w:tcW w:w="6912" w:type="dxa"/>
            <w:vMerge/>
          </w:tcPr>
          <w:p w14:paraId="60E9FF04" w14:textId="77777777" w:rsidR="00520F36" w:rsidRPr="007E2EB3" w:rsidRDefault="00520F36" w:rsidP="00033613">
            <w:pPr>
              <w:shd w:val="solid" w:color="FFFFFF" w:fill="FFFFFF"/>
              <w:spacing w:before="180"/>
              <w:rPr>
                <w:smallCaps/>
              </w:rPr>
            </w:pPr>
            <w:bookmarkStart w:id="4" w:name="dorlang" w:colFirst="1" w:colLast="1"/>
            <w:bookmarkEnd w:id="3"/>
          </w:p>
        </w:tc>
        <w:tc>
          <w:tcPr>
            <w:tcW w:w="3261" w:type="dxa"/>
          </w:tcPr>
          <w:p w14:paraId="0BE91BD7" w14:textId="77777777" w:rsidR="00520F36" w:rsidRPr="007E2EB3" w:rsidRDefault="00520F36" w:rsidP="00033613">
            <w:pPr>
              <w:spacing w:before="0"/>
              <w:rPr>
                <w:b/>
                <w:bCs/>
              </w:rPr>
            </w:pPr>
            <w:r w:rsidRPr="007E2EB3">
              <w:rPr>
                <w:b/>
                <w:bCs/>
              </w:rPr>
              <w:t>Original: anglais</w:t>
            </w:r>
          </w:p>
        </w:tc>
      </w:tr>
      <w:tr w:rsidR="00520F36" w:rsidRPr="007E2EB3" w14:paraId="03057213" w14:textId="77777777">
        <w:trPr>
          <w:cantSplit/>
        </w:trPr>
        <w:tc>
          <w:tcPr>
            <w:tcW w:w="10173" w:type="dxa"/>
            <w:gridSpan w:val="2"/>
          </w:tcPr>
          <w:p w14:paraId="3E9C08AC" w14:textId="77777777" w:rsidR="00520F36" w:rsidRPr="007E2EB3" w:rsidRDefault="00C62EE2" w:rsidP="00033613">
            <w:pPr>
              <w:pStyle w:val="Source"/>
              <w:rPr>
                <w:szCs w:val="28"/>
              </w:rPr>
            </w:pPr>
            <w:bookmarkStart w:id="5" w:name="dsource" w:colFirst="0" w:colLast="0"/>
            <w:bookmarkEnd w:id="4"/>
            <w:r w:rsidRPr="007E2EB3">
              <w:rPr>
                <w:szCs w:val="28"/>
              </w:rPr>
              <w:t>Contribution de l'Allemagne</w:t>
            </w:r>
          </w:p>
        </w:tc>
      </w:tr>
      <w:tr w:rsidR="00520F36" w:rsidRPr="007E2EB3" w14:paraId="300E0385" w14:textId="77777777">
        <w:trPr>
          <w:cantSplit/>
        </w:trPr>
        <w:tc>
          <w:tcPr>
            <w:tcW w:w="10173" w:type="dxa"/>
            <w:gridSpan w:val="2"/>
          </w:tcPr>
          <w:p w14:paraId="02F5F03D" w14:textId="32A1C40C" w:rsidR="00520F36" w:rsidRPr="007E2EB3" w:rsidRDefault="005E0883" w:rsidP="00033613">
            <w:pPr>
              <w:pStyle w:val="Title1"/>
              <w:rPr>
                <w:b/>
              </w:rPr>
            </w:pPr>
            <w:bookmarkStart w:id="6" w:name="dtitle1" w:colFirst="0" w:colLast="0"/>
            <w:bookmarkEnd w:id="5"/>
            <w:r w:rsidRPr="007E2EB3">
              <w:rPr>
                <w:bCs/>
                <w:szCs w:val="32"/>
              </w:rPr>
              <w:t xml:space="preserve">PRISE EN COMPTE DES RÉSULTATS DE LA CONFÉRENCE DES MINISTRES DU G20 CHARGÉS DE L'ÉCONOMIE NUMÉRIQUE DANS LE PLAN STRATÉGIQUE DE L'UIT </w:t>
            </w:r>
            <w:r w:rsidR="00E90097" w:rsidRPr="007E2EB3">
              <w:rPr>
                <w:bCs/>
                <w:szCs w:val="32"/>
              </w:rPr>
              <w:br/>
            </w:r>
            <w:r w:rsidRPr="007E2EB3">
              <w:rPr>
                <w:bCs/>
                <w:szCs w:val="32"/>
              </w:rPr>
              <w:t>POUR 2020-2023</w:t>
            </w:r>
          </w:p>
        </w:tc>
      </w:tr>
    </w:tbl>
    <w:bookmarkEnd w:id="6"/>
    <w:p w14:paraId="2DEA8A79" w14:textId="77777777" w:rsidR="00C62EE2" w:rsidRPr="007E2EB3" w:rsidRDefault="0021424F" w:rsidP="00E90097">
      <w:pPr>
        <w:pStyle w:val="Headingb"/>
        <w:spacing w:before="720"/>
      </w:pPr>
      <w:r w:rsidRPr="007E2EB3">
        <w:t>Introduction</w:t>
      </w:r>
    </w:p>
    <w:p w14:paraId="19CF0FDD" w14:textId="0DD7B7BB" w:rsidR="002C6408" w:rsidRPr="007E2EB3" w:rsidRDefault="002C6408" w:rsidP="00E90097">
      <w:r w:rsidRPr="007E2EB3">
        <w:t xml:space="preserve">Une réunion des ministres du G20 chargés de l'économie numérique a eu lieu à Düsseldorf les 7 et 8 avril 2017, sous la présidence de l'Allemagne. Houlin Zhao, Secrétaire général de l'UIT, a également assisté à cette réunion. </w:t>
      </w:r>
      <w:r w:rsidR="00B96580" w:rsidRPr="007E2EB3">
        <w:t>Les discussions ont porté sur ce qui doit être fait afin de concrétiser le potentiel de la numérisation e</w:t>
      </w:r>
      <w:bookmarkStart w:id="7" w:name="_GoBack"/>
      <w:bookmarkEnd w:id="7"/>
      <w:r w:rsidR="00B96580" w:rsidRPr="007E2EB3">
        <w:t>n tant que moteur de croissance et d'emploi. Les ministres sont convenus que</w:t>
      </w:r>
      <w:r w:rsidR="00557D4C" w:rsidRPr="007E2EB3">
        <w:t xml:space="preserve"> la numérisation ne </w:t>
      </w:r>
      <w:r w:rsidR="00E20231" w:rsidRPr="007E2EB3">
        <w:t>portera ses fruits</w:t>
      </w:r>
      <w:r w:rsidR="00557D4C" w:rsidRPr="007E2EB3">
        <w:t xml:space="preserve"> </w:t>
      </w:r>
      <w:r w:rsidR="000F0FA9" w:rsidRPr="007E2EB3">
        <w:t>au niveau mondial qu</w:t>
      </w:r>
      <w:r w:rsidR="00E90097" w:rsidRPr="007E2EB3">
        <w:t>'</w:t>
      </w:r>
      <w:r w:rsidR="000F0FA9" w:rsidRPr="007E2EB3">
        <w:t>avec la participation de tous les individus</w:t>
      </w:r>
      <w:r w:rsidR="00557D4C" w:rsidRPr="007E2EB3">
        <w:t>, quel</w:t>
      </w:r>
      <w:r w:rsidR="000F0FA9" w:rsidRPr="007E2EB3">
        <w:t>s</w:t>
      </w:r>
      <w:r w:rsidR="00557D4C" w:rsidRPr="007E2EB3">
        <w:t xml:space="preserve"> que soi</w:t>
      </w:r>
      <w:r w:rsidR="000F0FA9" w:rsidRPr="007E2EB3">
        <w:t>en</w:t>
      </w:r>
      <w:r w:rsidR="00557D4C" w:rsidRPr="007E2EB3">
        <w:t>t l</w:t>
      </w:r>
      <w:r w:rsidR="000F0FA9" w:rsidRPr="007E2EB3">
        <w:t>eur âge et leur</w:t>
      </w:r>
      <w:r w:rsidR="00557D4C" w:rsidRPr="007E2EB3">
        <w:t xml:space="preserve"> c</w:t>
      </w:r>
      <w:r w:rsidR="000F0FA9" w:rsidRPr="007E2EB3">
        <w:t>ondition sociale, d</w:t>
      </w:r>
      <w:r w:rsidR="00E20231" w:rsidRPr="007E2EB3">
        <w:t>e toutes les entreprises, petit</w:t>
      </w:r>
      <w:r w:rsidR="000F0FA9" w:rsidRPr="007E2EB3">
        <w:t>s</w:t>
      </w:r>
      <w:r w:rsidR="00E20231" w:rsidRPr="007E2EB3">
        <w:t xml:space="preserve"> artisans</w:t>
      </w:r>
      <w:r w:rsidR="000F0FA9" w:rsidRPr="007E2EB3">
        <w:t xml:space="preserve"> comme multinationales, et de tous les pays, qu</w:t>
      </w:r>
      <w:r w:rsidR="00E90097" w:rsidRPr="007E2EB3">
        <w:t>'</w:t>
      </w:r>
      <w:r w:rsidR="000F0FA9" w:rsidRPr="007E2EB3">
        <w:t>ils soient en développement ou industrialisés. Ce n</w:t>
      </w:r>
      <w:r w:rsidR="00E90097" w:rsidRPr="007E2EB3">
        <w:t>'</w:t>
      </w:r>
      <w:r w:rsidR="000F0FA9" w:rsidRPr="007E2EB3">
        <w:t xml:space="preserve">est </w:t>
      </w:r>
      <w:r w:rsidR="00B573B7" w:rsidRPr="007E2EB3">
        <w:t>qu</w:t>
      </w:r>
      <w:r w:rsidR="00E90097" w:rsidRPr="007E2EB3">
        <w:t>'</w:t>
      </w:r>
      <w:r w:rsidR="00B573B7" w:rsidRPr="007E2EB3">
        <w:t>à cette condition que</w:t>
      </w:r>
      <w:r w:rsidR="000F0FA9" w:rsidRPr="007E2EB3">
        <w:t xml:space="preserve"> la numérisation pourra favoriser une croissance inclusive.</w:t>
      </w:r>
    </w:p>
    <w:p w14:paraId="37A044D6" w14:textId="602EA4CE" w:rsidR="000F0FA9" w:rsidRPr="007E2EB3" w:rsidRDefault="000F0FA9" w:rsidP="00E90097">
      <w:pPr>
        <w:pStyle w:val="Headingb"/>
      </w:pPr>
      <w:bookmarkStart w:id="8" w:name="lt_pId016"/>
      <w:r w:rsidRPr="007E2EB3">
        <w:t>Résultats de la réunion des ministres du G20 chargés de l</w:t>
      </w:r>
      <w:r w:rsidR="00E90097" w:rsidRPr="007E2EB3">
        <w:t>'</w:t>
      </w:r>
      <w:r w:rsidRPr="007E2EB3">
        <w:t>économie numérique</w:t>
      </w:r>
      <w:bookmarkEnd w:id="8"/>
    </w:p>
    <w:p w14:paraId="1A7D9E63" w14:textId="3703CB52" w:rsidR="000F0FA9" w:rsidRPr="007E2EB3" w:rsidRDefault="000F0FA9" w:rsidP="00E90097">
      <w:r w:rsidRPr="007E2EB3">
        <w:t>Lors de la réunion tenue à Düsseldorf, les ministres du G20 chargés du numérique ont adopté une déclaration ministérielle</w:t>
      </w:r>
      <w:r w:rsidRPr="007E2EB3">
        <w:rPr>
          <w:rStyle w:val="FootnoteReference"/>
          <w:rFonts w:cs="Arial"/>
          <w:bCs/>
        </w:rPr>
        <w:footnoteReference w:id="1"/>
      </w:r>
      <w:r w:rsidRPr="007E2EB3">
        <w:t xml:space="preserve"> et une feuille de route (Feuille de route </w:t>
      </w:r>
      <w:r w:rsidR="00F45CCC" w:rsidRPr="007E2EB3">
        <w:t xml:space="preserve">pour la numérisation: Des politiques pour un avenir numérique, voir </w:t>
      </w:r>
      <w:hyperlink w:anchor="Annex" w:history="1">
        <w:r w:rsidR="00F45CCC" w:rsidRPr="00D52814">
          <w:rPr>
            <w:rStyle w:val="Hyperlink"/>
          </w:rPr>
          <w:t>Anne</w:t>
        </w:r>
        <w:r w:rsidR="00B573B7" w:rsidRPr="00D52814">
          <w:rPr>
            <w:rStyle w:val="Hyperlink"/>
          </w:rPr>
          <w:t>xe</w:t>
        </w:r>
      </w:hyperlink>
      <w:r w:rsidR="00B573B7" w:rsidRPr="007E2EB3">
        <w:t>). La feuille de route établit</w:t>
      </w:r>
      <w:r w:rsidR="00F45CCC" w:rsidRPr="007E2EB3">
        <w:t xml:space="preserve"> onze domaines d</w:t>
      </w:r>
      <w:r w:rsidR="00E90097" w:rsidRPr="007E2EB3">
        <w:t>'</w:t>
      </w:r>
      <w:r w:rsidR="00F45CCC" w:rsidRPr="007E2EB3">
        <w:t xml:space="preserve">action principaux pour les politiques du G20 </w:t>
      </w:r>
      <w:r w:rsidR="00B573B7" w:rsidRPr="007E2EB3">
        <w:t>relatives au</w:t>
      </w:r>
      <w:r w:rsidR="00F45CCC" w:rsidRPr="007E2EB3">
        <w:t xml:space="preserve"> numérique. Les grands objectifs fixés consistent, entre autres, à </w:t>
      </w:r>
      <w:r w:rsidR="00B573B7" w:rsidRPr="007E2EB3">
        <w:t xml:space="preserve">généraliser </w:t>
      </w:r>
      <w:r w:rsidR="00F45CCC" w:rsidRPr="007E2EB3">
        <w:t>l</w:t>
      </w:r>
      <w:r w:rsidR="00E90097" w:rsidRPr="007E2EB3">
        <w:t>'</w:t>
      </w:r>
      <w:r w:rsidR="00EC27B9" w:rsidRPr="007E2EB3">
        <w:t>accès à I</w:t>
      </w:r>
      <w:r w:rsidR="00F45CCC" w:rsidRPr="007E2EB3">
        <w:t>nternet, à parvenir à une croissance inclusive et à un taux d</w:t>
      </w:r>
      <w:r w:rsidR="00E90097" w:rsidRPr="007E2EB3">
        <w:t>'</w:t>
      </w:r>
      <w:r w:rsidR="00F45CCC" w:rsidRPr="007E2EB3">
        <w:t xml:space="preserve">emploi plus élevé grâce au commerce numérique, à </w:t>
      </w:r>
      <w:r w:rsidR="00B573B7" w:rsidRPr="007E2EB3">
        <w:t>s</w:t>
      </w:r>
      <w:r w:rsidR="00E90097" w:rsidRPr="007E2EB3">
        <w:t>'</w:t>
      </w:r>
      <w:r w:rsidR="00B573B7" w:rsidRPr="007E2EB3">
        <w:t>entendre sur</w:t>
      </w:r>
      <w:r w:rsidR="00F45CCC" w:rsidRPr="007E2EB3">
        <w:t xml:space="preserve"> l</w:t>
      </w:r>
      <w:r w:rsidR="00E90097" w:rsidRPr="007E2EB3">
        <w:t>'</w:t>
      </w:r>
      <w:r w:rsidR="00F45CCC" w:rsidRPr="007E2EB3">
        <w:t>élaboration de normes fondées sur des principes d</w:t>
      </w:r>
      <w:r w:rsidR="00E90097" w:rsidRPr="007E2EB3">
        <w:t>'</w:t>
      </w:r>
      <w:r w:rsidR="00F45CCC" w:rsidRPr="007E2EB3">
        <w:t>ouverture, de transparence et de consensus, à obtenir des engagements en faveur de l</w:t>
      </w:r>
      <w:r w:rsidR="00E90097" w:rsidRPr="007E2EB3">
        <w:t>'</w:t>
      </w:r>
      <w:r w:rsidR="00F45CCC" w:rsidRPr="007E2EB3">
        <w:t>éducation numérique tout au long de la vie et à réduire la fracture numérique entre les hommes et les femmes.</w:t>
      </w:r>
    </w:p>
    <w:p w14:paraId="6031EADE" w14:textId="3CFAFF82" w:rsidR="000F0FA9" w:rsidRPr="007E2EB3" w:rsidRDefault="0059100B" w:rsidP="00B573B7">
      <w:pPr>
        <w:snapToGrid w:val="0"/>
        <w:spacing w:before="360" w:after="120"/>
        <w:rPr>
          <w:rFonts w:asciiTheme="minorHAnsi" w:hAnsiTheme="minorHAnsi" w:cs="Arial"/>
          <w:bCs/>
        </w:rPr>
      </w:pPr>
      <w:r w:rsidRPr="007E2EB3">
        <w:rPr>
          <w:rFonts w:asciiTheme="minorHAnsi" w:hAnsiTheme="minorHAnsi" w:cs="Arial"/>
          <w:bCs/>
        </w:rPr>
        <w:lastRenderedPageBreak/>
        <w:t xml:space="preserve">Plus précisément, les ministres </w:t>
      </w:r>
      <w:r w:rsidR="00B573B7" w:rsidRPr="007E2EB3">
        <w:rPr>
          <w:rFonts w:asciiTheme="minorHAnsi" w:hAnsiTheme="minorHAnsi" w:cs="Arial"/>
          <w:bCs/>
        </w:rPr>
        <w:t>ont établi</w:t>
      </w:r>
      <w:r w:rsidRPr="007E2EB3">
        <w:rPr>
          <w:rFonts w:asciiTheme="minorHAnsi" w:hAnsiTheme="minorHAnsi" w:cs="Arial"/>
          <w:bCs/>
        </w:rPr>
        <w:t xml:space="preserve"> des objectifs à atteindre au moyen du programme de travail adopté à la réunion de Düsseldorf, comme suit:</w:t>
      </w:r>
    </w:p>
    <w:p w14:paraId="760C3B9C" w14:textId="576955B9" w:rsidR="0059100B" w:rsidRPr="007E2EB3" w:rsidRDefault="00EC27B9" w:rsidP="00EC27B9">
      <w:pPr>
        <w:pStyle w:val="enumlev1"/>
      </w:pPr>
      <w:bookmarkStart w:id="10" w:name="lt_pId023"/>
      <w:r w:rsidRPr="007E2EB3">
        <w:t>•</w:t>
      </w:r>
      <w:r w:rsidRPr="007E2EB3">
        <w:tab/>
      </w:r>
      <w:r w:rsidR="0059100B" w:rsidRPr="007E2EB3">
        <w:t>L</w:t>
      </w:r>
      <w:r w:rsidR="00E90097" w:rsidRPr="007E2EB3">
        <w:t>'</w:t>
      </w:r>
      <w:r w:rsidR="0059100B" w:rsidRPr="007E2EB3">
        <w:t>Internet pour tous:</w:t>
      </w:r>
      <w:bookmarkEnd w:id="10"/>
      <w:r w:rsidR="0059100B" w:rsidRPr="007E2EB3">
        <w:t xml:space="preserve"> </w:t>
      </w:r>
      <w:bookmarkStart w:id="11" w:name="lt_pId024"/>
      <w:r w:rsidR="00B573B7" w:rsidRPr="007E2EB3">
        <w:t xml:space="preserve">Le G20 a décidé </w:t>
      </w:r>
      <w:r w:rsidR="0059100B" w:rsidRPr="007E2EB3">
        <w:t>d</w:t>
      </w:r>
      <w:r w:rsidR="00E90097" w:rsidRPr="007E2EB3">
        <w:t>'</w:t>
      </w:r>
      <w:r w:rsidR="0059100B" w:rsidRPr="007E2EB3">
        <w:t>encourager le déploiement national de la connectivité Internet pour tous d</w:t>
      </w:r>
      <w:r w:rsidR="00E90097" w:rsidRPr="007E2EB3">
        <w:t>'</w:t>
      </w:r>
      <w:r w:rsidR="0059100B" w:rsidRPr="007E2EB3">
        <w:t>ici à 2025.</w:t>
      </w:r>
      <w:bookmarkEnd w:id="11"/>
    </w:p>
    <w:p w14:paraId="4E57BE44" w14:textId="12BBF9B9" w:rsidR="0059100B" w:rsidRPr="007E2EB3" w:rsidRDefault="00EC27B9" w:rsidP="00EC27B9">
      <w:pPr>
        <w:pStyle w:val="enumlev1"/>
      </w:pPr>
      <w:r w:rsidRPr="007E2EB3">
        <w:t>•</w:t>
      </w:r>
      <w:r w:rsidRPr="007E2EB3">
        <w:tab/>
      </w:r>
      <w:r w:rsidR="0059100B" w:rsidRPr="007E2EB3">
        <w:t>Objectifs de développement durable: L</w:t>
      </w:r>
      <w:r w:rsidR="00B573B7" w:rsidRPr="007E2EB3">
        <w:t>e G20 a reconnu le rôle que pourrait</w:t>
      </w:r>
      <w:r w:rsidR="0059100B" w:rsidRPr="007E2EB3">
        <w:t xml:space="preserve"> jouer la numérisation dans </w:t>
      </w:r>
      <w:r w:rsidR="00B573B7" w:rsidRPr="007E2EB3">
        <w:t>la réalisation</w:t>
      </w:r>
      <w:r w:rsidR="0059100B" w:rsidRPr="007E2EB3">
        <w:t xml:space="preserve"> des Objectifs de développement durable fixés dans le Programme de développement durable à l</w:t>
      </w:r>
      <w:r w:rsidR="00E90097" w:rsidRPr="007E2EB3">
        <w:t>'</w:t>
      </w:r>
      <w:r w:rsidR="0059100B" w:rsidRPr="007E2EB3">
        <w:t>horizon 2030 des Nations Unies</w:t>
      </w:r>
      <w:r w:rsidR="00405D8E" w:rsidRPr="007E2EB3">
        <w:t xml:space="preserve"> (Programme</w:t>
      </w:r>
      <w:r w:rsidRPr="007E2EB3">
        <w:t> </w:t>
      </w:r>
      <w:r w:rsidR="00405D8E" w:rsidRPr="007E2EB3">
        <w:t>2030)</w:t>
      </w:r>
      <w:r w:rsidR="0059100B" w:rsidRPr="007E2EB3">
        <w:t>.</w:t>
      </w:r>
    </w:p>
    <w:p w14:paraId="172B1471" w14:textId="21611A2A" w:rsidR="0059100B" w:rsidRPr="007E2EB3" w:rsidRDefault="00EC27B9" w:rsidP="00EC27B9">
      <w:pPr>
        <w:pStyle w:val="enumlev1"/>
      </w:pPr>
      <w:r w:rsidRPr="007E2EB3">
        <w:t>•</w:t>
      </w:r>
      <w:r w:rsidRPr="007E2EB3">
        <w:tab/>
      </w:r>
      <w:r w:rsidR="0059100B" w:rsidRPr="007E2EB3">
        <w:t xml:space="preserve">Promotion de la </w:t>
      </w:r>
      <w:r w:rsidRPr="007E2EB3">
        <w:t>concurrence: Les membres du G20</w:t>
      </w:r>
      <w:r w:rsidR="0059100B" w:rsidRPr="007E2EB3">
        <w:t xml:space="preserve"> ont estimé que la numérisation suscitait </w:t>
      </w:r>
      <w:r w:rsidR="00B573B7" w:rsidRPr="007E2EB3">
        <w:t>de nouvelles questions dans le domaine des</w:t>
      </w:r>
      <w:r w:rsidR="0059100B" w:rsidRPr="007E2EB3">
        <w:t xml:space="preserve"> politiques en matière de concurrence</w:t>
      </w:r>
      <w:r w:rsidR="00B573B7" w:rsidRPr="007E2EB3">
        <w:t xml:space="preserve"> et qu</w:t>
      </w:r>
      <w:r w:rsidR="00E90097" w:rsidRPr="007E2EB3">
        <w:t>'</w:t>
      </w:r>
      <w:r w:rsidR="00B573B7" w:rsidRPr="007E2EB3">
        <w:t>il convenait de mettre en place un</w:t>
      </w:r>
      <w:r w:rsidR="0059100B" w:rsidRPr="007E2EB3">
        <w:t xml:space="preserve"> dialogue à l</w:t>
      </w:r>
      <w:r w:rsidR="00E90097" w:rsidRPr="007E2EB3">
        <w:t>'</w:t>
      </w:r>
      <w:r w:rsidR="0059100B" w:rsidRPr="007E2EB3">
        <w:t xml:space="preserve">échelle internationale </w:t>
      </w:r>
      <w:r w:rsidR="00B573B7" w:rsidRPr="007E2EB3">
        <w:t>afin d</w:t>
      </w:r>
      <w:r w:rsidR="00E90097" w:rsidRPr="007E2EB3">
        <w:t>'</w:t>
      </w:r>
      <w:r w:rsidR="00B573B7" w:rsidRPr="007E2EB3">
        <w:t>y répondre</w:t>
      </w:r>
      <w:r w:rsidR="0059100B" w:rsidRPr="007E2EB3">
        <w:t>.</w:t>
      </w:r>
    </w:p>
    <w:p w14:paraId="6ABBEF71" w14:textId="2179F8AF" w:rsidR="0059100B" w:rsidRPr="007E2EB3" w:rsidRDefault="00EC27B9" w:rsidP="00EC27B9">
      <w:pPr>
        <w:pStyle w:val="enumlev1"/>
      </w:pPr>
      <w:r w:rsidRPr="007E2EB3">
        <w:t>•</w:t>
      </w:r>
      <w:r w:rsidRPr="007E2EB3">
        <w:tab/>
      </w:r>
      <w:r w:rsidR="0059100B" w:rsidRPr="007E2EB3">
        <w:t>Normes internationales: Le G20 est convenu d</w:t>
      </w:r>
      <w:r w:rsidR="00E90097" w:rsidRPr="007E2EB3">
        <w:t>'</w:t>
      </w:r>
      <w:r w:rsidR="0059100B" w:rsidRPr="007E2EB3">
        <w:t>encourager l</w:t>
      </w:r>
      <w:r w:rsidR="00E90097" w:rsidRPr="007E2EB3">
        <w:t>'</w:t>
      </w:r>
      <w:r w:rsidR="0059100B" w:rsidRPr="007E2EB3">
        <w:t xml:space="preserve">échange de bonnes pratiques sur les normes dans les domaines de la production industrielle numérisée, </w:t>
      </w:r>
      <w:r w:rsidR="00B649AB" w:rsidRPr="007E2EB3">
        <w:t xml:space="preserve">de la sécurité </w:t>
      </w:r>
      <w:r w:rsidR="00565ADA" w:rsidRPr="007E2EB3">
        <w:t>informatique</w:t>
      </w:r>
      <w:r w:rsidR="00B649AB" w:rsidRPr="007E2EB3">
        <w:t>, des villes intelligentes, de la mobilité intelligente et de l</w:t>
      </w:r>
      <w:r w:rsidR="00E90097" w:rsidRPr="007E2EB3">
        <w:t>'</w:t>
      </w:r>
      <w:r w:rsidR="00B649AB" w:rsidRPr="007E2EB3">
        <w:t>agriculture intelligente.</w:t>
      </w:r>
    </w:p>
    <w:p w14:paraId="46DDAB53" w14:textId="3BDF987D" w:rsidR="00B649AB" w:rsidRPr="007E2EB3" w:rsidRDefault="00EC27B9" w:rsidP="00EC27B9">
      <w:pPr>
        <w:pStyle w:val="enumlev1"/>
      </w:pPr>
      <w:r w:rsidRPr="007E2EB3">
        <w:t>•</w:t>
      </w:r>
      <w:r w:rsidRPr="007E2EB3">
        <w:tab/>
      </w:r>
      <w:r w:rsidR="00B649AB" w:rsidRPr="007E2EB3">
        <w:t>Protection des consommateurs en ligne: Le G20 a souligné l</w:t>
      </w:r>
      <w:r w:rsidR="00E90097" w:rsidRPr="007E2EB3">
        <w:t>'</w:t>
      </w:r>
      <w:r w:rsidR="00B649AB" w:rsidRPr="007E2EB3">
        <w:t xml:space="preserve">importance </w:t>
      </w:r>
      <w:r w:rsidR="00B573B7" w:rsidRPr="007E2EB3">
        <w:t>de protéger les</w:t>
      </w:r>
      <w:r w:rsidR="00B649AB" w:rsidRPr="007E2EB3">
        <w:t xml:space="preserve"> consommateurs dans la sphère numérique, en </w:t>
      </w:r>
      <w:r w:rsidR="00B573B7" w:rsidRPr="007E2EB3">
        <w:t>leur garantissant l</w:t>
      </w:r>
      <w:r w:rsidR="00E90097" w:rsidRPr="007E2EB3">
        <w:t>'</w:t>
      </w:r>
      <w:r w:rsidR="00B649AB" w:rsidRPr="007E2EB3">
        <w:t>accès à des informations suffisantes et intelligibles leur permettant de prendre des décisions éclairées.</w:t>
      </w:r>
    </w:p>
    <w:p w14:paraId="410270DC" w14:textId="3FADE131" w:rsidR="00B649AB" w:rsidRPr="007E2EB3" w:rsidRDefault="00EC27B9" w:rsidP="00EC27B9">
      <w:pPr>
        <w:pStyle w:val="enumlev1"/>
      </w:pPr>
      <w:r w:rsidRPr="007E2EB3">
        <w:t>•</w:t>
      </w:r>
      <w:r w:rsidRPr="007E2EB3">
        <w:tab/>
      </w:r>
      <w:r w:rsidR="00B573B7" w:rsidRPr="007E2EB3">
        <w:t xml:space="preserve">Les membres du G20 sont convenus </w:t>
      </w:r>
      <w:r w:rsidR="00B649AB" w:rsidRPr="007E2EB3">
        <w:t>de l</w:t>
      </w:r>
      <w:r w:rsidR="00E90097" w:rsidRPr="007E2EB3">
        <w:t>'</w:t>
      </w:r>
      <w:r w:rsidR="00B649AB" w:rsidRPr="007E2EB3">
        <w:t>élaboration de plans d</w:t>
      </w:r>
      <w:r w:rsidR="00E90097" w:rsidRPr="007E2EB3">
        <w:t>'</w:t>
      </w:r>
      <w:r w:rsidR="00B649AB" w:rsidRPr="007E2EB3">
        <w:t>action nationaux visant à parvenir, d</w:t>
      </w:r>
      <w:r w:rsidR="00E90097" w:rsidRPr="007E2EB3">
        <w:t>'</w:t>
      </w:r>
      <w:r w:rsidR="00B649AB" w:rsidRPr="007E2EB3">
        <w:t xml:space="preserve">ici à 2020, à la parité </w:t>
      </w:r>
      <w:r w:rsidRPr="007E2EB3">
        <w:t>hommes/femmes</w:t>
      </w:r>
      <w:r w:rsidR="00B649AB" w:rsidRPr="007E2EB3">
        <w:t xml:space="preserve"> parmi les internautes.</w:t>
      </w:r>
    </w:p>
    <w:p w14:paraId="2E9FF0D3" w14:textId="0397B7E1" w:rsidR="00B649AB" w:rsidRPr="007E2EB3" w:rsidRDefault="00B649AB" w:rsidP="00EC27B9">
      <w:r w:rsidRPr="007E2EB3">
        <w:t>La conférence comportait un volet consacré à l</w:t>
      </w:r>
      <w:r w:rsidR="00E90097" w:rsidRPr="007E2EB3">
        <w:t>'</w:t>
      </w:r>
      <w:r w:rsidRPr="007E2EB3">
        <w:t xml:space="preserve">éducation numérique. Dans ce contexte, les ministres du G20 </w:t>
      </w:r>
      <w:r w:rsidR="00950483" w:rsidRPr="007E2EB3">
        <w:t>ont défini</w:t>
      </w:r>
      <w:r w:rsidRPr="007E2EB3">
        <w:t xml:space="preserve"> les domaines d</w:t>
      </w:r>
      <w:r w:rsidR="00E90097" w:rsidRPr="007E2EB3">
        <w:t>'</w:t>
      </w:r>
      <w:r w:rsidRPr="007E2EB3">
        <w:t>action suivants:</w:t>
      </w:r>
    </w:p>
    <w:p w14:paraId="48E69DDA" w14:textId="0CA4DD43" w:rsidR="00950483" w:rsidRPr="007E2EB3" w:rsidRDefault="00EC27B9" w:rsidP="00EC27B9">
      <w:pPr>
        <w:pStyle w:val="enumlev1"/>
      </w:pPr>
      <w:bookmarkStart w:id="12" w:name="lt_pId036"/>
      <w:r w:rsidRPr="007E2EB3">
        <w:t>•</w:t>
      </w:r>
      <w:r w:rsidRPr="007E2EB3">
        <w:tab/>
      </w:r>
      <w:r w:rsidR="00950483" w:rsidRPr="007E2EB3">
        <w:t>Donner les moyens aux écoles – Les établissements scolaires devraient bénéficier de l</w:t>
      </w:r>
      <w:r w:rsidR="00E90097" w:rsidRPr="007E2EB3">
        <w:t>'</w:t>
      </w:r>
      <w:r w:rsidR="00950483" w:rsidRPr="007E2EB3">
        <w:t xml:space="preserve">infrastructure numérique nécessaire pour </w:t>
      </w:r>
      <w:r w:rsidR="00B573B7" w:rsidRPr="007E2EB3">
        <w:t>former aux compétences</w:t>
      </w:r>
      <w:r w:rsidR="00950483" w:rsidRPr="007E2EB3">
        <w:t xml:space="preserve"> numérique</w:t>
      </w:r>
      <w:bookmarkStart w:id="13" w:name="lt_pId037"/>
      <w:bookmarkEnd w:id="12"/>
      <w:r w:rsidR="00B573B7" w:rsidRPr="007E2EB3">
        <w:t>s</w:t>
      </w:r>
      <w:r w:rsidR="00950483" w:rsidRPr="007E2EB3">
        <w:t>, que ce soit en termes de ressources ou de personnel. Les enseignants doivent également</w:t>
      </w:r>
      <w:r w:rsidR="00B573B7" w:rsidRPr="007E2EB3">
        <w:t xml:space="preserve"> être préparés</w:t>
      </w:r>
      <w:r w:rsidR="00950483" w:rsidRPr="007E2EB3">
        <w:t xml:space="preserve"> à exercer ces nouvelles activités</w:t>
      </w:r>
      <w:bookmarkStart w:id="14" w:name="lt_pId038"/>
      <w:bookmarkEnd w:id="13"/>
      <w:r w:rsidR="00950483" w:rsidRPr="007E2EB3">
        <w:t>.</w:t>
      </w:r>
      <w:bookmarkEnd w:id="14"/>
    </w:p>
    <w:p w14:paraId="52428DCF" w14:textId="2BC8F941" w:rsidR="00950483" w:rsidRPr="007E2EB3" w:rsidRDefault="00EC27B9" w:rsidP="00EC27B9">
      <w:pPr>
        <w:pStyle w:val="enumlev1"/>
      </w:pPr>
      <w:r w:rsidRPr="007E2EB3">
        <w:t>•</w:t>
      </w:r>
      <w:r w:rsidRPr="007E2EB3">
        <w:tab/>
      </w:r>
      <w:r w:rsidR="00950483" w:rsidRPr="007E2EB3">
        <w:t xml:space="preserve">Définir et </w:t>
      </w:r>
      <w:r w:rsidR="00B573B7" w:rsidRPr="007E2EB3">
        <w:t>transmettre l</w:t>
      </w:r>
      <w:r w:rsidR="00950483" w:rsidRPr="007E2EB3">
        <w:t>es compétences</w:t>
      </w:r>
      <w:r w:rsidR="00B573B7" w:rsidRPr="007E2EB3">
        <w:t xml:space="preserve"> requises</w:t>
      </w:r>
      <w:r w:rsidR="00950483" w:rsidRPr="007E2EB3">
        <w:t> – Le G20 souhaite renforcer le dialogue avec les entreprises, les start-ups, les établissements d</w:t>
      </w:r>
      <w:r w:rsidR="00E90097" w:rsidRPr="007E2EB3">
        <w:t>'</w:t>
      </w:r>
      <w:r w:rsidR="00950483" w:rsidRPr="007E2EB3">
        <w:t xml:space="preserve">enseignement professionnel, les collectivités, les partenaires sociaux et autres parties prenantes, dans la mesure où ce sont ces acteurs qui définissent et transmettent les compétences </w:t>
      </w:r>
      <w:r w:rsidR="00BE6D64" w:rsidRPr="007E2EB3">
        <w:t>nécessaire</w:t>
      </w:r>
      <w:r w:rsidR="00B573B7" w:rsidRPr="007E2EB3">
        <w:t>s</w:t>
      </w:r>
      <w:r w:rsidR="00BE6D64" w:rsidRPr="007E2EB3">
        <w:t xml:space="preserve"> pour vivre et travailler dans le monde numérique. Ce réseau pourra notamment aider les petites et moyennes entreprises </w:t>
      </w:r>
      <w:r w:rsidR="00B573B7" w:rsidRPr="007E2EB3">
        <w:t xml:space="preserve">(PME) </w:t>
      </w:r>
      <w:r w:rsidR="00BE6D64" w:rsidRPr="007E2EB3">
        <w:t>à faire en sorte que leurs employés bénéficient d</w:t>
      </w:r>
      <w:r w:rsidR="00E90097" w:rsidRPr="007E2EB3">
        <w:t>'</w:t>
      </w:r>
      <w:r w:rsidR="00BE6D64" w:rsidRPr="007E2EB3">
        <w:t>une formation optimale qui permettra de pérenniser le succès de l</w:t>
      </w:r>
      <w:r w:rsidR="00E90097" w:rsidRPr="007E2EB3">
        <w:t>'</w:t>
      </w:r>
      <w:r w:rsidR="00BE6D64" w:rsidRPr="007E2EB3">
        <w:t>entreprise.</w:t>
      </w:r>
      <w:r w:rsidR="00932470" w:rsidRPr="007E2EB3">
        <w:t xml:space="preserve"> Il s</w:t>
      </w:r>
      <w:r w:rsidR="00E90097" w:rsidRPr="007E2EB3">
        <w:t>'</w:t>
      </w:r>
      <w:r w:rsidR="00932470" w:rsidRPr="007E2EB3">
        <w:t>agira également de promouvoir l</w:t>
      </w:r>
      <w:r w:rsidR="00E90097" w:rsidRPr="007E2EB3">
        <w:t>'</w:t>
      </w:r>
      <w:r w:rsidR="00932470" w:rsidRPr="007E2EB3">
        <w:t>apprentissage numérique, notamment la formation en ligne, ainsi que d</w:t>
      </w:r>
      <w:r w:rsidR="00E90097" w:rsidRPr="007E2EB3">
        <w:t>'</w:t>
      </w:r>
      <w:r w:rsidR="00932470" w:rsidRPr="007E2EB3">
        <w:t>autres modes de transfert de connaissances qui doivent être mis en avant. De nouvelles populations, parmi lesquelles les groupes résidant dans des zones faiblement peuplées et reculées ainsi que les personnes handicapées, pourront ainsi bénéficier d</w:t>
      </w:r>
      <w:r w:rsidR="00E90097" w:rsidRPr="007E2EB3">
        <w:t>'</w:t>
      </w:r>
      <w:r w:rsidR="00932470" w:rsidRPr="007E2EB3">
        <w:t>un enseignement et être mieux préparés pour répondre aux nouveaux besoins. Le G20 souhaite mettre en place un échange de bonnes pratiques à ce sujet.</w:t>
      </w:r>
    </w:p>
    <w:p w14:paraId="5E472154" w14:textId="53D955C3" w:rsidR="00932470" w:rsidRPr="007E2EB3" w:rsidRDefault="00EC27B9" w:rsidP="00EC27B9">
      <w:pPr>
        <w:pStyle w:val="enumlev1"/>
      </w:pPr>
      <w:r w:rsidRPr="007E2EB3">
        <w:t>•</w:t>
      </w:r>
      <w:r w:rsidRPr="007E2EB3">
        <w:tab/>
      </w:r>
      <w:r w:rsidR="00932470" w:rsidRPr="007E2EB3">
        <w:t xml:space="preserve">Soutenir les femmes et les </w:t>
      </w:r>
      <w:r w:rsidRPr="007E2EB3">
        <w:t xml:space="preserve">jeunes </w:t>
      </w:r>
      <w:r w:rsidR="00932470" w:rsidRPr="007E2EB3">
        <w:t>filles – Le G20 mettra l</w:t>
      </w:r>
      <w:r w:rsidR="00E90097" w:rsidRPr="007E2EB3">
        <w:t>'</w:t>
      </w:r>
      <w:r w:rsidR="00932470" w:rsidRPr="007E2EB3">
        <w:t>accent sur les programmes</w:t>
      </w:r>
      <w:r w:rsidR="00B573B7" w:rsidRPr="007E2EB3">
        <w:t xml:space="preserve"> qui</w:t>
      </w:r>
      <w:r w:rsidR="00932470" w:rsidRPr="007E2EB3">
        <w:t xml:space="preserve"> vis</w:t>
      </w:r>
      <w:r w:rsidR="00B573B7" w:rsidRPr="007E2EB3">
        <w:t>e</w:t>
      </w:r>
      <w:r w:rsidR="00932470" w:rsidRPr="007E2EB3">
        <w:t xml:space="preserve">nt à promouvoir le rôle des femmes et des filles en particulier. En coopération avec </w:t>
      </w:r>
      <w:r w:rsidR="00C91D5A" w:rsidRPr="007E2EB3">
        <w:t>l</w:t>
      </w:r>
      <w:r w:rsidR="00E90097" w:rsidRPr="007E2EB3">
        <w:t>'</w:t>
      </w:r>
      <w:r w:rsidR="00C91D5A" w:rsidRPr="007E2EB3">
        <w:t xml:space="preserve">initiative </w:t>
      </w:r>
      <w:r w:rsidR="00C91D5A" w:rsidRPr="007E2EB3">
        <w:rPr>
          <w:i/>
        </w:rPr>
        <w:t>#eSkills4Girls</w:t>
      </w:r>
      <w:r w:rsidR="00C91D5A" w:rsidRPr="007E2EB3">
        <w:rPr>
          <w:iCs/>
        </w:rPr>
        <w:t xml:space="preserve"> du G20, ces programmes permettront d</w:t>
      </w:r>
      <w:r w:rsidR="00E90097" w:rsidRPr="007E2EB3">
        <w:rPr>
          <w:iCs/>
        </w:rPr>
        <w:t>'</w:t>
      </w:r>
      <w:r w:rsidR="00C91D5A" w:rsidRPr="007E2EB3">
        <w:rPr>
          <w:iCs/>
        </w:rPr>
        <w:t>apporter un appui spécifique aux femmes dans les pays en développement.</w:t>
      </w:r>
    </w:p>
    <w:p w14:paraId="69D67944" w14:textId="0A39726E" w:rsidR="00C91D5A" w:rsidRPr="007E2EB3" w:rsidRDefault="00C91D5A" w:rsidP="002D7D19">
      <w:pPr>
        <w:snapToGrid w:val="0"/>
        <w:spacing w:after="120"/>
        <w:rPr>
          <w:rFonts w:asciiTheme="minorHAnsi" w:hAnsiTheme="minorHAnsi" w:cs="Arial"/>
        </w:rPr>
      </w:pPr>
      <w:r w:rsidRPr="007E2EB3">
        <w:rPr>
          <w:rFonts w:asciiTheme="minorHAnsi" w:hAnsiTheme="minorHAnsi" w:cs="Arial"/>
        </w:rPr>
        <w:lastRenderedPageBreak/>
        <w:t xml:space="preserve">Les ministres </w:t>
      </w:r>
      <w:r w:rsidR="009059DE" w:rsidRPr="007E2EB3">
        <w:rPr>
          <w:rFonts w:asciiTheme="minorHAnsi" w:hAnsiTheme="minorHAnsi" w:cs="Arial"/>
        </w:rPr>
        <w:t xml:space="preserve">chargés </w:t>
      </w:r>
      <w:r w:rsidRPr="007E2EB3">
        <w:rPr>
          <w:rFonts w:asciiTheme="minorHAnsi" w:hAnsiTheme="minorHAnsi" w:cs="Arial"/>
        </w:rPr>
        <w:t>de l</w:t>
      </w:r>
      <w:r w:rsidR="00E90097" w:rsidRPr="007E2EB3">
        <w:rPr>
          <w:rFonts w:asciiTheme="minorHAnsi" w:hAnsiTheme="minorHAnsi" w:cs="Arial"/>
        </w:rPr>
        <w:t>'</w:t>
      </w:r>
      <w:r w:rsidRPr="007E2EB3">
        <w:rPr>
          <w:rFonts w:asciiTheme="minorHAnsi" w:hAnsiTheme="minorHAnsi" w:cs="Arial"/>
        </w:rPr>
        <w:t>économie numé</w:t>
      </w:r>
      <w:r w:rsidR="00EC27B9" w:rsidRPr="007E2EB3">
        <w:rPr>
          <w:rFonts w:asciiTheme="minorHAnsi" w:hAnsiTheme="minorHAnsi" w:cs="Arial"/>
        </w:rPr>
        <w:t>rique ont également tiré parti d</w:t>
      </w:r>
      <w:r w:rsidRPr="007E2EB3">
        <w:rPr>
          <w:rFonts w:asciiTheme="minorHAnsi" w:hAnsiTheme="minorHAnsi" w:cs="Arial"/>
        </w:rPr>
        <w:t xml:space="preserve">es discussions sur les moyens permettant de faciliter le commerce numérique transfrontalier, menées en parallèle dans le cadre du </w:t>
      </w:r>
      <w:r w:rsidR="002D7D19" w:rsidRPr="007E2EB3">
        <w:rPr>
          <w:rFonts w:asciiTheme="minorHAnsi" w:hAnsiTheme="minorHAnsi" w:cs="Arial"/>
        </w:rPr>
        <w:t>g</w:t>
      </w:r>
      <w:r w:rsidRPr="007E2EB3">
        <w:rPr>
          <w:rFonts w:asciiTheme="minorHAnsi" w:hAnsiTheme="minorHAnsi" w:cs="Arial"/>
        </w:rPr>
        <w:t>roupe de travail du G20 sur le commerce et l</w:t>
      </w:r>
      <w:r w:rsidR="00E90097" w:rsidRPr="007E2EB3">
        <w:rPr>
          <w:rFonts w:asciiTheme="minorHAnsi" w:hAnsiTheme="minorHAnsi" w:cs="Arial"/>
        </w:rPr>
        <w:t>'</w:t>
      </w:r>
      <w:r w:rsidRPr="007E2EB3">
        <w:rPr>
          <w:rFonts w:asciiTheme="minorHAnsi" w:hAnsiTheme="minorHAnsi" w:cs="Arial"/>
        </w:rPr>
        <w:t>investissement. Ils ont ainsi établi les priorités suivantes:</w:t>
      </w:r>
    </w:p>
    <w:p w14:paraId="63F7192A" w14:textId="54D93792" w:rsidR="00572350" w:rsidRPr="007E2EB3" w:rsidRDefault="00EC27B9" w:rsidP="00EC27B9">
      <w:pPr>
        <w:pStyle w:val="enumlev1"/>
      </w:pPr>
      <w:bookmarkStart w:id="15" w:name="lt_pId048"/>
      <w:r w:rsidRPr="007E2EB3">
        <w:t>•</w:t>
      </w:r>
      <w:r w:rsidRPr="007E2EB3">
        <w:tab/>
      </w:r>
      <w:r w:rsidR="00C91D5A" w:rsidRPr="007E2EB3">
        <w:t>Le G20 souhaite parven</w:t>
      </w:r>
      <w:r w:rsidRPr="007E2EB3">
        <w:t>ir à une conception commune du "</w:t>
      </w:r>
      <w:r w:rsidR="00C91D5A" w:rsidRPr="007E2EB3">
        <w:t>commerce numérique</w:t>
      </w:r>
      <w:r w:rsidRPr="007E2EB3">
        <w:t>"</w:t>
      </w:r>
      <w:r w:rsidR="00C91D5A" w:rsidRPr="007E2EB3">
        <w:t xml:space="preserve"> afin</w:t>
      </w:r>
      <w:r w:rsidR="00572350" w:rsidRPr="007E2EB3">
        <w:t xml:space="preserve"> de donner plus de visibilité à cet élément dans les données statistiques, lesquelles peuvent ensuite être utilisées pour éclairer la prise de décision</w:t>
      </w:r>
      <w:r w:rsidR="0038708C" w:rsidRPr="007E2EB3">
        <w:t>s</w:t>
      </w:r>
      <w:r w:rsidR="00572350" w:rsidRPr="007E2EB3">
        <w:t xml:space="preserve"> dans ce domaine.</w:t>
      </w:r>
      <w:bookmarkEnd w:id="15"/>
    </w:p>
    <w:p w14:paraId="198D5CF1" w14:textId="106E6C0E" w:rsidR="00C91D5A" w:rsidRPr="007E2EB3" w:rsidRDefault="00EC27B9" w:rsidP="00EC27B9">
      <w:pPr>
        <w:pStyle w:val="enumlev1"/>
      </w:pPr>
      <w:r w:rsidRPr="007E2EB3">
        <w:t>•</w:t>
      </w:r>
      <w:r w:rsidRPr="007E2EB3">
        <w:tab/>
      </w:r>
      <w:r w:rsidR="00572350" w:rsidRPr="007E2EB3">
        <w:t>Le G20 veut jouer un rôle actif et constructif dans les forums internationaux relatifs au commerce numérique. Il prendra part aux discussions menées par l</w:t>
      </w:r>
      <w:r w:rsidR="00E90097" w:rsidRPr="007E2EB3">
        <w:t>'</w:t>
      </w:r>
      <w:r w:rsidRPr="007E2EB3">
        <w:t>Organisation mondiale du c</w:t>
      </w:r>
      <w:r w:rsidR="00572350" w:rsidRPr="007E2EB3">
        <w:t>ommerce (OMC) au sujet du commerce électronique et numérique qui auront lieu à la 11</w:t>
      </w:r>
      <w:r w:rsidRPr="007E2EB3">
        <w:t>ème</w:t>
      </w:r>
      <w:r w:rsidR="00572350" w:rsidRPr="007E2EB3">
        <w:t xml:space="preserve"> conférence </w:t>
      </w:r>
      <w:r w:rsidR="00541170" w:rsidRPr="007E2EB3">
        <w:t>ministérielle</w:t>
      </w:r>
      <w:r w:rsidR="00572350" w:rsidRPr="007E2EB3">
        <w:t xml:space="preserve"> à la fin de l</w:t>
      </w:r>
      <w:r w:rsidR="00E90097" w:rsidRPr="007E2EB3">
        <w:t>'</w:t>
      </w:r>
      <w:r w:rsidR="00572350" w:rsidRPr="007E2EB3">
        <w:t xml:space="preserve">année 2017. </w:t>
      </w:r>
    </w:p>
    <w:p w14:paraId="5F33469E" w14:textId="77795659" w:rsidR="009059DE" w:rsidRPr="007E2EB3" w:rsidRDefault="00EC27B9" w:rsidP="00EC27B9">
      <w:pPr>
        <w:pStyle w:val="enumlev1"/>
      </w:pPr>
      <w:r w:rsidRPr="007E2EB3">
        <w:t>•</w:t>
      </w:r>
      <w:r w:rsidRPr="007E2EB3">
        <w:tab/>
      </w:r>
      <w:r w:rsidR="00572350" w:rsidRPr="007E2EB3">
        <w:t>Les membres du G20 souhaitent travailler en collaboration, de façon à</w:t>
      </w:r>
      <w:r w:rsidR="009059DE" w:rsidRPr="007E2EB3">
        <w:t xml:space="preserve"> mieux sensibiliser les pays en développement aux avantages du commerce numérique.</w:t>
      </w:r>
    </w:p>
    <w:p w14:paraId="4D28F6A9" w14:textId="273B401F" w:rsidR="00572350" w:rsidRPr="007E2EB3" w:rsidRDefault="009059DE" w:rsidP="00EC27B9">
      <w:pPr>
        <w:snapToGrid w:val="0"/>
        <w:spacing w:after="120"/>
        <w:rPr>
          <w:rFonts w:asciiTheme="minorHAnsi" w:hAnsiTheme="minorHAnsi" w:cs="Arial"/>
        </w:rPr>
      </w:pPr>
      <w:r w:rsidRPr="007E2EB3">
        <w:rPr>
          <w:rFonts w:asciiTheme="minorHAnsi" w:hAnsiTheme="minorHAnsi" w:cs="Arial"/>
        </w:rPr>
        <w:t xml:space="preserve">Les 7 et 8 juillet, les </w:t>
      </w:r>
      <w:r w:rsidR="00302F1D" w:rsidRPr="007E2EB3">
        <w:rPr>
          <w:rFonts w:asciiTheme="minorHAnsi" w:hAnsiTheme="minorHAnsi" w:cs="Arial"/>
        </w:rPr>
        <w:t>c</w:t>
      </w:r>
      <w:r w:rsidRPr="007E2EB3">
        <w:rPr>
          <w:rFonts w:asciiTheme="minorHAnsi" w:hAnsiTheme="minorHAnsi" w:cs="Arial"/>
        </w:rPr>
        <w:t>hefs d</w:t>
      </w:r>
      <w:r w:rsidR="00E90097" w:rsidRPr="007E2EB3">
        <w:rPr>
          <w:rFonts w:asciiTheme="minorHAnsi" w:hAnsiTheme="minorHAnsi" w:cs="Arial"/>
        </w:rPr>
        <w:t>'</w:t>
      </w:r>
      <w:r w:rsidR="00EC27B9" w:rsidRPr="007E2EB3">
        <w:rPr>
          <w:rFonts w:asciiTheme="minorHAnsi" w:hAnsiTheme="minorHAnsi" w:cs="Arial"/>
        </w:rPr>
        <w:t>E</w:t>
      </w:r>
      <w:r w:rsidR="00302F1D" w:rsidRPr="007E2EB3">
        <w:rPr>
          <w:rFonts w:asciiTheme="minorHAnsi" w:hAnsiTheme="minorHAnsi" w:cs="Arial"/>
        </w:rPr>
        <w:t>tat</w:t>
      </w:r>
      <w:r w:rsidRPr="007E2EB3">
        <w:rPr>
          <w:rFonts w:asciiTheme="minorHAnsi" w:hAnsiTheme="minorHAnsi" w:cs="Arial"/>
        </w:rPr>
        <w:t xml:space="preserve"> et de gouvernement du G20 ont confirmé les résultats de la réunion des ministres chargés du numérique dans la Déclaration des dirigeants du G20. En adoptant la feuille de route, les ministres du G20 chargés de l</w:t>
      </w:r>
      <w:r w:rsidR="00E90097" w:rsidRPr="007E2EB3">
        <w:rPr>
          <w:rFonts w:asciiTheme="minorHAnsi" w:hAnsiTheme="minorHAnsi" w:cs="Arial"/>
        </w:rPr>
        <w:t>'</w:t>
      </w:r>
      <w:r w:rsidRPr="007E2EB3">
        <w:rPr>
          <w:rFonts w:asciiTheme="minorHAnsi" w:hAnsiTheme="minorHAnsi" w:cs="Arial"/>
        </w:rPr>
        <w:t>économie numérique sont convenus, pour la première fois, des sujets qui doivent être abordés de façon collective pour faire de la numérisation une réalité au niveau mondial et s</w:t>
      </w:r>
      <w:r w:rsidR="00E90097" w:rsidRPr="007E2EB3">
        <w:rPr>
          <w:rFonts w:asciiTheme="minorHAnsi" w:hAnsiTheme="minorHAnsi" w:cs="Arial"/>
        </w:rPr>
        <w:t>'</w:t>
      </w:r>
      <w:r w:rsidRPr="007E2EB3">
        <w:rPr>
          <w:rFonts w:asciiTheme="minorHAnsi" w:hAnsiTheme="minorHAnsi" w:cs="Arial"/>
        </w:rPr>
        <w:t>assurer que chacun puisse tirer parti des avantages qu</w:t>
      </w:r>
      <w:r w:rsidR="00E90097" w:rsidRPr="007E2EB3">
        <w:rPr>
          <w:rFonts w:asciiTheme="minorHAnsi" w:hAnsiTheme="minorHAnsi" w:cs="Arial"/>
        </w:rPr>
        <w:t>'</w:t>
      </w:r>
      <w:r w:rsidRPr="007E2EB3">
        <w:rPr>
          <w:rFonts w:asciiTheme="minorHAnsi" w:hAnsiTheme="minorHAnsi" w:cs="Arial"/>
        </w:rPr>
        <w:t>offre la transformation numérique.</w:t>
      </w:r>
    </w:p>
    <w:p w14:paraId="00C7FEB2" w14:textId="77777777" w:rsidR="009059DE" w:rsidRPr="007E2EB3" w:rsidRDefault="009059DE" w:rsidP="00E90097">
      <w:pPr>
        <w:pStyle w:val="Headingb"/>
      </w:pPr>
      <w:r w:rsidRPr="007E2EB3">
        <w:t>Conclusion</w:t>
      </w:r>
    </w:p>
    <w:p w14:paraId="1382A1A6" w14:textId="216991C8" w:rsidR="00C62EE2" w:rsidRPr="007E2EB3" w:rsidRDefault="009059DE" w:rsidP="009059DE">
      <w:pPr>
        <w:snapToGrid w:val="0"/>
        <w:spacing w:after="120"/>
        <w:rPr>
          <w:rFonts w:asciiTheme="minorHAnsi" w:hAnsiTheme="minorHAnsi" w:cs="Arial"/>
        </w:rPr>
      </w:pPr>
      <w:r w:rsidRPr="007E2EB3">
        <w:rPr>
          <w:rFonts w:asciiTheme="minorHAnsi" w:hAnsiTheme="minorHAnsi" w:cs="Arial"/>
        </w:rPr>
        <w:t xml:space="preserve">Dans leur </w:t>
      </w:r>
      <w:r w:rsidR="00302F1D" w:rsidRPr="007E2EB3">
        <w:rPr>
          <w:rFonts w:asciiTheme="minorHAnsi" w:hAnsiTheme="minorHAnsi" w:cs="Arial"/>
        </w:rPr>
        <w:t>déclaration, les ministres du G</w:t>
      </w:r>
      <w:r w:rsidRPr="007E2EB3">
        <w:rPr>
          <w:rFonts w:asciiTheme="minorHAnsi" w:hAnsiTheme="minorHAnsi" w:cs="Arial"/>
        </w:rPr>
        <w:t>2</w:t>
      </w:r>
      <w:r w:rsidR="00302F1D" w:rsidRPr="007E2EB3">
        <w:rPr>
          <w:rFonts w:asciiTheme="minorHAnsi" w:hAnsiTheme="minorHAnsi" w:cs="Arial"/>
        </w:rPr>
        <w:t>0</w:t>
      </w:r>
      <w:r w:rsidRPr="007E2EB3">
        <w:rPr>
          <w:rFonts w:asciiTheme="minorHAnsi" w:hAnsiTheme="minorHAnsi" w:cs="Arial"/>
        </w:rPr>
        <w:t xml:space="preserve"> ont réaffirmé leur engagement en faveur d</w:t>
      </w:r>
      <w:r w:rsidR="00E90097" w:rsidRPr="007E2EB3">
        <w:rPr>
          <w:rFonts w:asciiTheme="minorHAnsi" w:hAnsiTheme="minorHAnsi" w:cs="Arial"/>
        </w:rPr>
        <w:t>'</w:t>
      </w:r>
      <w:r w:rsidRPr="007E2EB3">
        <w:rPr>
          <w:rFonts w:asciiTheme="minorHAnsi" w:hAnsiTheme="minorHAnsi" w:cs="Arial"/>
        </w:rPr>
        <w:t>une approche multipartite de la gouvernance de l</w:t>
      </w:r>
      <w:r w:rsidR="00E90097" w:rsidRPr="007E2EB3">
        <w:rPr>
          <w:rFonts w:asciiTheme="minorHAnsi" w:hAnsiTheme="minorHAnsi" w:cs="Arial"/>
        </w:rPr>
        <w:t>'</w:t>
      </w:r>
      <w:r w:rsidRPr="007E2EB3">
        <w:rPr>
          <w:rFonts w:asciiTheme="minorHAnsi" w:hAnsiTheme="minorHAnsi" w:cs="Arial"/>
        </w:rPr>
        <w:t>Internet, avec la participation active, pleine et entière des gouvernements, du secteur privé, de la société civile, de la communauté technique et des organisations internationales, chacun exerçant les rôles et les responsabilités qui lui incombent.</w:t>
      </w:r>
    </w:p>
    <w:p w14:paraId="6C6CCD33" w14:textId="637D6A05" w:rsidR="009059DE" w:rsidRPr="007E2EB3" w:rsidRDefault="009059DE" w:rsidP="00AE5FEE">
      <w:pPr>
        <w:snapToGrid w:val="0"/>
        <w:spacing w:after="120"/>
        <w:rPr>
          <w:rFonts w:asciiTheme="minorHAnsi" w:hAnsiTheme="minorHAnsi" w:cs="Arial"/>
        </w:rPr>
      </w:pPr>
      <w:r w:rsidRPr="007E2EB3">
        <w:rPr>
          <w:rFonts w:asciiTheme="minorHAnsi" w:hAnsiTheme="minorHAnsi" w:cs="Arial"/>
        </w:rPr>
        <w:t>L</w:t>
      </w:r>
      <w:r w:rsidR="00E90097" w:rsidRPr="007E2EB3">
        <w:rPr>
          <w:rFonts w:asciiTheme="minorHAnsi" w:hAnsiTheme="minorHAnsi" w:cs="Arial"/>
        </w:rPr>
        <w:t>'</w:t>
      </w:r>
      <w:r w:rsidRPr="007E2EB3">
        <w:rPr>
          <w:rFonts w:asciiTheme="minorHAnsi" w:hAnsiTheme="minorHAnsi" w:cs="Arial"/>
        </w:rPr>
        <w:t>Allemagne invite l</w:t>
      </w:r>
      <w:r w:rsidR="00E90097" w:rsidRPr="007E2EB3">
        <w:rPr>
          <w:rFonts w:asciiTheme="minorHAnsi" w:hAnsiTheme="minorHAnsi" w:cs="Arial"/>
        </w:rPr>
        <w:t>'</w:t>
      </w:r>
      <w:r w:rsidRPr="007E2EB3">
        <w:rPr>
          <w:rFonts w:asciiTheme="minorHAnsi" w:hAnsiTheme="minorHAnsi" w:cs="Arial"/>
        </w:rPr>
        <w:t xml:space="preserve">UIT à </w:t>
      </w:r>
      <w:r w:rsidR="00AE5FEE" w:rsidRPr="007E2EB3">
        <w:rPr>
          <w:rFonts w:asciiTheme="minorHAnsi" w:hAnsiTheme="minorHAnsi" w:cs="Arial"/>
        </w:rPr>
        <w:t>tenir</w:t>
      </w:r>
      <w:r w:rsidRPr="007E2EB3">
        <w:rPr>
          <w:rFonts w:asciiTheme="minorHAnsi" w:hAnsiTheme="minorHAnsi" w:cs="Arial"/>
        </w:rPr>
        <w:t xml:space="preserve"> dûment compte de </w:t>
      </w:r>
      <w:r w:rsidR="00AE5FEE" w:rsidRPr="007E2EB3">
        <w:rPr>
          <w:rFonts w:asciiTheme="minorHAnsi" w:hAnsiTheme="minorHAnsi" w:cs="Arial"/>
        </w:rPr>
        <w:t>la feuille de route lors de l</w:t>
      </w:r>
      <w:r w:rsidR="00E90097" w:rsidRPr="007E2EB3">
        <w:rPr>
          <w:rFonts w:asciiTheme="minorHAnsi" w:hAnsiTheme="minorHAnsi" w:cs="Arial"/>
        </w:rPr>
        <w:t>'</w:t>
      </w:r>
      <w:r w:rsidR="00AE5FEE" w:rsidRPr="007E2EB3">
        <w:rPr>
          <w:rFonts w:asciiTheme="minorHAnsi" w:hAnsiTheme="minorHAnsi" w:cs="Arial"/>
        </w:rPr>
        <w:t xml:space="preserve">établissement du Plan stratégique, </w:t>
      </w:r>
      <w:r w:rsidR="007871F0" w:rsidRPr="007E2EB3">
        <w:rPr>
          <w:rFonts w:asciiTheme="minorHAnsi" w:hAnsiTheme="minorHAnsi" w:cs="Arial"/>
        </w:rPr>
        <w:t xml:space="preserve">en application et </w:t>
      </w:r>
      <w:r w:rsidR="00AE5FEE" w:rsidRPr="007E2EB3">
        <w:rPr>
          <w:rFonts w:asciiTheme="minorHAnsi" w:hAnsiTheme="minorHAnsi" w:cs="Arial"/>
        </w:rPr>
        <w:t>dans le plein respect du mandat de l</w:t>
      </w:r>
      <w:r w:rsidR="00E90097" w:rsidRPr="007E2EB3">
        <w:rPr>
          <w:rFonts w:asciiTheme="minorHAnsi" w:hAnsiTheme="minorHAnsi" w:cs="Arial"/>
        </w:rPr>
        <w:t>'</w:t>
      </w:r>
      <w:r w:rsidR="00AE5FEE" w:rsidRPr="007E2EB3">
        <w:rPr>
          <w:rFonts w:asciiTheme="minorHAnsi" w:hAnsiTheme="minorHAnsi" w:cs="Arial"/>
        </w:rPr>
        <w:t>Union.</w:t>
      </w:r>
    </w:p>
    <w:p w14:paraId="2F83BDDF" w14:textId="1FA3D8A4" w:rsidR="00351EB4" w:rsidRPr="007E2EB3" w:rsidRDefault="00F62BEB" w:rsidP="00EC27B9">
      <w:pPr>
        <w:spacing w:before="1680"/>
      </w:pPr>
      <w:bookmarkStart w:id="16" w:name="lt_pId057"/>
      <w:r w:rsidRPr="007E2EB3">
        <w:rPr>
          <w:b/>
          <w:bCs/>
        </w:rPr>
        <w:t>Annex</w:t>
      </w:r>
      <w:r w:rsidR="00302F1D" w:rsidRPr="007E2EB3">
        <w:rPr>
          <w:b/>
          <w:bCs/>
        </w:rPr>
        <w:t>e</w:t>
      </w:r>
      <w:r w:rsidRPr="007E2EB3">
        <w:t>:</w:t>
      </w:r>
      <w:bookmarkEnd w:id="16"/>
      <w:r w:rsidRPr="007E2EB3">
        <w:t xml:space="preserve"> 1</w:t>
      </w:r>
      <w:bookmarkStart w:id="17" w:name="lt_pId059"/>
      <w:r w:rsidR="00351EB4" w:rsidRPr="007E2EB3">
        <w:t xml:space="preserve"> </w:t>
      </w:r>
    </w:p>
    <w:p w14:paraId="5E91FB0F" w14:textId="77777777" w:rsidR="00351EB4" w:rsidRPr="007E2EB3" w:rsidRDefault="00351E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8"/>
          <w:szCs w:val="28"/>
        </w:rPr>
      </w:pPr>
      <w:r w:rsidRPr="007E2EB3">
        <w:rPr>
          <w:rFonts w:asciiTheme="minorHAnsi" w:hAnsiTheme="minorHAnsi" w:cs="Arial"/>
          <w:sz w:val="28"/>
          <w:szCs w:val="28"/>
        </w:rPr>
        <w:br w:type="page"/>
      </w:r>
    </w:p>
    <w:p w14:paraId="4A536578" w14:textId="1FF716E4" w:rsidR="00351EB4" w:rsidRPr="007E2EB3" w:rsidRDefault="00351EB4" w:rsidP="00827901">
      <w:pPr>
        <w:pStyle w:val="AnnexNo"/>
      </w:pPr>
      <w:bookmarkStart w:id="18" w:name="Annex"/>
      <w:r w:rsidRPr="007E2EB3">
        <w:lastRenderedPageBreak/>
        <w:t>ANNEX</w:t>
      </w:r>
      <w:bookmarkEnd w:id="17"/>
      <w:r w:rsidRPr="007E2EB3">
        <w:t>E</w:t>
      </w:r>
      <w:bookmarkEnd w:id="18"/>
    </w:p>
    <w:p w14:paraId="7C68969D" w14:textId="25ACF34F" w:rsidR="00351EB4" w:rsidRPr="007E2EB3" w:rsidRDefault="00351EB4" w:rsidP="00351EB4">
      <w:pPr>
        <w:snapToGrid w:val="0"/>
        <w:spacing w:before="480" w:after="120"/>
        <w:rPr>
          <w:rFonts w:asciiTheme="minorHAnsi" w:eastAsiaTheme="majorEastAsia" w:hAnsiTheme="minorHAnsi" w:cstheme="majorBidi"/>
          <w:bCs/>
          <w:color w:val="004F80"/>
        </w:rPr>
      </w:pPr>
      <w:bookmarkStart w:id="19" w:name="lt_pId060"/>
      <w:r w:rsidRPr="007E2EB3">
        <w:rPr>
          <w:rFonts w:asciiTheme="minorHAnsi" w:eastAsiaTheme="majorEastAsia" w:hAnsiTheme="minorHAnsi" w:cstheme="majorBidi"/>
          <w:bCs/>
          <w:color w:val="004F80"/>
        </w:rPr>
        <w:t>Düsseldorf, 7 avril 2017</w:t>
      </w:r>
      <w:bookmarkEnd w:id="19"/>
    </w:p>
    <w:p w14:paraId="53670610" w14:textId="44AD8E57" w:rsidR="00351EB4" w:rsidRPr="007E2EB3" w:rsidRDefault="00351EB4" w:rsidP="00827901">
      <w:pPr>
        <w:snapToGrid w:val="0"/>
        <w:spacing w:before="360" w:after="120"/>
        <w:rPr>
          <w:rFonts w:asciiTheme="minorHAnsi" w:eastAsiaTheme="majorEastAsia" w:hAnsiTheme="minorHAnsi" w:cstheme="majorBidi"/>
          <w:bCs/>
          <w:color w:val="004F80"/>
          <w:sz w:val="36"/>
          <w:szCs w:val="36"/>
        </w:rPr>
      </w:pPr>
      <w:r w:rsidRPr="007E2EB3">
        <w:rPr>
          <w:rFonts w:asciiTheme="minorHAnsi" w:eastAsiaTheme="majorEastAsia" w:hAnsiTheme="minorHAnsi" w:cstheme="majorBidi"/>
          <w:bCs/>
          <w:color w:val="004F80"/>
          <w:sz w:val="36"/>
          <w:szCs w:val="36"/>
        </w:rPr>
        <w:t xml:space="preserve">Feuille de route pour la numérisation: </w:t>
      </w:r>
      <w:r w:rsidR="00827901" w:rsidRPr="007E2EB3">
        <w:rPr>
          <w:rFonts w:asciiTheme="minorHAnsi" w:eastAsiaTheme="majorEastAsia" w:hAnsiTheme="minorHAnsi" w:cstheme="majorBidi"/>
          <w:bCs/>
          <w:color w:val="004F80"/>
          <w:sz w:val="36"/>
          <w:szCs w:val="36"/>
        </w:rPr>
        <w:br/>
      </w:r>
      <w:r w:rsidRPr="007E2EB3">
        <w:rPr>
          <w:rFonts w:asciiTheme="minorHAnsi" w:eastAsiaTheme="majorEastAsia" w:hAnsiTheme="minorHAnsi" w:cstheme="majorBidi"/>
          <w:bCs/>
          <w:color w:val="004F80"/>
          <w:sz w:val="36"/>
          <w:szCs w:val="36"/>
        </w:rPr>
        <w:t>Des politiques pour un avenir numérique</w:t>
      </w:r>
    </w:p>
    <w:p w14:paraId="3260658F" w14:textId="40331A6F" w:rsidR="00351EB4" w:rsidRPr="007E2EB3" w:rsidRDefault="00351EB4" w:rsidP="00351EB4">
      <w:pPr>
        <w:snapToGrid w:val="0"/>
        <w:spacing w:before="240" w:after="120"/>
        <w:rPr>
          <w:rFonts w:asciiTheme="minorHAnsi" w:eastAsiaTheme="majorEastAsia" w:hAnsiTheme="minorHAnsi" w:cstheme="majorBidi"/>
          <w:bCs/>
          <w:color w:val="1F497D" w:themeColor="text2"/>
          <w:sz w:val="28"/>
          <w:szCs w:val="28"/>
        </w:rPr>
      </w:pPr>
      <w:bookmarkStart w:id="20" w:name="lt_pId063"/>
      <w:r w:rsidRPr="007E2EB3">
        <w:rPr>
          <w:rFonts w:asciiTheme="minorHAnsi" w:eastAsiaTheme="majorEastAsia" w:hAnsiTheme="minorHAnsi" w:cstheme="majorBidi"/>
          <w:bCs/>
          <w:color w:val="1F497D" w:themeColor="text2"/>
          <w:sz w:val="28"/>
          <w:szCs w:val="28"/>
        </w:rPr>
        <w:t>Annexe 1 de la Déclaration finale des ministres chargés de l</w:t>
      </w:r>
      <w:r w:rsidR="00E90097" w:rsidRPr="007E2EB3">
        <w:rPr>
          <w:rFonts w:asciiTheme="minorHAnsi" w:eastAsiaTheme="majorEastAsia" w:hAnsiTheme="minorHAnsi" w:cstheme="majorBidi"/>
          <w:bCs/>
          <w:color w:val="1F497D" w:themeColor="text2"/>
          <w:sz w:val="28"/>
          <w:szCs w:val="28"/>
        </w:rPr>
        <w:t>'</w:t>
      </w:r>
      <w:r w:rsidRPr="007E2EB3">
        <w:rPr>
          <w:rFonts w:asciiTheme="minorHAnsi" w:eastAsiaTheme="majorEastAsia" w:hAnsiTheme="minorHAnsi" w:cstheme="majorBidi"/>
          <w:bCs/>
          <w:color w:val="1F497D" w:themeColor="text2"/>
          <w:sz w:val="28"/>
          <w:szCs w:val="28"/>
        </w:rPr>
        <w:t>économie numérique</w:t>
      </w:r>
      <w:bookmarkEnd w:id="20"/>
    </w:p>
    <w:p w14:paraId="1EA79226" w14:textId="5E880C49" w:rsidR="00351EB4" w:rsidRPr="007E2EB3" w:rsidRDefault="00024BE0" w:rsidP="00E426C4">
      <w:pPr>
        <w:snapToGrid w:val="0"/>
        <w:spacing w:after="120"/>
        <w:rPr>
          <w:rFonts w:asciiTheme="minorHAnsi" w:hAnsiTheme="minorHAnsi"/>
        </w:rPr>
      </w:pPr>
      <w:bookmarkStart w:id="21" w:name="lt_pId064"/>
      <w:r w:rsidRPr="007E2EB3">
        <w:rPr>
          <w:rFonts w:asciiTheme="minorHAnsi" w:hAnsiTheme="minorHAnsi"/>
        </w:rPr>
        <w:t xml:space="preserve">Réunis à Antalya il y a deux ans, les dirigeants du G20 </w:t>
      </w:r>
      <w:bookmarkEnd w:id="21"/>
      <w:r w:rsidRPr="007E2EB3">
        <w:rPr>
          <w:rFonts w:asciiTheme="minorHAnsi" w:hAnsiTheme="minorHAnsi"/>
        </w:rPr>
        <w:t>ont reconnu que nous vivions aujourd</w:t>
      </w:r>
      <w:r w:rsidR="00E90097" w:rsidRPr="007E2EB3">
        <w:rPr>
          <w:rFonts w:asciiTheme="minorHAnsi" w:hAnsiTheme="minorHAnsi"/>
        </w:rPr>
        <w:t>'</w:t>
      </w:r>
      <w:r w:rsidRPr="007E2EB3">
        <w:rPr>
          <w:rFonts w:asciiTheme="minorHAnsi" w:hAnsiTheme="minorHAnsi"/>
        </w:rPr>
        <w:t>hui à l</w:t>
      </w:r>
      <w:r w:rsidR="00E90097" w:rsidRPr="007E2EB3">
        <w:rPr>
          <w:rFonts w:asciiTheme="minorHAnsi" w:hAnsiTheme="minorHAnsi"/>
        </w:rPr>
        <w:t>'</w:t>
      </w:r>
      <w:r w:rsidRPr="007E2EB3">
        <w:rPr>
          <w:rFonts w:asciiTheme="minorHAnsi" w:hAnsiTheme="minorHAnsi"/>
        </w:rPr>
        <w:t>ère du numérique et qu</w:t>
      </w:r>
      <w:r w:rsidR="00E90097" w:rsidRPr="007E2EB3">
        <w:rPr>
          <w:rFonts w:asciiTheme="minorHAnsi" w:hAnsiTheme="minorHAnsi"/>
        </w:rPr>
        <w:t>'</w:t>
      </w:r>
      <w:r w:rsidRPr="007E2EB3">
        <w:rPr>
          <w:rFonts w:asciiTheme="minorHAnsi" w:hAnsiTheme="minorHAnsi"/>
        </w:rPr>
        <w:t>une bonne utilisation des technologies numériques était un moteur important du renforcement de l</w:t>
      </w:r>
      <w:r w:rsidR="00E90097" w:rsidRPr="007E2EB3">
        <w:rPr>
          <w:rFonts w:asciiTheme="minorHAnsi" w:hAnsiTheme="minorHAnsi"/>
        </w:rPr>
        <w:t>'</w:t>
      </w:r>
      <w:r w:rsidRPr="007E2EB3">
        <w:rPr>
          <w:rFonts w:asciiTheme="minorHAnsi" w:hAnsiTheme="minorHAnsi"/>
        </w:rPr>
        <w:t>efficacité et de l</w:t>
      </w:r>
      <w:r w:rsidR="00E90097" w:rsidRPr="007E2EB3">
        <w:rPr>
          <w:rFonts w:asciiTheme="minorHAnsi" w:hAnsiTheme="minorHAnsi"/>
        </w:rPr>
        <w:t>'</w:t>
      </w:r>
      <w:r w:rsidRPr="007E2EB3">
        <w:rPr>
          <w:rFonts w:asciiTheme="minorHAnsi" w:hAnsiTheme="minorHAnsi"/>
        </w:rPr>
        <w:t>optimisation structurelle du commerce. En 2016, à Hangzhou, les pays du G20 ont approuvé l</w:t>
      </w:r>
      <w:r w:rsidR="00E90097" w:rsidRPr="007E2EB3">
        <w:rPr>
          <w:rFonts w:asciiTheme="minorHAnsi" w:hAnsiTheme="minorHAnsi"/>
        </w:rPr>
        <w:t>'</w:t>
      </w:r>
      <w:r w:rsidRPr="007E2EB3">
        <w:rPr>
          <w:rFonts w:asciiTheme="minorHAnsi" w:hAnsiTheme="minorHAnsi"/>
        </w:rPr>
        <w:t xml:space="preserve">initiative </w:t>
      </w:r>
      <w:r w:rsidR="004D1C57" w:rsidRPr="007E2EB3">
        <w:rPr>
          <w:rFonts w:asciiTheme="minorHAnsi" w:hAnsiTheme="minorHAnsi"/>
        </w:rPr>
        <w:t>du G20 pour le développement de l</w:t>
      </w:r>
      <w:r w:rsidR="00E90097" w:rsidRPr="007E2EB3">
        <w:rPr>
          <w:rFonts w:asciiTheme="minorHAnsi" w:hAnsiTheme="minorHAnsi"/>
        </w:rPr>
        <w:t>'</w:t>
      </w:r>
      <w:r w:rsidR="004D1C57" w:rsidRPr="007E2EB3">
        <w:rPr>
          <w:rFonts w:asciiTheme="minorHAnsi" w:hAnsiTheme="minorHAnsi"/>
        </w:rPr>
        <w:t>économie numérique et la coopération, qui propose une conception commune du développement de l</w:t>
      </w:r>
      <w:r w:rsidR="00E90097" w:rsidRPr="007E2EB3">
        <w:rPr>
          <w:rFonts w:asciiTheme="minorHAnsi" w:hAnsiTheme="minorHAnsi"/>
        </w:rPr>
        <w:t>'</w:t>
      </w:r>
      <w:r w:rsidR="004D1C57" w:rsidRPr="007E2EB3">
        <w:rPr>
          <w:rFonts w:asciiTheme="minorHAnsi" w:hAnsiTheme="minorHAnsi"/>
        </w:rPr>
        <w:t>économie numérique et de la coopération en la matière, en établit les principes et définit les domaines principaux. Lorsqu</w:t>
      </w:r>
      <w:r w:rsidR="00E90097" w:rsidRPr="007E2EB3">
        <w:rPr>
          <w:rFonts w:asciiTheme="minorHAnsi" w:hAnsiTheme="minorHAnsi"/>
        </w:rPr>
        <w:t>'</w:t>
      </w:r>
      <w:r w:rsidR="004D1C57" w:rsidRPr="007E2EB3">
        <w:rPr>
          <w:rFonts w:asciiTheme="minorHAnsi" w:hAnsiTheme="minorHAnsi"/>
        </w:rPr>
        <w:t>il s</w:t>
      </w:r>
      <w:r w:rsidR="00E90097" w:rsidRPr="007E2EB3">
        <w:rPr>
          <w:rFonts w:asciiTheme="minorHAnsi" w:hAnsiTheme="minorHAnsi"/>
        </w:rPr>
        <w:t>'</w:t>
      </w:r>
      <w:r w:rsidR="004D1C57" w:rsidRPr="007E2EB3">
        <w:rPr>
          <w:rFonts w:asciiTheme="minorHAnsi" w:hAnsiTheme="minorHAnsi"/>
        </w:rPr>
        <w:t>est réuni à Düsseldorf, le groupe spécial du G20 chargé de l</w:t>
      </w:r>
      <w:r w:rsidR="00E90097" w:rsidRPr="007E2EB3">
        <w:rPr>
          <w:rFonts w:asciiTheme="minorHAnsi" w:hAnsiTheme="minorHAnsi"/>
        </w:rPr>
        <w:t>'</w:t>
      </w:r>
      <w:r w:rsidR="004D1C57" w:rsidRPr="007E2EB3">
        <w:rPr>
          <w:rFonts w:asciiTheme="minorHAnsi" w:hAnsiTheme="minorHAnsi"/>
        </w:rPr>
        <w:t xml:space="preserve">économie numérique a </w:t>
      </w:r>
      <w:r w:rsidR="00C821A8" w:rsidRPr="007E2EB3">
        <w:rPr>
          <w:rFonts w:asciiTheme="minorHAnsi" w:hAnsiTheme="minorHAnsi"/>
        </w:rPr>
        <w:t>approfondi le Programme du G20 pour la croissance et l</w:t>
      </w:r>
      <w:r w:rsidR="00E90097" w:rsidRPr="007E2EB3">
        <w:rPr>
          <w:rFonts w:asciiTheme="minorHAnsi" w:hAnsiTheme="minorHAnsi"/>
        </w:rPr>
        <w:t>'</w:t>
      </w:r>
      <w:r w:rsidR="00C821A8" w:rsidRPr="007E2EB3">
        <w:rPr>
          <w:rFonts w:asciiTheme="minorHAnsi" w:hAnsiTheme="minorHAnsi"/>
        </w:rPr>
        <w:t>innovation. Les ministres chargés de l</w:t>
      </w:r>
      <w:r w:rsidR="00E90097" w:rsidRPr="007E2EB3">
        <w:rPr>
          <w:rFonts w:asciiTheme="minorHAnsi" w:hAnsiTheme="minorHAnsi"/>
        </w:rPr>
        <w:t>'</w:t>
      </w:r>
      <w:r w:rsidR="00C821A8" w:rsidRPr="007E2EB3">
        <w:rPr>
          <w:rFonts w:asciiTheme="minorHAnsi" w:hAnsiTheme="minorHAnsi"/>
        </w:rPr>
        <w:t>économie numérique ont accueilli favorablement ce programme de travail pour les activités du G20 en matière de numérisation et l</w:t>
      </w:r>
      <w:r w:rsidR="00E90097" w:rsidRPr="007E2EB3">
        <w:rPr>
          <w:rFonts w:asciiTheme="minorHAnsi" w:hAnsiTheme="minorHAnsi"/>
        </w:rPr>
        <w:t>'</w:t>
      </w:r>
      <w:r w:rsidR="00C821A8" w:rsidRPr="007E2EB3">
        <w:rPr>
          <w:rFonts w:asciiTheme="minorHAnsi" w:hAnsiTheme="minorHAnsi"/>
        </w:rPr>
        <w:t>ont examiné. La Feuille de route pour la numérisation: Des politiques pour un avenir numérique se fonde sur les travaux précieux qui ont déjà été réalisés et traite des domaines jugés essentiels par les pays du G20. Une étude de l</w:t>
      </w:r>
      <w:r w:rsidR="00E90097" w:rsidRPr="007E2EB3">
        <w:rPr>
          <w:rFonts w:asciiTheme="minorHAnsi" w:hAnsiTheme="minorHAnsi"/>
        </w:rPr>
        <w:t>'</w:t>
      </w:r>
      <w:r w:rsidR="00E426C4" w:rsidRPr="007E2EB3">
        <w:rPr>
          <w:rFonts w:asciiTheme="minorHAnsi" w:hAnsiTheme="minorHAnsi"/>
        </w:rPr>
        <w:t>OCDE intitulée "</w:t>
      </w:r>
      <w:r w:rsidR="00C821A8" w:rsidRPr="007E2EB3">
        <w:rPr>
          <w:rFonts w:asciiTheme="minorHAnsi" w:hAnsiTheme="minorHAnsi"/>
        </w:rPr>
        <w:t>Key Issues In Digit</w:t>
      </w:r>
      <w:r w:rsidR="00895D44" w:rsidRPr="007E2EB3">
        <w:rPr>
          <w:rFonts w:asciiTheme="minorHAnsi" w:hAnsiTheme="minorHAnsi"/>
        </w:rPr>
        <w:t>al Transformation in the G20</w:t>
      </w:r>
      <w:r w:rsidR="00E426C4" w:rsidRPr="007E2EB3">
        <w:rPr>
          <w:rFonts w:asciiTheme="minorHAnsi" w:hAnsiTheme="minorHAnsi"/>
        </w:rPr>
        <w:t>"</w:t>
      </w:r>
      <w:r w:rsidR="00895D44" w:rsidRPr="007E2EB3">
        <w:rPr>
          <w:rFonts w:asciiTheme="minorHAnsi" w:hAnsiTheme="minorHAnsi"/>
        </w:rPr>
        <w:t xml:space="preserve"> (p</w:t>
      </w:r>
      <w:r w:rsidR="00C821A8" w:rsidRPr="007E2EB3">
        <w:rPr>
          <w:rFonts w:asciiTheme="minorHAnsi" w:hAnsiTheme="minorHAnsi"/>
        </w:rPr>
        <w:t>rincipaux enjeux de la transformation numérique dans les pays du G20) a été présentée lor</w:t>
      </w:r>
      <w:r w:rsidR="007E2EB3">
        <w:rPr>
          <w:rFonts w:asciiTheme="minorHAnsi" w:hAnsiTheme="minorHAnsi"/>
        </w:rPr>
        <w:t>s de la réunion des ministres.</w:t>
      </w:r>
    </w:p>
    <w:p w14:paraId="6011E0DA" w14:textId="1FB70A23" w:rsidR="00F81869" w:rsidRPr="007E2EB3" w:rsidRDefault="00827901" w:rsidP="00D237A1">
      <w:pPr>
        <w:snapToGrid w:val="0"/>
        <w:spacing w:before="360" w:after="120"/>
        <w:ind w:left="567" w:hanging="567"/>
        <w:rPr>
          <w:rFonts w:asciiTheme="minorHAnsi" w:eastAsiaTheme="majorEastAsia" w:hAnsiTheme="minorHAnsi" w:cstheme="majorBidi"/>
          <w:b/>
          <w:bCs/>
          <w:color w:val="004F80"/>
          <w:sz w:val="28"/>
          <w:szCs w:val="28"/>
        </w:rPr>
      </w:pPr>
      <w:bookmarkStart w:id="22" w:name="lt_pId070"/>
      <w:r w:rsidRPr="007E2EB3">
        <w:rPr>
          <w:rFonts w:asciiTheme="minorHAnsi" w:eastAsiaTheme="majorEastAsia" w:hAnsiTheme="minorHAnsi" w:cstheme="majorBidi"/>
          <w:b/>
          <w:bCs/>
          <w:color w:val="004F80"/>
          <w:sz w:val="28"/>
          <w:szCs w:val="28"/>
        </w:rPr>
        <w:t>1</w:t>
      </w:r>
      <w:r w:rsidRPr="007E2EB3">
        <w:rPr>
          <w:rFonts w:asciiTheme="minorHAnsi" w:eastAsiaTheme="majorEastAsia" w:hAnsiTheme="minorHAnsi" w:cstheme="majorBidi"/>
          <w:b/>
          <w:bCs/>
          <w:color w:val="004F80"/>
          <w:sz w:val="28"/>
          <w:szCs w:val="28"/>
        </w:rPr>
        <w:tab/>
      </w:r>
      <w:r w:rsidR="00F81869" w:rsidRPr="007E2EB3">
        <w:rPr>
          <w:rFonts w:asciiTheme="minorHAnsi" w:eastAsiaTheme="majorEastAsia" w:hAnsiTheme="minorHAnsi" w:cstheme="majorBidi"/>
          <w:b/>
          <w:bCs/>
          <w:color w:val="004F80"/>
          <w:sz w:val="28"/>
          <w:szCs w:val="28"/>
        </w:rPr>
        <w:t>Promouvoir l</w:t>
      </w:r>
      <w:r w:rsidR="00E90097" w:rsidRPr="007E2EB3">
        <w:rPr>
          <w:rFonts w:asciiTheme="minorHAnsi" w:eastAsiaTheme="majorEastAsia" w:hAnsiTheme="minorHAnsi" w:cstheme="majorBidi"/>
          <w:b/>
          <w:bCs/>
          <w:color w:val="004F80"/>
          <w:sz w:val="28"/>
          <w:szCs w:val="28"/>
        </w:rPr>
        <w:t>'</w:t>
      </w:r>
      <w:r w:rsidR="00F81869" w:rsidRPr="007E2EB3">
        <w:rPr>
          <w:rFonts w:asciiTheme="minorHAnsi" w:eastAsiaTheme="majorEastAsia" w:hAnsiTheme="minorHAnsi" w:cstheme="majorBidi"/>
          <w:b/>
          <w:bCs/>
          <w:color w:val="004F80"/>
          <w:sz w:val="28"/>
          <w:szCs w:val="28"/>
        </w:rPr>
        <w:t>accès, l</w:t>
      </w:r>
      <w:r w:rsidR="00E90097" w:rsidRPr="007E2EB3">
        <w:rPr>
          <w:rFonts w:asciiTheme="minorHAnsi" w:eastAsiaTheme="majorEastAsia" w:hAnsiTheme="minorHAnsi" w:cstheme="majorBidi"/>
          <w:b/>
          <w:bCs/>
          <w:color w:val="004F80"/>
          <w:sz w:val="28"/>
          <w:szCs w:val="28"/>
        </w:rPr>
        <w:t>'</w:t>
      </w:r>
      <w:r w:rsidR="00F81869" w:rsidRPr="007E2EB3">
        <w:rPr>
          <w:rFonts w:asciiTheme="minorHAnsi" w:eastAsiaTheme="majorEastAsia" w:hAnsiTheme="minorHAnsi" w:cstheme="majorBidi"/>
          <w:b/>
          <w:bCs/>
          <w:color w:val="004F80"/>
          <w:sz w:val="28"/>
          <w:szCs w:val="28"/>
        </w:rPr>
        <w:t>adoption et l</w:t>
      </w:r>
      <w:r w:rsidR="00E90097" w:rsidRPr="007E2EB3">
        <w:rPr>
          <w:rFonts w:asciiTheme="minorHAnsi" w:eastAsiaTheme="majorEastAsia" w:hAnsiTheme="minorHAnsi" w:cstheme="majorBidi"/>
          <w:b/>
          <w:bCs/>
          <w:color w:val="004F80"/>
          <w:sz w:val="28"/>
          <w:szCs w:val="28"/>
        </w:rPr>
        <w:t>'</w:t>
      </w:r>
      <w:r w:rsidR="00F81869" w:rsidRPr="007E2EB3">
        <w:rPr>
          <w:rFonts w:asciiTheme="minorHAnsi" w:eastAsiaTheme="majorEastAsia" w:hAnsiTheme="minorHAnsi" w:cstheme="majorBidi"/>
          <w:b/>
          <w:bCs/>
          <w:color w:val="004F80"/>
          <w:sz w:val="28"/>
          <w:szCs w:val="28"/>
        </w:rPr>
        <w:t>utilisation effective des technologies numériques pour to</w:t>
      </w:r>
      <w:bookmarkEnd w:id="22"/>
      <w:r w:rsidR="00F81869" w:rsidRPr="007E2EB3">
        <w:rPr>
          <w:rFonts w:asciiTheme="minorHAnsi" w:eastAsiaTheme="majorEastAsia" w:hAnsiTheme="minorHAnsi" w:cstheme="majorBidi"/>
          <w:b/>
          <w:bCs/>
          <w:color w:val="004F80"/>
          <w:sz w:val="28"/>
          <w:szCs w:val="28"/>
        </w:rPr>
        <w:t>us, dans le monde entier</w:t>
      </w:r>
      <w:bookmarkStart w:id="23" w:name="lt_pId071"/>
    </w:p>
    <w:bookmarkEnd w:id="23"/>
    <w:p w14:paraId="40C90301" w14:textId="606F7235" w:rsidR="008574B9" w:rsidRPr="007E2EB3" w:rsidRDefault="008574B9" w:rsidP="00D237A1">
      <w:r w:rsidRPr="007E2EB3">
        <w:t>Si la croissance de l</w:t>
      </w:r>
      <w:r w:rsidR="00E90097" w:rsidRPr="007E2EB3">
        <w:t>'</w:t>
      </w:r>
      <w:r w:rsidRPr="007E2EB3">
        <w:t>économie numérique a favorisé l</w:t>
      </w:r>
      <w:r w:rsidR="00E90097" w:rsidRPr="007E2EB3">
        <w:t>'</w:t>
      </w:r>
      <w:r w:rsidRPr="007E2EB3">
        <w:t>expansion et l</w:t>
      </w:r>
      <w:r w:rsidR="00895D44" w:rsidRPr="007E2EB3">
        <w:t xml:space="preserve">a généralisation </w:t>
      </w:r>
      <w:r w:rsidRPr="007E2EB3">
        <w:t xml:space="preserve">rapides des technologies numériques, leur utilisation </w:t>
      </w:r>
      <w:r w:rsidR="00895D44" w:rsidRPr="007E2EB3">
        <w:t xml:space="preserve">et leur adoption </w:t>
      </w:r>
      <w:r w:rsidRPr="007E2EB3">
        <w:t>varie</w:t>
      </w:r>
      <w:r w:rsidR="00895D44" w:rsidRPr="007E2EB3">
        <w:t>nt</w:t>
      </w:r>
      <w:r w:rsidRPr="007E2EB3">
        <w:t xml:space="preserve"> selon les pays du G20</w:t>
      </w:r>
      <w:r w:rsidR="00895D44" w:rsidRPr="007E2EB3">
        <w:t>,</w:t>
      </w:r>
      <w:r w:rsidRPr="007E2EB3">
        <w:t xml:space="preserve"> en fonction des catégories de population, du niveau de développement économique, des secteurs et de la taille des entreprises.</w:t>
      </w:r>
    </w:p>
    <w:p w14:paraId="4B2C9FFA" w14:textId="3DE8B46C" w:rsidR="00F81869" w:rsidRPr="007E2EB3" w:rsidRDefault="00065A49" w:rsidP="00730DF8">
      <w:bookmarkStart w:id="24" w:name="lt_pId072"/>
      <w:r w:rsidRPr="007E2EB3">
        <w:t>Les ministres du G20 chargés de l</w:t>
      </w:r>
      <w:r w:rsidR="00E90097" w:rsidRPr="007E2EB3">
        <w:t>'</w:t>
      </w:r>
      <w:r w:rsidRPr="007E2EB3">
        <w:t xml:space="preserve">économie numérique </w:t>
      </w:r>
      <w:r w:rsidR="00DD280D" w:rsidRPr="007E2EB3">
        <w:t>ont l</w:t>
      </w:r>
      <w:r w:rsidR="00E90097" w:rsidRPr="007E2EB3">
        <w:t>'</w:t>
      </w:r>
      <w:r w:rsidR="00DD280D" w:rsidRPr="007E2EB3">
        <w:t>intention</w:t>
      </w:r>
      <w:r w:rsidRPr="007E2EB3">
        <w:t xml:space="preserve">: </w:t>
      </w:r>
      <w:bookmarkEnd w:id="24"/>
    </w:p>
    <w:p w14:paraId="0FFD2425" w14:textId="4C0C9F0E" w:rsidR="00F81869" w:rsidRPr="007E2EB3" w:rsidRDefault="00827901" w:rsidP="00827901">
      <w:pPr>
        <w:pStyle w:val="enumlev1"/>
        <w:rPr>
          <w:rFonts w:eastAsiaTheme="majorEastAsia"/>
        </w:rPr>
      </w:pPr>
      <w:bookmarkStart w:id="25" w:name="lt_pId073"/>
      <w:r w:rsidRPr="007E2EB3">
        <w:t>•</w:t>
      </w:r>
      <w:r w:rsidRPr="007E2EB3">
        <w:tab/>
      </w:r>
      <w:r w:rsidR="00895D44" w:rsidRPr="007E2EB3">
        <w:t>D</w:t>
      </w:r>
      <w:r w:rsidR="00E90097" w:rsidRPr="007E2EB3">
        <w:t>'</w:t>
      </w:r>
      <w:r w:rsidR="00895D44" w:rsidRPr="007E2EB3">
        <w:t>é</w:t>
      </w:r>
      <w:r w:rsidR="00A21B8B" w:rsidRPr="007E2EB3">
        <w:t>changer</w:t>
      </w:r>
      <w:r w:rsidR="00065A49" w:rsidRPr="007E2EB3">
        <w:t xml:space="preserve"> des informations et des données d</w:t>
      </w:r>
      <w:r w:rsidR="00E90097" w:rsidRPr="007E2EB3">
        <w:t>'</w:t>
      </w:r>
      <w:r w:rsidR="00065A49" w:rsidRPr="007E2EB3">
        <w:t>expéri</w:t>
      </w:r>
      <w:r w:rsidR="00895D44" w:rsidRPr="007E2EB3">
        <w:t>ence pour favoriser un meilleur</w:t>
      </w:r>
      <w:r w:rsidR="00065A49" w:rsidRPr="007E2EB3">
        <w:t xml:space="preserve"> accès, une adoption plus large et une utilisation plus efficace des technologies numériques, notamment des technologies émergentes pour les nouveaux services et applications de télécommunication, dans le but de stimuler le développement de l</w:t>
      </w:r>
      <w:r w:rsidR="00E90097" w:rsidRPr="007E2EB3">
        <w:t>'</w:t>
      </w:r>
      <w:r w:rsidR="00065A49" w:rsidRPr="007E2EB3">
        <w:t>économie numérique et de promouvoir l</w:t>
      </w:r>
      <w:r w:rsidR="00E90097" w:rsidRPr="007E2EB3">
        <w:t>'</w:t>
      </w:r>
      <w:r w:rsidR="00065A49" w:rsidRPr="007E2EB3">
        <w:t xml:space="preserve">inclusion numérique des groupes </w:t>
      </w:r>
      <w:r w:rsidR="00A21B8B" w:rsidRPr="007E2EB3">
        <w:t>défavorisés</w:t>
      </w:r>
      <w:r w:rsidR="00895D44" w:rsidRPr="007E2EB3">
        <w:t xml:space="preserve"> ou</w:t>
      </w:r>
      <w:r w:rsidR="00A21B8B" w:rsidRPr="007E2EB3">
        <w:t xml:space="preserve"> sous-représentés.</w:t>
      </w:r>
      <w:bookmarkEnd w:id="25"/>
      <w:r w:rsidR="00A21B8B" w:rsidRPr="007E2EB3">
        <w:rPr>
          <w:rFonts w:eastAsiaTheme="majorEastAsia" w:cstheme="majorBidi"/>
          <w:b/>
          <w:bCs/>
          <w:color w:val="004F80"/>
          <w:sz w:val="28"/>
          <w:szCs w:val="28"/>
        </w:rPr>
        <w:t xml:space="preserve"> </w:t>
      </w:r>
    </w:p>
    <w:p w14:paraId="707D40CB" w14:textId="6DDA7042" w:rsidR="00F544E6" w:rsidRPr="007E2EB3" w:rsidRDefault="00827901" w:rsidP="00827901">
      <w:pPr>
        <w:pStyle w:val="enumlev1"/>
        <w:rPr>
          <w:rFonts w:eastAsiaTheme="majorEastAsia"/>
        </w:rPr>
      </w:pPr>
      <w:r w:rsidRPr="007E2EB3">
        <w:t>•</w:t>
      </w:r>
      <w:r w:rsidRPr="007E2EB3">
        <w:tab/>
      </w:r>
      <w:r w:rsidR="00895D44" w:rsidRPr="007E2EB3">
        <w:t>D</w:t>
      </w:r>
      <w:r w:rsidR="00E90097" w:rsidRPr="007E2EB3">
        <w:t>'</w:t>
      </w:r>
      <w:r w:rsidR="00895D44" w:rsidRPr="007E2EB3">
        <w:t>é</w:t>
      </w:r>
      <w:r w:rsidR="00F544E6" w:rsidRPr="007E2EB3">
        <w:t>changer des informations et des données d</w:t>
      </w:r>
      <w:r w:rsidR="00E90097" w:rsidRPr="007E2EB3">
        <w:t>'</w:t>
      </w:r>
      <w:r w:rsidR="00F544E6" w:rsidRPr="007E2EB3">
        <w:t>expérience pour recenser les bonnes pratiques en matière de stratégie</w:t>
      </w:r>
      <w:r w:rsidR="00394364" w:rsidRPr="007E2EB3">
        <w:t>s</w:t>
      </w:r>
      <w:r w:rsidR="00F544E6" w:rsidRPr="007E2EB3">
        <w:t xml:space="preserve"> numérique</w:t>
      </w:r>
      <w:r w:rsidR="00394364" w:rsidRPr="007E2EB3">
        <w:t>s</w:t>
      </w:r>
      <w:r w:rsidR="00F544E6" w:rsidRPr="007E2EB3">
        <w:t xml:space="preserve"> et tirer des enseignements des problèmes de mise en </w:t>
      </w:r>
      <w:proofErr w:type="spellStart"/>
      <w:r w:rsidR="00E426C4" w:rsidRPr="007E2EB3">
        <w:t>oe</w:t>
      </w:r>
      <w:r w:rsidR="00F544E6" w:rsidRPr="007E2EB3">
        <w:t>uvre</w:t>
      </w:r>
      <w:proofErr w:type="spellEnd"/>
      <w:r w:rsidR="00F544E6" w:rsidRPr="007E2EB3">
        <w:t xml:space="preserve"> et des résultats obtenus à cet égard. </w:t>
      </w:r>
    </w:p>
    <w:p w14:paraId="653291ED" w14:textId="03D9192E" w:rsidR="00F544E6" w:rsidRPr="007E2EB3" w:rsidRDefault="00827901" w:rsidP="00394364">
      <w:pPr>
        <w:pStyle w:val="enumlev1"/>
        <w:rPr>
          <w:rFonts w:eastAsiaTheme="majorEastAsia"/>
        </w:rPr>
      </w:pPr>
      <w:r w:rsidRPr="007E2EB3">
        <w:t>•</w:t>
      </w:r>
      <w:r w:rsidRPr="007E2EB3">
        <w:tab/>
      </w:r>
      <w:r w:rsidR="00F544E6" w:rsidRPr="007E2EB3">
        <w:t>D</w:t>
      </w:r>
      <w:r w:rsidR="00895D44" w:rsidRPr="007E2EB3">
        <w:t>e d</w:t>
      </w:r>
      <w:r w:rsidR="00F544E6" w:rsidRPr="007E2EB3">
        <w:t>ébattre des solutions permettant d</w:t>
      </w:r>
      <w:r w:rsidR="00E90097" w:rsidRPr="007E2EB3">
        <w:t>'</w:t>
      </w:r>
      <w:r w:rsidR="00F544E6" w:rsidRPr="007E2EB3">
        <w:t xml:space="preserve">utiliser les technologies numériques pour </w:t>
      </w:r>
      <w:r w:rsidR="00B1166C" w:rsidRPr="007E2EB3">
        <w:t xml:space="preserve">réduire </w:t>
      </w:r>
      <w:r w:rsidR="00F544E6" w:rsidRPr="007E2EB3">
        <w:t xml:space="preserve">les écarts </w:t>
      </w:r>
      <w:r w:rsidR="00394364" w:rsidRPr="007E2EB3">
        <w:t>de richesse</w:t>
      </w:r>
      <w:r w:rsidR="00F544E6" w:rsidRPr="007E2EB3">
        <w:t xml:space="preserve"> </w:t>
      </w:r>
      <w:r w:rsidR="00B1166C" w:rsidRPr="007E2EB3">
        <w:t>et les disparités de revenus.</w:t>
      </w:r>
    </w:p>
    <w:p w14:paraId="192564E9" w14:textId="74CED5F5" w:rsidR="00B1166C" w:rsidRPr="007E2EB3" w:rsidRDefault="00827901" w:rsidP="00827901">
      <w:pPr>
        <w:pStyle w:val="enumlev1"/>
        <w:rPr>
          <w:rFonts w:eastAsiaTheme="majorEastAsia"/>
        </w:rPr>
      </w:pPr>
      <w:r w:rsidRPr="007E2EB3">
        <w:lastRenderedPageBreak/>
        <w:t>•</w:t>
      </w:r>
      <w:r w:rsidRPr="007E2EB3">
        <w:tab/>
      </w:r>
      <w:r w:rsidR="00895D44" w:rsidRPr="007E2EB3">
        <w:t>D</w:t>
      </w:r>
      <w:r w:rsidR="00E90097" w:rsidRPr="007E2EB3">
        <w:t>'</w:t>
      </w:r>
      <w:r w:rsidR="00895D44" w:rsidRPr="007E2EB3">
        <w:t>e</w:t>
      </w:r>
      <w:r w:rsidR="00B1166C" w:rsidRPr="007E2EB3">
        <w:t xml:space="preserve">ncourager les pays du G20 à élaborer des stratégies numériques qui concourent aux objectifs du Programme </w:t>
      </w:r>
      <w:proofErr w:type="spellStart"/>
      <w:r w:rsidR="00B1166C" w:rsidRPr="007E2EB3">
        <w:t>Connect</w:t>
      </w:r>
      <w:proofErr w:type="spellEnd"/>
      <w:r w:rsidR="00B1166C" w:rsidRPr="007E2EB3">
        <w:t xml:space="preserve"> 2020 et à s</w:t>
      </w:r>
      <w:r w:rsidR="00E90097" w:rsidRPr="007E2EB3">
        <w:t>'</w:t>
      </w:r>
      <w:r w:rsidR="00B1166C" w:rsidRPr="007E2EB3">
        <w:t>efforcer de fournir une connectivité à tous les habitants de leur territoire d</w:t>
      </w:r>
      <w:r w:rsidR="00E90097" w:rsidRPr="007E2EB3">
        <w:t>'</w:t>
      </w:r>
      <w:r w:rsidR="00B1166C" w:rsidRPr="007E2EB3">
        <w:t>ici à 2025.</w:t>
      </w:r>
    </w:p>
    <w:p w14:paraId="7C866331" w14:textId="1603C60B" w:rsidR="00B1166C" w:rsidRPr="007E2EB3" w:rsidRDefault="00827901" w:rsidP="00827901">
      <w:pPr>
        <w:pStyle w:val="enumlev1"/>
        <w:rPr>
          <w:rFonts w:eastAsiaTheme="majorEastAsia"/>
        </w:rPr>
      </w:pPr>
      <w:r w:rsidRPr="007E2EB3">
        <w:t>•</w:t>
      </w:r>
      <w:r w:rsidRPr="007E2EB3">
        <w:tab/>
      </w:r>
      <w:r w:rsidR="00895D44" w:rsidRPr="007E2EB3">
        <w:t>D</w:t>
      </w:r>
      <w:r w:rsidR="00E90097" w:rsidRPr="007E2EB3">
        <w:t>'</w:t>
      </w:r>
      <w:r w:rsidR="00895D44" w:rsidRPr="007E2EB3">
        <w:t>e</w:t>
      </w:r>
      <w:r w:rsidR="00B1166C" w:rsidRPr="007E2EB3">
        <w:t>ncourager les pays du G20 à favoriser la création, le développement et l</w:t>
      </w:r>
      <w:r w:rsidR="00E90097" w:rsidRPr="007E2EB3">
        <w:t>'</w:t>
      </w:r>
      <w:r w:rsidR="00B1166C" w:rsidRPr="007E2EB3">
        <w:t xml:space="preserve">adoption de différents </w:t>
      </w:r>
      <w:r w:rsidR="00895D44" w:rsidRPr="007E2EB3">
        <w:t>modèles d</w:t>
      </w:r>
      <w:r w:rsidR="00E90097" w:rsidRPr="007E2EB3">
        <w:t>'</w:t>
      </w:r>
      <w:r w:rsidR="00895D44" w:rsidRPr="007E2EB3">
        <w:t>affaires de</w:t>
      </w:r>
      <w:r w:rsidR="00B1166C" w:rsidRPr="007E2EB3">
        <w:t xml:space="preserve"> l</w:t>
      </w:r>
      <w:r w:rsidR="00E90097" w:rsidRPr="007E2EB3">
        <w:t>'</w:t>
      </w:r>
      <w:r w:rsidR="00B1166C" w:rsidRPr="007E2EB3">
        <w:t>économie numérique</w:t>
      </w:r>
      <w:r w:rsidR="006F6625" w:rsidRPr="007E2EB3">
        <w:t xml:space="preserve"> qui pourront servir d</w:t>
      </w:r>
      <w:r w:rsidR="00E90097" w:rsidRPr="007E2EB3">
        <w:t>'</w:t>
      </w:r>
      <w:r w:rsidR="006F6625" w:rsidRPr="007E2EB3">
        <w:t>outils pour promouvoir l</w:t>
      </w:r>
      <w:r w:rsidR="00E90097" w:rsidRPr="007E2EB3">
        <w:t>'</w:t>
      </w:r>
      <w:r w:rsidR="006F6625" w:rsidRPr="007E2EB3">
        <w:t>économie de partage, la numérisation de la main d</w:t>
      </w:r>
      <w:r w:rsidR="00E90097" w:rsidRPr="007E2EB3">
        <w:t>'</w:t>
      </w:r>
      <w:proofErr w:type="spellStart"/>
      <w:r w:rsidR="00E426C4" w:rsidRPr="007E2EB3">
        <w:t>oe</w:t>
      </w:r>
      <w:r w:rsidR="006F6625" w:rsidRPr="007E2EB3">
        <w:t>uvre</w:t>
      </w:r>
      <w:proofErr w:type="spellEnd"/>
      <w:r w:rsidR="006F6625" w:rsidRPr="007E2EB3">
        <w:t xml:space="preserve"> et l</w:t>
      </w:r>
      <w:r w:rsidR="00E90097" w:rsidRPr="007E2EB3">
        <w:t>'</w:t>
      </w:r>
      <w:r w:rsidR="006F6625" w:rsidRPr="007E2EB3">
        <w:t>inclusion financière</w:t>
      </w:r>
      <w:r w:rsidR="00503115" w:rsidRPr="007E2EB3">
        <w:t>, dans la mesure où ils permettent de</w:t>
      </w:r>
      <w:r w:rsidR="006F6625" w:rsidRPr="007E2EB3">
        <w:t xml:space="preserve"> réduire les disparités de richesse et de revenus. </w:t>
      </w:r>
    </w:p>
    <w:p w14:paraId="3909106B" w14:textId="1000FDCC" w:rsidR="006F6625" w:rsidRPr="007E2EB3" w:rsidRDefault="00827901" w:rsidP="00827901">
      <w:pPr>
        <w:keepNext/>
        <w:keepLines/>
        <w:snapToGrid w:val="0"/>
        <w:spacing w:after="240"/>
        <w:rPr>
          <w:rFonts w:asciiTheme="minorHAnsi" w:hAnsiTheme="minorHAnsi"/>
          <w:b/>
          <w:color w:val="04629A"/>
          <w:sz w:val="28"/>
          <w:szCs w:val="28"/>
        </w:rPr>
      </w:pPr>
      <w:r w:rsidRPr="007E2EB3">
        <w:rPr>
          <w:rFonts w:asciiTheme="minorHAnsi" w:hAnsiTheme="minorHAnsi"/>
          <w:b/>
          <w:color w:val="04629A"/>
          <w:sz w:val="28"/>
          <w:szCs w:val="28"/>
        </w:rPr>
        <w:t>2</w:t>
      </w:r>
      <w:r w:rsidRPr="007E2EB3">
        <w:rPr>
          <w:rFonts w:asciiTheme="minorHAnsi" w:hAnsiTheme="minorHAnsi"/>
          <w:b/>
          <w:color w:val="04629A"/>
          <w:sz w:val="28"/>
          <w:szCs w:val="28"/>
        </w:rPr>
        <w:tab/>
        <w:t>E</w:t>
      </w:r>
      <w:r w:rsidR="006F6625" w:rsidRPr="007E2EB3">
        <w:rPr>
          <w:rFonts w:asciiTheme="minorHAnsi" w:hAnsiTheme="minorHAnsi"/>
          <w:b/>
          <w:color w:val="04629A"/>
          <w:sz w:val="28"/>
          <w:szCs w:val="28"/>
        </w:rPr>
        <w:t>tendre l</w:t>
      </w:r>
      <w:r w:rsidR="00E90097" w:rsidRPr="007E2EB3">
        <w:rPr>
          <w:rFonts w:asciiTheme="minorHAnsi" w:hAnsiTheme="minorHAnsi"/>
          <w:b/>
          <w:color w:val="04629A"/>
          <w:sz w:val="28"/>
          <w:szCs w:val="28"/>
        </w:rPr>
        <w:t>'</w:t>
      </w:r>
      <w:r w:rsidR="006F6625" w:rsidRPr="007E2EB3">
        <w:rPr>
          <w:rFonts w:asciiTheme="minorHAnsi" w:hAnsiTheme="minorHAnsi"/>
          <w:b/>
          <w:color w:val="04629A"/>
          <w:sz w:val="28"/>
          <w:szCs w:val="28"/>
        </w:rPr>
        <w:t>infrastructure numérique</w:t>
      </w:r>
    </w:p>
    <w:p w14:paraId="03DE0921" w14:textId="1B062AF7" w:rsidR="006F6625" w:rsidRPr="007E2EB3" w:rsidRDefault="006F6625" w:rsidP="00D237A1">
      <w:bookmarkStart w:id="26" w:name="lt_pId079"/>
      <w:r w:rsidRPr="007E2EB3">
        <w:t>Les pays du G20 font la promotion d</w:t>
      </w:r>
      <w:r w:rsidR="00E90097" w:rsidRPr="007E2EB3">
        <w:t>'</w:t>
      </w:r>
      <w:r w:rsidRPr="007E2EB3">
        <w:t>investissements continus en faveur du développement d</w:t>
      </w:r>
      <w:r w:rsidR="00E90097" w:rsidRPr="007E2EB3">
        <w:t>'</w:t>
      </w:r>
      <w:r w:rsidR="007E2EB3">
        <w:t>infrastructures numériques</w:t>
      </w:r>
      <w:r w:rsidRPr="007E2EB3">
        <w:t xml:space="preserve"> afin de répondre à la demande actuelle et à la demande future et de contribuer à réduire </w:t>
      </w:r>
      <w:bookmarkEnd w:id="26"/>
      <w:r w:rsidR="00E345C4" w:rsidRPr="007E2EB3">
        <w:t>la fracture numérique</w:t>
      </w:r>
      <w:r w:rsidRPr="007E2EB3">
        <w:t xml:space="preserve">. </w:t>
      </w:r>
    </w:p>
    <w:p w14:paraId="7810EC56" w14:textId="311FE07B" w:rsidR="006F6625" w:rsidRPr="007E2EB3" w:rsidRDefault="006F6625" w:rsidP="006F6625">
      <w:pPr>
        <w:snapToGrid w:val="0"/>
        <w:spacing w:after="120"/>
        <w:rPr>
          <w:rFonts w:asciiTheme="minorHAnsi" w:hAnsiTheme="minorHAnsi"/>
        </w:rPr>
      </w:pPr>
      <w:bookmarkStart w:id="27" w:name="lt_pId080"/>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w:t>
      </w:r>
      <w:bookmarkEnd w:id="27"/>
    </w:p>
    <w:p w14:paraId="0D10BE9C" w14:textId="62B3315D" w:rsidR="009C3538" w:rsidRPr="007E2EB3" w:rsidRDefault="00827901" w:rsidP="00012685">
      <w:pPr>
        <w:pStyle w:val="enumlev1"/>
      </w:pPr>
      <w:bookmarkStart w:id="28" w:name="lt_pId081"/>
      <w:r w:rsidRPr="007E2EB3">
        <w:t>•</w:t>
      </w:r>
      <w:r w:rsidRPr="007E2EB3">
        <w:tab/>
      </w:r>
      <w:r w:rsidR="006F6625" w:rsidRPr="007E2EB3">
        <w:t>De promouvoir un environnement concurrentiel et des politiques propices à l</w:t>
      </w:r>
      <w:r w:rsidR="00E90097" w:rsidRPr="007E2EB3">
        <w:t>'</w:t>
      </w:r>
      <w:r w:rsidR="006F6625" w:rsidRPr="007E2EB3">
        <w:t>investissement, afin de stimuler les investissements dans l</w:t>
      </w:r>
      <w:r w:rsidR="00E90097" w:rsidRPr="007E2EB3">
        <w:t>'</w:t>
      </w:r>
      <w:r w:rsidR="009C3538" w:rsidRPr="007E2EB3">
        <w:t>infrastructure</w:t>
      </w:r>
      <w:r w:rsidR="006F6625" w:rsidRPr="007E2EB3">
        <w:t xml:space="preserve"> </w:t>
      </w:r>
      <w:r w:rsidR="009C3538" w:rsidRPr="007E2EB3">
        <w:t>numérique</w:t>
      </w:r>
      <w:r w:rsidR="006F6625" w:rsidRPr="007E2EB3">
        <w:t xml:space="preserve"> et d</w:t>
      </w:r>
      <w:r w:rsidR="00E90097" w:rsidRPr="007E2EB3">
        <w:t>'</w:t>
      </w:r>
      <w:r w:rsidR="006F6625" w:rsidRPr="007E2EB3">
        <w:t>inciter les partenariats public-privé, les fonds de participation au capital des entreprises et les fonds d</w:t>
      </w:r>
      <w:r w:rsidR="00E90097" w:rsidRPr="007E2EB3">
        <w:t>'</w:t>
      </w:r>
      <w:r w:rsidR="006F6625" w:rsidRPr="007E2EB3">
        <w:t>investissement social à investir dans l</w:t>
      </w:r>
      <w:r w:rsidR="00E90097" w:rsidRPr="007E2EB3">
        <w:t>'</w:t>
      </w:r>
      <w:r w:rsidR="006F6625" w:rsidRPr="007E2EB3">
        <w:t xml:space="preserve">infrastructure numérique et </w:t>
      </w:r>
      <w:r w:rsidR="009C3538" w:rsidRPr="007E2EB3">
        <w:t>les</w:t>
      </w:r>
      <w:r w:rsidR="00012685">
        <w:t xml:space="preserve"> </w:t>
      </w:r>
      <w:r w:rsidR="009C3538" w:rsidRPr="007E2EB3">
        <w:t>applications</w:t>
      </w:r>
      <w:r w:rsidR="00012685">
        <w:t xml:space="preserve"> </w:t>
      </w:r>
      <w:r w:rsidR="006F6625" w:rsidRPr="007E2EB3">
        <w:t>TIC.</w:t>
      </w:r>
      <w:bookmarkEnd w:id="28"/>
    </w:p>
    <w:p w14:paraId="62373E7C" w14:textId="73950E94" w:rsidR="009C3538" w:rsidRPr="007E2EB3" w:rsidRDefault="00827901" w:rsidP="00827901">
      <w:pPr>
        <w:pStyle w:val="enumlev1"/>
      </w:pPr>
      <w:r w:rsidRPr="007E2EB3">
        <w:t>•</w:t>
      </w:r>
      <w:r w:rsidRPr="007E2EB3">
        <w:tab/>
      </w:r>
      <w:r w:rsidR="00E345C4" w:rsidRPr="007E2EB3">
        <w:t>De c</w:t>
      </w:r>
      <w:r w:rsidR="009C3538" w:rsidRPr="007E2EB3">
        <w:t>ollaborer de façon constructive pour étendre l</w:t>
      </w:r>
      <w:r w:rsidR="00E90097" w:rsidRPr="007E2EB3">
        <w:t>'</w:t>
      </w:r>
      <w:r w:rsidR="009C3538" w:rsidRPr="007E2EB3">
        <w:t>infrastructure numérique aux groupes ou aux individus qui n</w:t>
      </w:r>
      <w:r w:rsidR="00E90097" w:rsidRPr="007E2EB3">
        <w:t>'</w:t>
      </w:r>
      <w:r w:rsidR="009C3538" w:rsidRPr="007E2EB3">
        <w:t>y ont pas suffisamment accès.</w:t>
      </w:r>
    </w:p>
    <w:p w14:paraId="3C4785AB" w14:textId="6EC94589" w:rsidR="006F6625" w:rsidRPr="007E2EB3" w:rsidRDefault="00827901" w:rsidP="00730DF8">
      <w:pPr>
        <w:pStyle w:val="enumlev1"/>
      </w:pPr>
      <w:r w:rsidRPr="007E2EB3">
        <w:t>•</w:t>
      </w:r>
      <w:r w:rsidRPr="007E2EB3">
        <w:tab/>
      </w:r>
      <w:r w:rsidR="00E345C4" w:rsidRPr="007E2EB3">
        <w:t>De p</w:t>
      </w:r>
      <w:r w:rsidR="009C3538" w:rsidRPr="007E2EB3">
        <w:t xml:space="preserve">rendre des mesures pour mettre en </w:t>
      </w:r>
      <w:proofErr w:type="spellStart"/>
      <w:r w:rsidR="00E426C4" w:rsidRPr="007E2EB3">
        <w:t>oe</w:t>
      </w:r>
      <w:r w:rsidR="00302F1D" w:rsidRPr="007E2EB3">
        <w:t>uvre</w:t>
      </w:r>
      <w:proofErr w:type="spellEnd"/>
      <w:r w:rsidR="009C3538" w:rsidRPr="007E2EB3">
        <w:t xml:space="preserve"> l</w:t>
      </w:r>
      <w:r w:rsidR="00E90097" w:rsidRPr="007E2EB3">
        <w:t>'</w:t>
      </w:r>
      <w:r w:rsidR="009C3538" w:rsidRPr="007E2EB3">
        <w:t>initiative de l</w:t>
      </w:r>
      <w:r w:rsidR="00E90097" w:rsidRPr="007E2EB3">
        <w:t>'</w:t>
      </w:r>
      <w:r w:rsidR="009C3538" w:rsidRPr="007E2EB3">
        <w:t>Alliance mondiale pour la connectivité des infrastructures</w:t>
      </w:r>
      <w:r w:rsidR="006F6625" w:rsidRPr="007E2EB3">
        <w:t xml:space="preserve"> </w:t>
      </w:r>
      <w:r w:rsidR="00E85F14" w:rsidRPr="007E2EB3">
        <w:t>entérinée</w:t>
      </w:r>
      <w:r w:rsidR="009C3538" w:rsidRPr="007E2EB3">
        <w:t xml:space="preserve"> l</w:t>
      </w:r>
      <w:r w:rsidR="00E90097" w:rsidRPr="007E2EB3">
        <w:t>'</w:t>
      </w:r>
      <w:r w:rsidR="009C3538" w:rsidRPr="007E2EB3">
        <w:t>année dernière par les dirigeants du G20</w:t>
      </w:r>
      <w:r w:rsidR="00E85F14" w:rsidRPr="007E2EB3">
        <w:rPr>
          <w:rStyle w:val="FootnoteReference"/>
        </w:rPr>
        <w:footnoteReference w:id="2"/>
      </w:r>
      <w:r w:rsidR="00730DF8">
        <w:t>.</w:t>
      </w:r>
    </w:p>
    <w:p w14:paraId="56E1BC66" w14:textId="3FADC720" w:rsidR="00302F1D" w:rsidRPr="007E2EB3" w:rsidRDefault="00827901" w:rsidP="00D237A1">
      <w:pPr>
        <w:snapToGrid w:val="0"/>
        <w:spacing w:before="360" w:after="240"/>
        <w:ind w:left="567" w:hanging="567"/>
        <w:rPr>
          <w:rFonts w:asciiTheme="minorHAnsi" w:hAnsiTheme="minorHAnsi"/>
          <w:b/>
          <w:color w:val="04629A"/>
          <w:sz w:val="28"/>
          <w:szCs w:val="28"/>
        </w:rPr>
      </w:pPr>
      <w:bookmarkStart w:id="29" w:name="lt_pId084"/>
      <w:r w:rsidRPr="007E2EB3">
        <w:rPr>
          <w:rFonts w:asciiTheme="minorHAnsi" w:hAnsiTheme="minorHAnsi"/>
          <w:b/>
          <w:color w:val="04629A"/>
          <w:sz w:val="28"/>
          <w:szCs w:val="28"/>
        </w:rPr>
        <w:t>3</w:t>
      </w:r>
      <w:r w:rsidRPr="007E2EB3">
        <w:rPr>
          <w:rFonts w:asciiTheme="minorHAnsi" w:hAnsiTheme="minorHAnsi"/>
          <w:b/>
          <w:color w:val="04629A"/>
          <w:sz w:val="28"/>
          <w:szCs w:val="28"/>
        </w:rPr>
        <w:tab/>
      </w:r>
      <w:r w:rsidR="00302F1D" w:rsidRPr="007E2EB3">
        <w:rPr>
          <w:rFonts w:asciiTheme="minorHAnsi" w:hAnsiTheme="minorHAnsi"/>
          <w:b/>
          <w:color w:val="04629A"/>
          <w:sz w:val="28"/>
          <w:szCs w:val="28"/>
        </w:rPr>
        <w:t>Adapter les politiques dans une économie mondiale de plus en plus numérique et de plus en plus axée sur l</w:t>
      </w:r>
      <w:r w:rsidR="00E90097" w:rsidRPr="007E2EB3">
        <w:rPr>
          <w:rFonts w:asciiTheme="minorHAnsi" w:hAnsiTheme="minorHAnsi"/>
          <w:b/>
          <w:color w:val="04629A"/>
          <w:sz w:val="28"/>
          <w:szCs w:val="28"/>
        </w:rPr>
        <w:t>'</w:t>
      </w:r>
      <w:r w:rsidR="00302F1D" w:rsidRPr="007E2EB3">
        <w:rPr>
          <w:rFonts w:asciiTheme="minorHAnsi" w:hAnsiTheme="minorHAnsi"/>
          <w:b/>
          <w:color w:val="04629A"/>
          <w:sz w:val="28"/>
          <w:szCs w:val="28"/>
        </w:rPr>
        <w:t>information et les connaissances</w:t>
      </w:r>
      <w:bookmarkEnd w:id="29"/>
    </w:p>
    <w:p w14:paraId="5C8DA164" w14:textId="74018A00" w:rsidR="00302F1D" w:rsidRPr="007E2EB3" w:rsidRDefault="00541170" w:rsidP="00D237A1">
      <w:bookmarkStart w:id="30" w:name="lt_pId085"/>
      <w:r w:rsidRPr="007E2EB3">
        <w:t>La numérisation touche de nombreux aspects de l</w:t>
      </w:r>
      <w:r w:rsidR="00E90097" w:rsidRPr="007E2EB3">
        <w:t>'</w:t>
      </w:r>
      <w:r w:rsidRPr="007E2EB3">
        <w:t>économie et de la société</w:t>
      </w:r>
      <w:r w:rsidR="00302F1D" w:rsidRPr="007E2EB3">
        <w:t>.</w:t>
      </w:r>
      <w:bookmarkEnd w:id="30"/>
      <w:r w:rsidR="00302F1D" w:rsidRPr="007E2EB3">
        <w:t xml:space="preserve"> </w:t>
      </w:r>
      <w:bookmarkStart w:id="31" w:name="lt_pId086"/>
      <w:r w:rsidR="00265E01" w:rsidRPr="007E2EB3">
        <w:t>L</w:t>
      </w:r>
      <w:r w:rsidR="00E90097" w:rsidRPr="007E2EB3">
        <w:t>'</w:t>
      </w:r>
      <w:r w:rsidR="00265E01" w:rsidRPr="007E2EB3">
        <w:t xml:space="preserve">élaboration des politiques </w:t>
      </w:r>
      <w:r w:rsidR="00E345C4" w:rsidRPr="007E2EB3">
        <w:t xml:space="preserve">dans ce domaine exigera </w:t>
      </w:r>
      <w:r w:rsidR="00265E01" w:rsidRPr="007E2EB3">
        <w:t xml:space="preserve">une coordination entre les ministères et </w:t>
      </w:r>
      <w:r w:rsidR="00E345C4" w:rsidRPr="007E2EB3">
        <w:t xml:space="preserve">entre </w:t>
      </w:r>
      <w:r w:rsidR="00265E01" w:rsidRPr="007E2EB3">
        <w:t>les différents niveaux de gouvernement, mais aussi la participation de toutes les parties prenantes et de tous les acteurs intéressés</w:t>
      </w:r>
      <w:r w:rsidR="00302F1D" w:rsidRPr="007E2EB3">
        <w:t>.</w:t>
      </w:r>
      <w:bookmarkEnd w:id="31"/>
      <w:r w:rsidR="00302F1D" w:rsidRPr="007E2EB3">
        <w:t xml:space="preserve"> </w:t>
      </w:r>
    </w:p>
    <w:p w14:paraId="40756992" w14:textId="031F76CE" w:rsidR="00302F1D" w:rsidRPr="007E2EB3" w:rsidRDefault="00DB0234" w:rsidP="00DB0234">
      <w:pPr>
        <w:snapToGrid w:val="0"/>
        <w:spacing w:after="120"/>
        <w:rPr>
          <w:rFonts w:asciiTheme="minorHAnsi" w:hAnsiTheme="minorHAnsi"/>
        </w:rPr>
      </w:pPr>
      <w:bookmarkStart w:id="32" w:name="lt_pId087"/>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00302F1D" w:rsidRPr="007E2EB3">
        <w:rPr>
          <w:rFonts w:asciiTheme="minorHAnsi" w:hAnsiTheme="minorHAnsi"/>
        </w:rPr>
        <w:t>:</w:t>
      </w:r>
      <w:bookmarkEnd w:id="32"/>
    </w:p>
    <w:p w14:paraId="3E5A2B1A" w14:textId="08BCFA49" w:rsidR="00DB0234" w:rsidRPr="007E2EB3" w:rsidRDefault="00827901" w:rsidP="00827901">
      <w:pPr>
        <w:pStyle w:val="enumlev1"/>
      </w:pPr>
      <w:bookmarkStart w:id="33" w:name="lt_pId088"/>
      <w:r w:rsidRPr="007E2EB3">
        <w:t>•</w:t>
      </w:r>
      <w:r w:rsidRPr="007E2EB3">
        <w:tab/>
      </w:r>
      <w:r w:rsidR="00DB0234" w:rsidRPr="007E2EB3">
        <w:t>D</w:t>
      </w:r>
      <w:r w:rsidR="00E90097" w:rsidRPr="007E2EB3">
        <w:t>'</w:t>
      </w:r>
      <w:r w:rsidR="00DB0234" w:rsidRPr="007E2EB3">
        <w:t>échanger les bonnes pratiques et les enseignements tirés en ce qui concerne les conséquences de la numérisation et les approches stratégiques visant à s</w:t>
      </w:r>
      <w:r w:rsidR="00E90097" w:rsidRPr="007E2EB3">
        <w:t>'</w:t>
      </w:r>
      <w:r w:rsidR="00DB0234" w:rsidRPr="007E2EB3">
        <w:t>adapter à une économie mondiale axée sur les connaissances.</w:t>
      </w:r>
      <w:bookmarkEnd w:id="33"/>
    </w:p>
    <w:p w14:paraId="36DDF568" w14:textId="4D6C9EF4" w:rsidR="00DB0234" w:rsidRPr="007E2EB3" w:rsidRDefault="00827901" w:rsidP="00394364">
      <w:pPr>
        <w:pStyle w:val="enumlev1"/>
      </w:pPr>
      <w:r w:rsidRPr="007E2EB3">
        <w:t>•</w:t>
      </w:r>
      <w:r w:rsidRPr="007E2EB3">
        <w:tab/>
      </w:r>
      <w:r w:rsidR="00DB0234" w:rsidRPr="007E2EB3">
        <w:t>D</w:t>
      </w:r>
      <w:r w:rsidR="00E90097" w:rsidRPr="007E2EB3">
        <w:t>'</w:t>
      </w:r>
      <w:r w:rsidR="00DB0234" w:rsidRPr="007E2EB3">
        <w:t>encourager les investissements dans l</w:t>
      </w:r>
      <w:r w:rsidR="00E90097" w:rsidRPr="007E2EB3">
        <w:t>'</w:t>
      </w:r>
      <w:r w:rsidR="00DB0234" w:rsidRPr="007E2EB3">
        <w:t xml:space="preserve">économie numérique de façon à offrir de nouveaux modèles </w:t>
      </w:r>
      <w:r w:rsidR="00E345C4" w:rsidRPr="007E2EB3">
        <w:t>d</w:t>
      </w:r>
      <w:r w:rsidR="00E90097" w:rsidRPr="007E2EB3">
        <w:t>'</w:t>
      </w:r>
      <w:r w:rsidR="00E345C4" w:rsidRPr="007E2EB3">
        <w:t xml:space="preserve">affaires </w:t>
      </w:r>
      <w:r w:rsidR="00394364" w:rsidRPr="007E2EB3">
        <w:t xml:space="preserve">modulables et </w:t>
      </w:r>
      <w:r w:rsidR="00DB0234" w:rsidRPr="007E2EB3">
        <w:t>susceptible</w:t>
      </w:r>
      <w:r w:rsidR="00625B44" w:rsidRPr="007E2EB3">
        <w:t>s</w:t>
      </w:r>
      <w:r w:rsidR="00DB0234" w:rsidRPr="007E2EB3">
        <w:t xml:space="preserve"> d</w:t>
      </w:r>
      <w:r w:rsidR="00E90097" w:rsidRPr="007E2EB3">
        <w:t>'</w:t>
      </w:r>
      <w:r w:rsidR="00DB0234" w:rsidRPr="007E2EB3">
        <w:t>être reproduits.</w:t>
      </w:r>
    </w:p>
    <w:p w14:paraId="6C2808AD" w14:textId="20323787" w:rsidR="00302F1D" w:rsidRPr="007E2EB3" w:rsidRDefault="00827901" w:rsidP="00827901">
      <w:pPr>
        <w:pStyle w:val="enumlev1"/>
      </w:pPr>
      <w:r w:rsidRPr="007E2EB3">
        <w:lastRenderedPageBreak/>
        <w:t>•</w:t>
      </w:r>
      <w:r w:rsidRPr="007E2EB3">
        <w:tab/>
      </w:r>
      <w:r w:rsidR="00DB0234" w:rsidRPr="007E2EB3">
        <w:t>De poursuivre l</w:t>
      </w:r>
      <w:r w:rsidR="00E90097" w:rsidRPr="007E2EB3">
        <w:t>'</w:t>
      </w:r>
      <w:r w:rsidR="00DB0234" w:rsidRPr="007E2EB3">
        <w:t>examen de cadres et de</w:t>
      </w:r>
      <w:r w:rsidR="00E345C4" w:rsidRPr="007E2EB3">
        <w:t xml:space="preserve"> modèles d</w:t>
      </w:r>
      <w:r w:rsidR="00E90097" w:rsidRPr="007E2EB3">
        <w:t>'</w:t>
      </w:r>
      <w:r w:rsidR="00E345C4" w:rsidRPr="007E2EB3">
        <w:t>affaires de l</w:t>
      </w:r>
      <w:r w:rsidR="00E90097" w:rsidRPr="007E2EB3">
        <w:t>'</w:t>
      </w:r>
      <w:r w:rsidR="00E345C4" w:rsidRPr="007E2EB3">
        <w:t xml:space="preserve">économie numérique qui soient innovants et de nature à favoriser </w:t>
      </w:r>
      <w:r w:rsidR="00DB0234" w:rsidRPr="007E2EB3">
        <w:t>l</w:t>
      </w:r>
      <w:r w:rsidR="00E90097" w:rsidRPr="007E2EB3">
        <w:t>'</w:t>
      </w:r>
      <w:r w:rsidR="00DB0234" w:rsidRPr="007E2EB3">
        <w:t>économie de partage, la numérisation de la main d</w:t>
      </w:r>
      <w:r w:rsidR="00E90097" w:rsidRPr="007E2EB3">
        <w:t>'</w:t>
      </w:r>
      <w:proofErr w:type="spellStart"/>
      <w:r w:rsidR="00E426C4" w:rsidRPr="007E2EB3">
        <w:t>oe</w:t>
      </w:r>
      <w:r w:rsidR="00DB0234" w:rsidRPr="007E2EB3">
        <w:t>uvre</w:t>
      </w:r>
      <w:proofErr w:type="spellEnd"/>
      <w:r w:rsidR="00DB0234" w:rsidRPr="007E2EB3">
        <w:t xml:space="preserve"> et l</w:t>
      </w:r>
      <w:r w:rsidR="00E90097" w:rsidRPr="007E2EB3">
        <w:t>'</w:t>
      </w:r>
      <w:r w:rsidR="00DB0234" w:rsidRPr="007E2EB3">
        <w:t>inclusion financière.</w:t>
      </w:r>
    </w:p>
    <w:p w14:paraId="42FDA4D7" w14:textId="13DCF07D" w:rsidR="00DB0234" w:rsidRPr="007E2EB3" w:rsidRDefault="00827901" w:rsidP="00827901">
      <w:pPr>
        <w:pStyle w:val="enumlev1"/>
      </w:pPr>
      <w:r w:rsidRPr="007E2EB3">
        <w:t>•</w:t>
      </w:r>
      <w:r w:rsidRPr="007E2EB3">
        <w:tab/>
      </w:r>
      <w:r w:rsidR="00DB0234" w:rsidRPr="007E2EB3">
        <w:t>D</w:t>
      </w:r>
      <w:r w:rsidR="00E90097" w:rsidRPr="007E2EB3">
        <w:t>'</w:t>
      </w:r>
      <w:r w:rsidR="00DB0234" w:rsidRPr="007E2EB3">
        <w:t>agir en coopération pour renforcer le développement économique numérique à l</w:t>
      </w:r>
      <w:r w:rsidR="00E90097" w:rsidRPr="007E2EB3">
        <w:t>'</w:t>
      </w:r>
      <w:r w:rsidR="00DB0234" w:rsidRPr="007E2EB3">
        <w:t>échelle mondial</w:t>
      </w:r>
      <w:r w:rsidR="007B395A" w:rsidRPr="007E2EB3">
        <w:t>e afin de réduire la fracture numérique liée</w:t>
      </w:r>
      <w:r w:rsidR="00DB0234" w:rsidRPr="007E2EB3">
        <w:t xml:space="preserve"> à l</w:t>
      </w:r>
      <w:r w:rsidR="00E90097" w:rsidRPr="007E2EB3">
        <w:t>'</w:t>
      </w:r>
      <w:r w:rsidR="00DB0234" w:rsidRPr="007E2EB3">
        <w:t xml:space="preserve">infrastructure, à la sécurité des données, aux compétences numériques et au renforcement des capacités. </w:t>
      </w:r>
    </w:p>
    <w:p w14:paraId="734B9593" w14:textId="1E02B631" w:rsidR="00DB0234" w:rsidRPr="007E2EB3" w:rsidRDefault="00827901" w:rsidP="00827901">
      <w:pPr>
        <w:pStyle w:val="enumlev1"/>
      </w:pPr>
      <w:r w:rsidRPr="007E2EB3">
        <w:t>•</w:t>
      </w:r>
      <w:r w:rsidRPr="007E2EB3">
        <w:tab/>
      </w:r>
      <w:r w:rsidR="00DB0234" w:rsidRPr="007E2EB3">
        <w:t xml:space="preserve">De suivre les débats concernant la fiscalité menés dans le cadre </w:t>
      </w:r>
      <w:r w:rsidR="002A7CC2" w:rsidRPr="007E2EB3">
        <w:t>des travaux</w:t>
      </w:r>
      <w:r w:rsidR="00DB0234" w:rsidRPr="007E2EB3">
        <w:t xml:space="preserve"> des ministres des finances.</w:t>
      </w:r>
    </w:p>
    <w:p w14:paraId="13842236" w14:textId="6B4869F1" w:rsidR="002A7CC2" w:rsidRPr="007E2EB3" w:rsidRDefault="00827901" w:rsidP="00827901">
      <w:pPr>
        <w:snapToGrid w:val="0"/>
        <w:spacing w:before="360" w:after="240"/>
        <w:rPr>
          <w:rFonts w:asciiTheme="minorHAnsi" w:hAnsiTheme="minorHAnsi"/>
          <w:b/>
          <w:color w:val="04629A"/>
          <w:sz w:val="28"/>
          <w:szCs w:val="28"/>
        </w:rPr>
      </w:pPr>
      <w:bookmarkStart w:id="34" w:name="lt_pId093"/>
      <w:r w:rsidRPr="007E2EB3">
        <w:rPr>
          <w:rFonts w:asciiTheme="minorHAnsi" w:hAnsiTheme="minorHAnsi"/>
          <w:b/>
          <w:color w:val="04629A"/>
          <w:sz w:val="28"/>
          <w:szCs w:val="28"/>
        </w:rPr>
        <w:t>4</w:t>
      </w:r>
      <w:r w:rsidRPr="007E2EB3">
        <w:rPr>
          <w:rFonts w:asciiTheme="minorHAnsi" w:hAnsiTheme="minorHAnsi"/>
          <w:b/>
          <w:color w:val="04629A"/>
          <w:sz w:val="28"/>
          <w:szCs w:val="28"/>
        </w:rPr>
        <w:tab/>
      </w:r>
      <w:r w:rsidR="002A7CC2" w:rsidRPr="007E2EB3">
        <w:rPr>
          <w:rFonts w:asciiTheme="minorHAnsi" w:hAnsiTheme="minorHAnsi"/>
          <w:b/>
          <w:color w:val="04629A"/>
          <w:sz w:val="28"/>
          <w:szCs w:val="28"/>
        </w:rPr>
        <w:t>Favoriser la concurrence dans l</w:t>
      </w:r>
      <w:r w:rsidR="00E90097" w:rsidRPr="007E2EB3">
        <w:rPr>
          <w:rFonts w:asciiTheme="minorHAnsi" w:hAnsiTheme="minorHAnsi"/>
          <w:b/>
          <w:color w:val="04629A"/>
          <w:sz w:val="28"/>
          <w:szCs w:val="28"/>
        </w:rPr>
        <w:t>'</w:t>
      </w:r>
      <w:r w:rsidR="002A7CC2" w:rsidRPr="007E2EB3">
        <w:rPr>
          <w:rFonts w:asciiTheme="minorHAnsi" w:hAnsiTheme="minorHAnsi"/>
          <w:b/>
          <w:color w:val="04629A"/>
          <w:sz w:val="28"/>
          <w:szCs w:val="28"/>
        </w:rPr>
        <w:t>économie numérique</w:t>
      </w:r>
      <w:bookmarkEnd w:id="34"/>
    </w:p>
    <w:p w14:paraId="48E71FEC" w14:textId="2F40A506" w:rsidR="002A7CC2" w:rsidRPr="007E2EB3" w:rsidRDefault="00BA0476" w:rsidP="00D237A1">
      <w:bookmarkStart w:id="35" w:name="lt_pId094"/>
      <w:r w:rsidRPr="007E2EB3">
        <w:t xml:space="preserve">La numérisation est porteuse de nouvelles perspectives </w:t>
      </w:r>
      <w:r w:rsidR="0010110B" w:rsidRPr="007E2EB3">
        <w:t xml:space="preserve">permettant </w:t>
      </w:r>
      <w:r w:rsidR="00E22FAE" w:rsidRPr="007E2EB3">
        <w:t>de diversifier les choix proposés aux</w:t>
      </w:r>
      <w:r w:rsidR="0010110B" w:rsidRPr="007E2EB3">
        <w:t xml:space="preserve"> consommateurs et d</w:t>
      </w:r>
      <w:r w:rsidR="00E90097" w:rsidRPr="007E2EB3">
        <w:t>'</w:t>
      </w:r>
      <w:r w:rsidR="00E22FAE" w:rsidRPr="007E2EB3">
        <w:t>offrir</w:t>
      </w:r>
      <w:r w:rsidR="0010110B" w:rsidRPr="007E2EB3">
        <w:t xml:space="preserve"> de nouveaux produits et services. La distinction entre les modèles économique</w:t>
      </w:r>
      <w:r w:rsidR="00765C55" w:rsidRPr="007E2EB3">
        <w:t>s</w:t>
      </w:r>
      <w:r w:rsidR="0010110B" w:rsidRPr="007E2EB3">
        <w:t xml:space="preserve"> traditionnels et en ligne s</w:t>
      </w:r>
      <w:r w:rsidR="00E90097" w:rsidRPr="007E2EB3">
        <w:t>'</w:t>
      </w:r>
      <w:r w:rsidR="0010110B" w:rsidRPr="007E2EB3">
        <w:t xml:space="preserve">estompe de plus en plus, et de nouvelles dynamiques </w:t>
      </w:r>
      <w:r w:rsidR="005201E4" w:rsidRPr="007E2EB3">
        <w:t xml:space="preserve">de concurrence </w:t>
      </w:r>
      <w:r w:rsidR="0010110B" w:rsidRPr="007E2EB3">
        <w:t>voient le jour</w:t>
      </w:r>
      <w:bookmarkStart w:id="36" w:name="lt_pId095"/>
      <w:bookmarkEnd w:id="35"/>
      <w:r w:rsidR="002A7CC2" w:rsidRPr="007E2EB3">
        <w:t>.</w:t>
      </w:r>
      <w:bookmarkEnd w:id="36"/>
    </w:p>
    <w:p w14:paraId="2EACAB35" w14:textId="1B118FDD" w:rsidR="005201E4" w:rsidRPr="007E2EB3" w:rsidRDefault="005201E4" w:rsidP="005201E4">
      <w:pPr>
        <w:snapToGrid w:val="0"/>
        <w:spacing w:after="120"/>
        <w:rPr>
          <w:rFonts w:asciiTheme="minorHAnsi" w:hAnsiTheme="minorHAnsi"/>
        </w:rPr>
      </w:pPr>
      <w:bookmarkStart w:id="37" w:name="lt_pId096"/>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w:t>
      </w:r>
    </w:p>
    <w:p w14:paraId="061F4428" w14:textId="541528D4" w:rsidR="005201E4" w:rsidRPr="007E2EB3" w:rsidRDefault="00827901" w:rsidP="00827901">
      <w:pPr>
        <w:pStyle w:val="enumlev1"/>
      </w:pPr>
      <w:bookmarkStart w:id="38" w:name="lt_pId097"/>
      <w:bookmarkEnd w:id="37"/>
      <w:r w:rsidRPr="007E2EB3">
        <w:t>•</w:t>
      </w:r>
      <w:r w:rsidRPr="007E2EB3">
        <w:tab/>
      </w:r>
      <w:r w:rsidR="005201E4" w:rsidRPr="007E2EB3">
        <w:t>D</w:t>
      </w:r>
      <w:r w:rsidR="00E90097" w:rsidRPr="007E2EB3">
        <w:t>'</w:t>
      </w:r>
      <w:r w:rsidR="005201E4" w:rsidRPr="007E2EB3">
        <w:t>encourager l</w:t>
      </w:r>
      <w:r w:rsidR="00E90097" w:rsidRPr="007E2EB3">
        <w:t>'</w:t>
      </w:r>
      <w:r w:rsidR="005201E4" w:rsidRPr="007E2EB3">
        <w:t>échange de bonnes pratiques visant à favoriser la concurrence, notamment en stimulant l</w:t>
      </w:r>
      <w:r w:rsidR="00E90097" w:rsidRPr="007E2EB3">
        <w:t>'</w:t>
      </w:r>
      <w:r w:rsidR="005201E4" w:rsidRPr="007E2EB3">
        <w:t xml:space="preserve">innovation, et de prévenir la mise en place de restrictions </w:t>
      </w:r>
      <w:r w:rsidR="00625B44" w:rsidRPr="007E2EB3">
        <w:t>en matière de concurrence.</w:t>
      </w:r>
    </w:p>
    <w:bookmarkEnd w:id="38"/>
    <w:p w14:paraId="23FD2D25" w14:textId="14A5351D" w:rsidR="002A7CC2" w:rsidRPr="007E2EB3" w:rsidRDefault="00827901" w:rsidP="00827901">
      <w:pPr>
        <w:pStyle w:val="enumlev1"/>
      </w:pPr>
      <w:r w:rsidRPr="007E2EB3">
        <w:t>•</w:t>
      </w:r>
      <w:r w:rsidRPr="007E2EB3">
        <w:tab/>
      </w:r>
      <w:r w:rsidR="005201E4" w:rsidRPr="007E2EB3">
        <w:t>D</w:t>
      </w:r>
      <w:r w:rsidR="00E90097" w:rsidRPr="007E2EB3">
        <w:t>'</w:t>
      </w:r>
      <w:r w:rsidR="005201E4" w:rsidRPr="007E2EB3">
        <w:t>examiner les travaux actuellement menés par l</w:t>
      </w:r>
      <w:r w:rsidR="00E90097" w:rsidRPr="007E2EB3">
        <w:t>'</w:t>
      </w:r>
      <w:r w:rsidR="005201E4" w:rsidRPr="007E2EB3">
        <w:t>O</w:t>
      </w:r>
      <w:r w:rsidR="00FE77B3" w:rsidRPr="007E2EB3">
        <w:t xml:space="preserve">rganisation de coopération et de développement économiques (OCDE) </w:t>
      </w:r>
      <w:r w:rsidR="005201E4" w:rsidRPr="007E2EB3">
        <w:t>en matière de concurrence, afin d</w:t>
      </w:r>
      <w:r w:rsidR="00E90097" w:rsidRPr="007E2EB3">
        <w:t>'</w:t>
      </w:r>
      <w:r w:rsidR="005201E4" w:rsidRPr="007E2EB3">
        <w:t>envisager la révision du Manuel pour l</w:t>
      </w:r>
      <w:r w:rsidR="00E90097" w:rsidRPr="007E2EB3">
        <w:t>'</w:t>
      </w:r>
      <w:r w:rsidR="005201E4" w:rsidRPr="007E2EB3">
        <w:t>évaluation de la concurrence de l</w:t>
      </w:r>
      <w:r w:rsidR="00E90097" w:rsidRPr="007E2EB3">
        <w:t>'</w:t>
      </w:r>
      <w:r w:rsidR="005201E4" w:rsidRPr="007E2EB3">
        <w:t>OCDE en tenant compte de la numérisation.</w:t>
      </w:r>
    </w:p>
    <w:p w14:paraId="549EE3E0" w14:textId="1A415994" w:rsidR="002A7CC2" w:rsidRPr="007E2EB3" w:rsidRDefault="00827901" w:rsidP="00D237A1">
      <w:pPr>
        <w:keepNext/>
        <w:keepLines/>
        <w:snapToGrid w:val="0"/>
        <w:spacing w:after="240"/>
        <w:ind w:left="567" w:hanging="567"/>
        <w:rPr>
          <w:rFonts w:asciiTheme="minorHAnsi" w:hAnsiTheme="minorHAnsi"/>
          <w:b/>
          <w:color w:val="04629A"/>
          <w:sz w:val="28"/>
          <w:szCs w:val="28"/>
        </w:rPr>
      </w:pPr>
      <w:bookmarkStart w:id="39" w:name="lt_pId099"/>
      <w:r w:rsidRPr="007E2EB3">
        <w:rPr>
          <w:rFonts w:asciiTheme="minorHAnsi" w:hAnsiTheme="minorHAnsi"/>
          <w:b/>
          <w:color w:val="04629A"/>
          <w:sz w:val="28"/>
          <w:szCs w:val="28"/>
        </w:rPr>
        <w:t>5</w:t>
      </w:r>
      <w:r w:rsidRPr="007E2EB3">
        <w:rPr>
          <w:rFonts w:asciiTheme="minorHAnsi" w:hAnsiTheme="minorHAnsi"/>
          <w:b/>
          <w:color w:val="04629A"/>
          <w:sz w:val="28"/>
          <w:szCs w:val="28"/>
        </w:rPr>
        <w:tab/>
      </w:r>
      <w:r w:rsidR="005201E4" w:rsidRPr="007E2EB3">
        <w:rPr>
          <w:rFonts w:asciiTheme="minorHAnsi" w:hAnsiTheme="minorHAnsi"/>
          <w:b/>
          <w:color w:val="04629A"/>
          <w:sz w:val="28"/>
          <w:szCs w:val="28"/>
        </w:rPr>
        <w:t>Aider les microentreprises et les PME à tirer parti des avantages de la numérisation et à résoudre les problèmes qui y sont liés</w:t>
      </w:r>
      <w:bookmarkEnd w:id="39"/>
    </w:p>
    <w:p w14:paraId="7F26E064" w14:textId="0C4B394C" w:rsidR="00012444" w:rsidRPr="007E2EB3" w:rsidRDefault="00442FF8" w:rsidP="00D237A1">
      <w:bookmarkStart w:id="40" w:name="lt_pId100"/>
      <w:r w:rsidRPr="007E2EB3">
        <w:t>Il est important de promouvoir l</w:t>
      </w:r>
      <w:r w:rsidR="00E90097" w:rsidRPr="007E2EB3">
        <w:t>'</w:t>
      </w:r>
      <w:r w:rsidRPr="007E2EB3">
        <w:t xml:space="preserve">utilisation de technologies numériques de pointe dans les microentreprises et </w:t>
      </w:r>
      <w:r w:rsidR="00625B44" w:rsidRPr="007E2EB3">
        <w:t>les PME</w:t>
      </w:r>
      <w:r w:rsidRPr="007E2EB3">
        <w:t>. Toutefois</w:t>
      </w:r>
      <w:r w:rsidR="00625B44" w:rsidRPr="007E2EB3">
        <w:t>,</w:t>
      </w:r>
      <w:r w:rsidRPr="007E2EB3">
        <w:t xml:space="preserve"> la capacité de ces entreprises d</w:t>
      </w:r>
      <w:r w:rsidR="00E90097" w:rsidRPr="007E2EB3">
        <w:t>'</w:t>
      </w:r>
      <w:r w:rsidRPr="007E2EB3">
        <w:t>adopter rapidement de nouvelles technologies, d</w:t>
      </w:r>
      <w:r w:rsidR="00E90097" w:rsidRPr="007E2EB3">
        <w:t>'</w:t>
      </w:r>
      <w:r w:rsidRPr="007E2EB3">
        <w:t>apprendre par la pratique, d</w:t>
      </w:r>
      <w:r w:rsidR="00E90097" w:rsidRPr="007E2EB3">
        <w:t>'</w:t>
      </w:r>
      <w:r w:rsidRPr="007E2EB3">
        <w:t>innover et d</w:t>
      </w:r>
      <w:r w:rsidR="00E90097" w:rsidRPr="007E2EB3">
        <w:t>'</w:t>
      </w:r>
      <w:r w:rsidRPr="007E2EB3">
        <w:t>optimiser leur production peut être limitée par leur taille, et il peut leur être difficile, par manque de ressources, de tirer parti des avantages de l</w:t>
      </w:r>
      <w:r w:rsidR="00E90097" w:rsidRPr="007E2EB3">
        <w:t>'</w:t>
      </w:r>
      <w:r w:rsidRPr="007E2EB3">
        <w:t>économie numérique.</w:t>
      </w:r>
      <w:bookmarkEnd w:id="40"/>
      <w:r w:rsidR="00012444" w:rsidRPr="007E2EB3">
        <w:t xml:space="preserve"> </w:t>
      </w:r>
    </w:p>
    <w:p w14:paraId="0DB72012" w14:textId="33BEDA49" w:rsidR="00012444" w:rsidRPr="007E2EB3" w:rsidRDefault="00442FF8" w:rsidP="00442FF8">
      <w:pPr>
        <w:snapToGrid w:val="0"/>
        <w:spacing w:after="120"/>
        <w:rPr>
          <w:rFonts w:asciiTheme="minorHAnsi" w:hAnsiTheme="minorHAnsi"/>
        </w:rPr>
      </w:pPr>
      <w:bookmarkStart w:id="41" w:name="lt_pId101"/>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w:t>
      </w:r>
      <w:bookmarkEnd w:id="41"/>
    </w:p>
    <w:p w14:paraId="0719BDA7" w14:textId="581647D9" w:rsidR="00442FF8" w:rsidRPr="007E2EB3" w:rsidRDefault="00827901" w:rsidP="00827901">
      <w:pPr>
        <w:pStyle w:val="enumlev1"/>
      </w:pPr>
      <w:bookmarkStart w:id="42" w:name="lt_pId102"/>
      <w:r w:rsidRPr="007E2EB3">
        <w:t>•</w:t>
      </w:r>
      <w:r w:rsidRPr="007E2EB3">
        <w:tab/>
      </w:r>
      <w:r w:rsidR="00442FF8" w:rsidRPr="007E2EB3">
        <w:t>De promouvoir un environnement qui soit davantage propice à l</w:t>
      </w:r>
      <w:r w:rsidR="00E90097" w:rsidRPr="007E2EB3">
        <w:t>'</w:t>
      </w:r>
      <w:r w:rsidR="00442FF8" w:rsidRPr="007E2EB3">
        <w:t xml:space="preserve">entrepreneuriat en encourageant les initiatives </w:t>
      </w:r>
      <w:r w:rsidR="00320885" w:rsidRPr="007E2EB3">
        <w:t>telles</w:t>
      </w:r>
      <w:r w:rsidR="00442FF8" w:rsidRPr="007E2EB3">
        <w:t xml:space="preserve"> que les réseaux d</w:t>
      </w:r>
      <w:r w:rsidR="00E90097" w:rsidRPr="007E2EB3">
        <w:t>'</w:t>
      </w:r>
      <w:r w:rsidR="00442FF8" w:rsidRPr="007E2EB3">
        <w:t xml:space="preserve">investisseurs providentiels et les services de mise en relation, afin de </w:t>
      </w:r>
      <w:r w:rsidR="00320885" w:rsidRPr="007E2EB3">
        <w:t xml:space="preserve">promouvoir les modèles </w:t>
      </w:r>
      <w:r w:rsidR="00625B44" w:rsidRPr="007E2EB3">
        <w:t>d</w:t>
      </w:r>
      <w:r w:rsidR="00E90097" w:rsidRPr="007E2EB3">
        <w:t>'</w:t>
      </w:r>
      <w:r w:rsidR="00625B44" w:rsidRPr="007E2EB3">
        <w:t>affaires</w:t>
      </w:r>
      <w:r w:rsidR="00320885" w:rsidRPr="007E2EB3">
        <w:t xml:space="preserve"> existants ou innovants et d</w:t>
      </w:r>
      <w:r w:rsidR="00E90097" w:rsidRPr="007E2EB3">
        <w:t>'</w:t>
      </w:r>
      <w:r w:rsidR="00320885" w:rsidRPr="007E2EB3">
        <w:t>exploiter les sources de financement actuelles et nouvelles.</w:t>
      </w:r>
    </w:p>
    <w:bookmarkEnd w:id="42"/>
    <w:p w14:paraId="17117362" w14:textId="69CF3BCD" w:rsidR="002A7CC2" w:rsidRPr="007E2EB3" w:rsidRDefault="00827901" w:rsidP="00827901">
      <w:pPr>
        <w:pStyle w:val="enumlev1"/>
      </w:pPr>
      <w:r w:rsidRPr="007E2EB3">
        <w:t>•</w:t>
      </w:r>
      <w:r w:rsidRPr="007E2EB3">
        <w:tab/>
      </w:r>
      <w:r w:rsidR="00ED0D27" w:rsidRPr="007E2EB3">
        <w:t>D</w:t>
      </w:r>
      <w:r w:rsidR="00E90097" w:rsidRPr="007E2EB3">
        <w:t>'</w:t>
      </w:r>
      <w:r w:rsidR="00ED0D27" w:rsidRPr="007E2EB3">
        <w:t>échanger des bonnes pratiques et des données d</w:t>
      </w:r>
      <w:r w:rsidR="00E90097" w:rsidRPr="007E2EB3">
        <w:t>'</w:t>
      </w:r>
      <w:r w:rsidR="00ED0D27" w:rsidRPr="007E2EB3">
        <w:t>expérience sur les initiatives nationales</w:t>
      </w:r>
      <w:r w:rsidR="00625B44" w:rsidRPr="007E2EB3">
        <w:t xml:space="preserve">, dans le but </w:t>
      </w:r>
      <w:r w:rsidR="00ED0D27" w:rsidRPr="007E2EB3">
        <w:t>de tisser des liens entre ces différents programmes dans les pays du G20, y compris par l</w:t>
      </w:r>
      <w:r w:rsidR="00E90097" w:rsidRPr="007E2EB3">
        <w:t>'</w:t>
      </w:r>
      <w:r w:rsidR="00ED0D27" w:rsidRPr="007E2EB3">
        <w:t>intermédiaire du Centre de recherche sur l</w:t>
      </w:r>
      <w:r w:rsidR="00E90097" w:rsidRPr="007E2EB3">
        <w:t>'</w:t>
      </w:r>
      <w:r w:rsidR="00ED0D27" w:rsidRPr="007E2EB3">
        <w:t>entrepreneuriat dans les économies du G20.</w:t>
      </w:r>
    </w:p>
    <w:p w14:paraId="0DEC44D5" w14:textId="4E361DDC" w:rsidR="008D618B" w:rsidRPr="007E2EB3" w:rsidRDefault="00827901" w:rsidP="00012685">
      <w:pPr>
        <w:pStyle w:val="enumlev1"/>
      </w:pPr>
      <w:r w:rsidRPr="007E2EB3">
        <w:t>•</w:t>
      </w:r>
      <w:r w:rsidRPr="007E2EB3">
        <w:tab/>
      </w:r>
      <w:r w:rsidR="00ED0D27" w:rsidRPr="007E2EB3">
        <w:t>D</w:t>
      </w:r>
      <w:r w:rsidR="00E90097" w:rsidRPr="007E2EB3">
        <w:t>'</w:t>
      </w:r>
      <w:r w:rsidR="00ED0D27" w:rsidRPr="007E2EB3">
        <w:t>encourager le développement de start-ups numériques en instaurant un environnement qui soit davantage propice à l</w:t>
      </w:r>
      <w:r w:rsidR="00E90097" w:rsidRPr="007E2EB3">
        <w:t>'</w:t>
      </w:r>
      <w:r w:rsidR="00ED0D27" w:rsidRPr="007E2EB3">
        <w:t>entrepreneuriat</w:t>
      </w:r>
      <w:r w:rsidR="008D618B" w:rsidRPr="007E2EB3">
        <w:t>, dans la mesure où les start-ups sont sources d</w:t>
      </w:r>
      <w:r w:rsidR="00E90097" w:rsidRPr="007E2EB3">
        <w:t>'</w:t>
      </w:r>
      <w:r w:rsidR="008D618B" w:rsidRPr="007E2EB3">
        <w:t xml:space="preserve">innovation, </w:t>
      </w:r>
      <w:r w:rsidR="008D618B" w:rsidRPr="00012685">
        <w:t>d</w:t>
      </w:r>
      <w:r w:rsidR="00E90097" w:rsidRPr="00012685">
        <w:t>'</w:t>
      </w:r>
      <w:r w:rsidR="008D618B" w:rsidRPr="00012685">
        <w:t>entrepreneuriat</w:t>
      </w:r>
      <w:r w:rsidR="008D618B" w:rsidRPr="007E2EB3">
        <w:t xml:space="preserve"> et d</w:t>
      </w:r>
      <w:r w:rsidR="00E90097" w:rsidRPr="007E2EB3">
        <w:t>'</w:t>
      </w:r>
      <w:r w:rsidR="008D618B" w:rsidRPr="007E2EB3">
        <w:t xml:space="preserve">emploi et favorisent une croissance économique </w:t>
      </w:r>
      <w:r w:rsidR="008D618B" w:rsidRPr="007E2EB3">
        <w:lastRenderedPageBreak/>
        <w:t>inclusive. Pour développer l</w:t>
      </w:r>
      <w:r w:rsidR="00E90097" w:rsidRPr="007E2EB3">
        <w:t>'</w:t>
      </w:r>
      <w:r w:rsidR="008D618B" w:rsidRPr="007E2EB3">
        <w:t xml:space="preserve">écosystème des start-ups, il est essentiel que les microentreprises et les PME </w:t>
      </w:r>
      <w:r w:rsidR="00625B44" w:rsidRPr="007E2EB3">
        <w:t>puissent</w:t>
      </w:r>
      <w:r w:rsidR="008D618B" w:rsidRPr="007E2EB3">
        <w:t xml:space="preserve"> bé</w:t>
      </w:r>
      <w:r w:rsidR="00625B44" w:rsidRPr="007E2EB3">
        <w:t>néficier des technologies et de</w:t>
      </w:r>
      <w:r w:rsidR="008D618B" w:rsidRPr="007E2EB3">
        <w:t xml:space="preserve"> possibilités de renforcement des capacités, mais aussi de sources</w:t>
      </w:r>
      <w:r w:rsidR="00625B44" w:rsidRPr="007E2EB3">
        <w:t xml:space="preserve"> de</w:t>
      </w:r>
      <w:r w:rsidR="008D618B" w:rsidRPr="007E2EB3">
        <w:t xml:space="preserve"> financement adaptées et d</w:t>
      </w:r>
      <w:r w:rsidR="00E90097" w:rsidRPr="007E2EB3">
        <w:t>'</w:t>
      </w:r>
      <w:r w:rsidR="008D618B" w:rsidRPr="007E2EB3">
        <w:t>une coopération accrue entre les entreprises et les établissements universitaires.</w:t>
      </w:r>
    </w:p>
    <w:p w14:paraId="21690A13" w14:textId="696AA3A8" w:rsidR="00565ADA" w:rsidRPr="007E2EB3" w:rsidRDefault="00827901" w:rsidP="00D237A1">
      <w:pPr>
        <w:snapToGrid w:val="0"/>
        <w:spacing w:before="360" w:after="240"/>
        <w:ind w:left="567" w:hanging="567"/>
        <w:rPr>
          <w:rFonts w:asciiTheme="minorHAnsi" w:hAnsiTheme="minorHAnsi"/>
          <w:b/>
          <w:color w:val="04629A"/>
          <w:sz w:val="28"/>
          <w:szCs w:val="28"/>
        </w:rPr>
      </w:pPr>
      <w:bookmarkStart w:id="43" w:name="lt_pId106"/>
      <w:r w:rsidRPr="007E2EB3">
        <w:rPr>
          <w:rFonts w:asciiTheme="minorHAnsi" w:hAnsiTheme="minorHAnsi"/>
          <w:b/>
          <w:color w:val="04629A"/>
          <w:sz w:val="28"/>
          <w:szCs w:val="28"/>
        </w:rPr>
        <w:t>6</w:t>
      </w:r>
      <w:r w:rsidRPr="007E2EB3">
        <w:rPr>
          <w:rFonts w:asciiTheme="minorHAnsi" w:hAnsiTheme="minorHAnsi"/>
          <w:b/>
          <w:color w:val="04629A"/>
          <w:sz w:val="28"/>
          <w:szCs w:val="28"/>
        </w:rPr>
        <w:tab/>
      </w:r>
      <w:r w:rsidR="00565ADA" w:rsidRPr="007E2EB3">
        <w:rPr>
          <w:rFonts w:asciiTheme="minorHAnsi" w:hAnsiTheme="minorHAnsi"/>
          <w:b/>
          <w:color w:val="04629A"/>
          <w:sz w:val="28"/>
          <w:szCs w:val="28"/>
        </w:rPr>
        <w:t>Encourager le développement continu de l</w:t>
      </w:r>
      <w:r w:rsidR="00E90097" w:rsidRPr="007E2EB3">
        <w:rPr>
          <w:rFonts w:asciiTheme="minorHAnsi" w:hAnsiTheme="minorHAnsi"/>
          <w:b/>
          <w:color w:val="04629A"/>
          <w:sz w:val="28"/>
          <w:szCs w:val="28"/>
        </w:rPr>
        <w:t>'</w:t>
      </w:r>
      <w:r w:rsidR="00074961">
        <w:rPr>
          <w:rFonts w:asciiTheme="minorHAnsi" w:hAnsiTheme="minorHAnsi"/>
          <w:b/>
          <w:color w:val="04629A"/>
          <w:sz w:val="28"/>
          <w:szCs w:val="28"/>
        </w:rPr>
        <w:t>Internet des o</w:t>
      </w:r>
      <w:r w:rsidR="00565ADA" w:rsidRPr="007E2EB3">
        <w:rPr>
          <w:rFonts w:asciiTheme="minorHAnsi" w:hAnsiTheme="minorHAnsi"/>
          <w:b/>
          <w:color w:val="04629A"/>
          <w:sz w:val="28"/>
          <w:szCs w:val="28"/>
        </w:rPr>
        <w:t>bjets et la numérisation de la production</w:t>
      </w:r>
      <w:bookmarkEnd w:id="43"/>
    </w:p>
    <w:p w14:paraId="0FF6DBF6" w14:textId="13D1B850" w:rsidR="00565ADA" w:rsidRPr="007E2EB3" w:rsidRDefault="00565ADA" w:rsidP="00D237A1">
      <w:bookmarkStart w:id="44" w:name="lt_pId107"/>
      <w:r w:rsidRPr="007E2EB3">
        <w:t>Les pays du G20 peuvent échanger des bonnes pratiques et définir des axes de coopération permettant d</w:t>
      </w:r>
      <w:r w:rsidR="00E90097" w:rsidRPr="007E2EB3">
        <w:t>'</w:t>
      </w:r>
      <w:r w:rsidRPr="007E2EB3">
        <w:t>encourager le développement de l</w:t>
      </w:r>
      <w:r w:rsidR="00E90097" w:rsidRPr="007E2EB3">
        <w:t>'</w:t>
      </w:r>
      <w:r w:rsidRPr="007E2EB3">
        <w:t xml:space="preserve">Internet </w:t>
      </w:r>
      <w:r w:rsidR="00074961">
        <w:t>des o</w:t>
      </w:r>
      <w:r w:rsidRPr="007E2EB3">
        <w:t>bjets (</w:t>
      </w:r>
      <w:proofErr w:type="spellStart"/>
      <w:r w:rsidRPr="007E2EB3">
        <w:t>IoT</w:t>
      </w:r>
      <w:proofErr w:type="spellEnd"/>
      <w:r w:rsidRPr="007E2EB3">
        <w:t>) et la numérisation efficace de la production.</w:t>
      </w:r>
    </w:p>
    <w:p w14:paraId="009160CE" w14:textId="4822ECE6" w:rsidR="00565ADA" w:rsidRPr="007E2EB3" w:rsidRDefault="00565ADA" w:rsidP="00565ADA">
      <w:pPr>
        <w:snapToGrid w:val="0"/>
        <w:spacing w:after="120"/>
        <w:rPr>
          <w:rFonts w:asciiTheme="minorHAnsi" w:hAnsiTheme="minorHAnsi"/>
        </w:rPr>
      </w:pPr>
      <w:bookmarkStart w:id="45" w:name="lt_pId108"/>
      <w:bookmarkEnd w:id="44"/>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w:t>
      </w:r>
      <w:bookmarkEnd w:id="45"/>
      <w:r w:rsidRPr="007E2EB3">
        <w:rPr>
          <w:rFonts w:asciiTheme="minorHAnsi" w:hAnsiTheme="minorHAnsi"/>
        </w:rPr>
        <w:t xml:space="preserve"> </w:t>
      </w:r>
    </w:p>
    <w:p w14:paraId="18970E32" w14:textId="24F50494" w:rsidR="00565ADA" w:rsidRPr="007E2EB3" w:rsidRDefault="00827901" w:rsidP="00827901">
      <w:pPr>
        <w:pStyle w:val="enumlev1"/>
      </w:pPr>
      <w:bookmarkStart w:id="46" w:name="lt_pId109"/>
      <w:r w:rsidRPr="007E2EB3">
        <w:t>•</w:t>
      </w:r>
      <w:r w:rsidRPr="007E2EB3">
        <w:tab/>
      </w:r>
      <w:r w:rsidR="00565ADA" w:rsidRPr="007E2EB3">
        <w:t>De travailler en collaboration dans les domaines de la numérisation de la production, des villes intelligentes, de la mobilité intelligente, de la sécurité informatique et de l</w:t>
      </w:r>
      <w:r w:rsidR="00E90097" w:rsidRPr="007E2EB3">
        <w:t>'</w:t>
      </w:r>
      <w:r w:rsidR="00565ADA" w:rsidRPr="007E2EB3">
        <w:t>agriculture intelligente.</w:t>
      </w:r>
    </w:p>
    <w:bookmarkEnd w:id="46"/>
    <w:p w14:paraId="0FECBD3F" w14:textId="5E07AF12" w:rsidR="00024BE0" w:rsidRPr="007E2EB3" w:rsidRDefault="00827901" w:rsidP="00827901">
      <w:pPr>
        <w:pStyle w:val="enumlev1"/>
      </w:pPr>
      <w:r w:rsidRPr="007E2EB3">
        <w:t>•</w:t>
      </w:r>
      <w:r w:rsidRPr="007E2EB3">
        <w:tab/>
      </w:r>
      <w:r w:rsidR="00565ADA" w:rsidRPr="007E2EB3">
        <w:t>D</w:t>
      </w:r>
      <w:r w:rsidR="00E90097" w:rsidRPr="007E2EB3">
        <w:t>'</w:t>
      </w:r>
      <w:r w:rsidR="00565ADA" w:rsidRPr="007E2EB3">
        <w:t xml:space="preserve">échanger des bonnes pratiques sur la numérisation de la production, afin de faciliter la transformation numérique au niveau mondial et </w:t>
      </w:r>
      <w:r w:rsidR="005335BD" w:rsidRPr="007E2EB3">
        <w:t xml:space="preserve">afin que </w:t>
      </w:r>
      <w:r w:rsidR="00765C55" w:rsidRPr="007E2EB3">
        <w:t xml:space="preserve">tous </w:t>
      </w:r>
      <w:r w:rsidR="005335BD" w:rsidRPr="007E2EB3">
        <w:t>les pays du G20 tirent parti de ces enseignements.</w:t>
      </w:r>
    </w:p>
    <w:p w14:paraId="1A471A51" w14:textId="01463585" w:rsidR="005335BD" w:rsidRPr="007E2EB3" w:rsidRDefault="00827901" w:rsidP="00827901">
      <w:pPr>
        <w:pStyle w:val="enumlev1"/>
      </w:pPr>
      <w:r w:rsidRPr="007E2EB3">
        <w:t>•</w:t>
      </w:r>
      <w:r w:rsidRPr="007E2EB3">
        <w:tab/>
      </w:r>
      <w:r w:rsidR="005335BD" w:rsidRPr="007E2EB3">
        <w:t>D</w:t>
      </w:r>
      <w:r w:rsidR="00E90097" w:rsidRPr="007E2EB3">
        <w:t>'</w:t>
      </w:r>
      <w:r w:rsidR="005335BD" w:rsidRPr="007E2EB3">
        <w:t>encourager les centres d</w:t>
      </w:r>
      <w:r w:rsidR="00E90097" w:rsidRPr="007E2EB3">
        <w:t>'</w:t>
      </w:r>
      <w:r w:rsidR="005335BD" w:rsidRPr="007E2EB3">
        <w:t xml:space="preserve">excellence, les pôles numériques (pour les start-ups) et les pôles de compétitivité </w:t>
      </w:r>
      <w:r w:rsidR="00DD280D" w:rsidRPr="007E2EB3">
        <w:t>à</w:t>
      </w:r>
      <w:r w:rsidR="005335BD" w:rsidRPr="007E2EB3">
        <w:t xml:space="preserve"> sou</w:t>
      </w:r>
      <w:r w:rsidR="005677C7" w:rsidRPr="007E2EB3">
        <w:t>tenir les micro</w:t>
      </w:r>
      <w:r w:rsidR="00DD280D" w:rsidRPr="007E2EB3">
        <w:t>entreprises et les PME et à</w:t>
      </w:r>
      <w:r w:rsidR="005335BD" w:rsidRPr="007E2EB3">
        <w:t xml:space="preserve"> rechercher des synergies avec différents partenaires, parmi lesquels les grandes entreprises.</w:t>
      </w:r>
    </w:p>
    <w:p w14:paraId="504F125E" w14:textId="69807CF2" w:rsidR="005335BD" w:rsidRPr="007E2EB3" w:rsidRDefault="00827901" w:rsidP="00827901">
      <w:pPr>
        <w:pStyle w:val="enumlev1"/>
      </w:pPr>
      <w:r w:rsidRPr="007E2EB3">
        <w:t>•</w:t>
      </w:r>
      <w:r w:rsidRPr="007E2EB3">
        <w:tab/>
      </w:r>
      <w:r w:rsidR="005335BD" w:rsidRPr="007E2EB3">
        <w:t>D</w:t>
      </w:r>
      <w:r w:rsidR="00E90097" w:rsidRPr="007E2EB3">
        <w:t>'</w:t>
      </w:r>
      <w:r w:rsidR="005335BD" w:rsidRPr="007E2EB3">
        <w:t>encourager les partenariats d</w:t>
      </w:r>
      <w:r w:rsidR="00E90097" w:rsidRPr="007E2EB3">
        <w:t>'</w:t>
      </w:r>
      <w:r w:rsidR="005335BD" w:rsidRPr="007E2EB3">
        <w:t xml:space="preserve">apprentissage, par exemple entre les initiatives nationales et différents acteurs ou parties prenantes intéressés. </w:t>
      </w:r>
    </w:p>
    <w:p w14:paraId="515E0B51" w14:textId="7F871C85" w:rsidR="005335BD" w:rsidRPr="007E2EB3" w:rsidRDefault="00827901" w:rsidP="00D237A1">
      <w:pPr>
        <w:snapToGrid w:val="0"/>
        <w:spacing w:before="360" w:after="240"/>
        <w:ind w:left="567" w:hanging="567"/>
        <w:rPr>
          <w:rFonts w:asciiTheme="minorHAnsi" w:hAnsiTheme="minorHAnsi"/>
          <w:b/>
          <w:color w:val="04629A"/>
          <w:sz w:val="28"/>
          <w:szCs w:val="28"/>
        </w:rPr>
      </w:pPr>
      <w:bookmarkStart w:id="47" w:name="lt_pId113"/>
      <w:r w:rsidRPr="007E2EB3">
        <w:rPr>
          <w:rFonts w:asciiTheme="minorHAnsi" w:hAnsiTheme="minorHAnsi"/>
          <w:b/>
          <w:color w:val="04629A"/>
          <w:sz w:val="28"/>
          <w:szCs w:val="28"/>
        </w:rPr>
        <w:t>7</w:t>
      </w:r>
      <w:r w:rsidRPr="007E2EB3">
        <w:rPr>
          <w:rFonts w:asciiTheme="minorHAnsi" w:hAnsiTheme="minorHAnsi"/>
          <w:b/>
          <w:color w:val="04629A"/>
          <w:sz w:val="28"/>
          <w:szCs w:val="28"/>
        </w:rPr>
        <w:tab/>
      </w:r>
      <w:r w:rsidR="00DF54D6" w:rsidRPr="007E2EB3">
        <w:rPr>
          <w:rFonts w:asciiTheme="minorHAnsi" w:hAnsiTheme="minorHAnsi"/>
          <w:b/>
          <w:color w:val="04629A"/>
          <w:sz w:val="28"/>
          <w:szCs w:val="28"/>
        </w:rPr>
        <w:t>Permettre à chacun de s</w:t>
      </w:r>
      <w:r w:rsidR="00E90097" w:rsidRPr="007E2EB3">
        <w:rPr>
          <w:rFonts w:asciiTheme="minorHAnsi" w:hAnsiTheme="minorHAnsi"/>
          <w:b/>
          <w:color w:val="04629A"/>
          <w:sz w:val="28"/>
          <w:szCs w:val="28"/>
        </w:rPr>
        <w:t>'</w:t>
      </w:r>
      <w:r w:rsidR="00DF54D6" w:rsidRPr="007E2EB3">
        <w:rPr>
          <w:rFonts w:asciiTheme="minorHAnsi" w:hAnsiTheme="minorHAnsi"/>
          <w:b/>
          <w:color w:val="04629A"/>
          <w:sz w:val="28"/>
          <w:szCs w:val="28"/>
        </w:rPr>
        <w:t>adapter à l</w:t>
      </w:r>
      <w:r w:rsidR="00E90097" w:rsidRPr="007E2EB3">
        <w:rPr>
          <w:rFonts w:asciiTheme="minorHAnsi" w:hAnsiTheme="minorHAnsi"/>
          <w:b/>
          <w:color w:val="04629A"/>
          <w:sz w:val="28"/>
          <w:szCs w:val="28"/>
        </w:rPr>
        <w:t>'</w:t>
      </w:r>
      <w:r w:rsidR="00DF54D6" w:rsidRPr="007E2EB3">
        <w:rPr>
          <w:rFonts w:asciiTheme="minorHAnsi" w:hAnsiTheme="minorHAnsi"/>
          <w:b/>
          <w:color w:val="04629A"/>
          <w:sz w:val="28"/>
          <w:szCs w:val="28"/>
        </w:rPr>
        <w:t>économie et à la société numériques et d</w:t>
      </w:r>
      <w:bookmarkEnd w:id="47"/>
      <w:r w:rsidR="00E90097" w:rsidRPr="007E2EB3">
        <w:rPr>
          <w:rFonts w:asciiTheme="minorHAnsi" w:hAnsiTheme="minorHAnsi"/>
          <w:b/>
          <w:color w:val="04629A"/>
          <w:sz w:val="28"/>
          <w:szCs w:val="28"/>
        </w:rPr>
        <w:t>'</w:t>
      </w:r>
      <w:r w:rsidR="00DF54D6" w:rsidRPr="007E2EB3">
        <w:rPr>
          <w:rFonts w:asciiTheme="minorHAnsi" w:hAnsiTheme="minorHAnsi"/>
          <w:b/>
          <w:color w:val="04629A"/>
          <w:sz w:val="28"/>
          <w:szCs w:val="28"/>
        </w:rPr>
        <w:t>y exceller</w:t>
      </w:r>
    </w:p>
    <w:p w14:paraId="1FE4F5D3" w14:textId="0C0E28EA" w:rsidR="005335BD" w:rsidRPr="007E2EB3" w:rsidRDefault="00DF54D6" w:rsidP="00D237A1">
      <w:bookmarkStart w:id="48" w:name="lt_pId114"/>
      <w:r w:rsidRPr="007E2EB3">
        <w:t>Les compétences numériques s</w:t>
      </w:r>
      <w:r w:rsidR="00E90097" w:rsidRPr="007E2EB3">
        <w:t>'</w:t>
      </w:r>
      <w:r w:rsidRPr="007E2EB3">
        <w:t xml:space="preserve">imposent de plus en plus comme la condition préalable </w:t>
      </w:r>
      <w:r w:rsidR="00DD280D" w:rsidRPr="007E2EB3">
        <w:t>de</w:t>
      </w:r>
      <w:r w:rsidRPr="007E2EB3">
        <w:t xml:space="preserve"> la participation à la vie économi</w:t>
      </w:r>
      <w:r w:rsidR="00DD280D" w:rsidRPr="007E2EB3">
        <w:t>qu</w:t>
      </w:r>
      <w:r w:rsidRPr="007E2EB3">
        <w:t>e, sociale, culturelle, politique et civile moderne.</w:t>
      </w:r>
      <w:bookmarkEnd w:id="48"/>
      <w:r w:rsidR="005335BD" w:rsidRPr="007E2EB3">
        <w:t xml:space="preserve"> </w:t>
      </w:r>
      <w:bookmarkStart w:id="49" w:name="lt_pId115"/>
      <w:r w:rsidRPr="007E2EB3">
        <w:t>Afin de mi</w:t>
      </w:r>
      <w:r w:rsidR="00DD280D" w:rsidRPr="007E2EB3">
        <w:t>eux préparer la population aux perspective</w:t>
      </w:r>
      <w:r w:rsidRPr="007E2EB3">
        <w:t>s et aux enjeux de la mondialisation et de la révolution numérique, nous devons faire en sorte que chacun puisse s</w:t>
      </w:r>
      <w:r w:rsidR="00E90097" w:rsidRPr="007E2EB3">
        <w:t>'</w:t>
      </w:r>
      <w:r w:rsidRPr="007E2EB3">
        <w:t xml:space="preserve">adapter </w:t>
      </w:r>
      <w:r w:rsidR="005677C7" w:rsidRPr="007E2EB3">
        <w:t xml:space="preserve">aux nouveaux </w:t>
      </w:r>
      <w:r w:rsidRPr="007E2EB3">
        <w:t xml:space="preserve">métiers et </w:t>
      </w:r>
      <w:r w:rsidR="005677C7" w:rsidRPr="007E2EB3">
        <w:t xml:space="preserve">aux nouvelles </w:t>
      </w:r>
      <w:r w:rsidRPr="007E2EB3">
        <w:t>compétences</w:t>
      </w:r>
      <w:r w:rsidR="005677C7" w:rsidRPr="007E2EB3">
        <w:t xml:space="preserve"> recherchés</w:t>
      </w:r>
      <w:r w:rsidRPr="007E2EB3">
        <w:t xml:space="preserve">. </w:t>
      </w:r>
      <w:bookmarkEnd w:id="49"/>
    </w:p>
    <w:p w14:paraId="141A8762" w14:textId="3457481B" w:rsidR="005677C7" w:rsidRPr="007E2EB3" w:rsidRDefault="005677C7" w:rsidP="005677C7">
      <w:pPr>
        <w:snapToGrid w:val="0"/>
        <w:spacing w:after="120"/>
        <w:rPr>
          <w:rFonts w:asciiTheme="minorHAnsi" w:hAnsiTheme="minorHAnsi"/>
        </w:rPr>
      </w:pPr>
      <w:bookmarkStart w:id="50" w:name="lt_pId116"/>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 xml:space="preserve">: </w:t>
      </w:r>
    </w:p>
    <w:p w14:paraId="6DF13FAA" w14:textId="7D5E0EFA" w:rsidR="005335BD" w:rsidRPr="007E2EB3" w:rsidRDefault="00827901" w:rsidP="00827901">
      <w:pPr>
        <w:pStyle w:val="enumlev1"/>
      </w:pPr>
      <w:bookmarkStart w:id="51" w:name="lt_pId117"/>
      <w:bookmarkEnd w:id="50"/>
      <w:r w:rsidRPr="007E2EB3">
        <w:t>•</w:t>
      </w:r>
      <w:r w:rsidRPr="007E2EB3">
        <w:tab/>
      </w:r>
      <w:r w:rsidR="005677C7" w:rsidRPr="007E2EB3">
        <w:t>D</w:t>
      </w:r>
      <w:r w:rsidR="00E90097" w:rsidRPr="007E2EB3">
        <w:t>'</w:t>
      </w:r>
      <w:r w:rsidR="005677C7" w:rsidRPr="007E2EB3">
        <w:t>encourager et de promouvoir des stratégies efficaces en matière de formation aux outils numériques et de développement des compétences</w:t>
      </w:r>
      <w:r w:rsidR="00FF318E" w:rsidRPr="007E2EB3">
        <w:t xml:space="preserve"> propres à l</w:t>
      </w:r>
      <w:r w:rsidR="00E90097" w:rsidRPr="007E2EB3">
        <w:t>'</w:t>
      </w:r>
      <w:r w:rsidR="00FF318E" w:rsidRPr="007E2EB3">
        <w:t>économie numérique</w:t>
      </w:r>
      <w:r w:rsidR="00327663" w:rsidRPr="007E2EB3">
        <w:t xml:space="preserve"> permettant aux populations, notamment aux groupes défavorisés ou sous-représentés, de s</w:t>
      </w:r>
      <w:r w:rsidR="00E90097" w:rsidRPr="007E2EB3">
        <w:t>'</w:t>
      </w:r>
      <w:r w:rsidR="00327663" w:rsidRPr="007E2EB3">
        <w:t>adapter efficacement aux impératifs de l</w:t>
      </w:r>
      <w:r w:rsidR="00E90097" w:rsidRPr="007E2EB3">
        <w:t>'</w:t>
      </w:r>
      <w:r w:rsidR="00327663" w:rsidRPr="007E2EB3">
        <w:t>économie et de la société numériques.</w:t>
      </w:r>
      <w:bookmarkEnd w:id="51"/>
    </w:p>
    <w:p w14:paraId="3CB16582" w14:textId="673431B9" w:rsidR="00405D8E" w:rsidRPr="007E2EB3" w:rsidRDefault="00827901" w:rsidP="00012685">
      <w:pPr>
        <w:pStyle w:val="enumlev1"/>
      </w:pPr>
      <w:r w:rsidRPr="007E2EB3">
        <w:t>•</w:t>
      </w:r>
      <w:r w:rsidRPr="007E2EB3">
        <w:tab/>
      </w:r>
      <w:r w:rsidR="00181DAD" w:rsidRPr="007E2EB3">
        <w:t xml:space="preserve">De travailler en collaboration avec le </w:t>
      </w:r>
      <w:r w:rsidR="00405D8E" w:rsidRPr="007E2EB3">
        <w:t>g</w:t>
      </w:r>
      <w:r w:rsidR="00181DAD" w:rsidRPr="007E2EB3">
        <w:t>roupe de travail</w:t>
      </w:r>
      <w:r w:rsidR="00405D8E" w:rsidRPr="007E2EB3">
        <w:t xml:space="preserve"> sur l</w:t>
      </w:r>
      <w:r w:rsidR="00E90097" w:rsidRPr="007E2EB3">
        <w:t>'</w:t>
      </w:r>
      <w:r w:rsidR="00405D8E" w:rsidRPr="007E2EB3">
        <w:t xml:space="preserve">emploi </w:t>
      </w:r>
      <w:r w:rsidR="00181DAD" w:rsidRPr="007E2EB3">
        <w:t>afin d</w:t>
      </w:r>
      <w:r w:rsidR="00E90097" w:rsidRPr="007E2EB3">
        <w:t>'</w:t>
      </w:r>
      <w:r w:rsidR="00181DAD" w:rsidRPr="007E2EB3">
        <w:t>approfondir les recommandations de l</w:t>
      </w:r>
      <w:r w:rsidR="00E90097" w:rsidRPr="007E2EB3">
        <w:t>'</w:t>
      </w:r>
      <w:r w:rsidR="00181DAD" w:rsidRPr="007E2EB3">
        <w:t>Annexe 2, parmi lesquelles l</w:t>
      </w:r>
      <w:r w:rsidR="00E90097" w:rsidRPr="007E2EB3">
        <w:t>'</w:t>
      </w:r>
      <w:r w:rsidR="00181DAD" w:rsidRPr="007E2EB3">
        <w:t>initiative du G20 pour la promotion d</w:t>
      </w:r>
      <w:r w:rsidR="00E90097" w:rsidRPr="007E2EB3">
        <w:t>'</w:t>
      </w:r>
      <w:r w:rsidR="00181DAD" w:rsidRPr="007E2EB3">
        <w:t>un apprentissage de qualité</w:t>
      </w:r>
      <w:r w:rsidR="00F677D2" w:rsidRPr="007E2EB3">
        <w:t xml:space="preserve"> et la Stratégie de formation du G20</w:t>
      </w:r>
      <w:r w:rsidR="00405D8E" w:rsidRPr="007E2EB3">
        <w:t xml:space="preserve">, afin de remédier aux enjeux posés par la numérisation. Dans ce </w:t>
      </w:r>
      <w:r w:rsidR="00405D8E" w:rsidRPr="00012685">
        <w:t>contexte</w:t>
      </w:r>
      <w:r w:rsidR="00405D8E" w:rsidRPr="007E2EB3">
        <w:t>, il pourrait être nécessaire de prendre des mesures ciblées et de mener des activités de renforcement des compétences suivant le niveau de développement des différents pays du G20.</w:t>
      </w:r>
    </w:p>
    <w:p w14:paraId="7196747E" w14:textId="4A2DBD15" w:rsidR="00327663" w:rsidRPr="007E2EB3" w:rsidRDefault="00827901" w:rsidP="00827901">
      <w:pPr>
        <w:pStyle w:val="enumlev1"/>
      </w:pPr>
      <w:r w:rsidRPr="007E2EB3">
        <w:lastRenderedPageBreak/>
        <w:t>•</w:t>
      </w:r>
      <w:r w:rsidRPr="007E2EB3">
        <w:tab/>
      </w:r>
      <w:r w:rsidR="00405D8E" w:rsidRPr="007E2EB3">
        <w:t xml:space="preserve">De travailler en collaboration avec le groupe de travail </w:t>
      </w:r>
      <w:r w:rsidR="002D7D19" w:rsidRPr="007E2EB3">
        <w:t>sur</w:t>
      </w:r>
      <w:r w:rsidR="00405D8E" w:rsidRPr="007E2EB3">
        <w:t xml:space="preserve"> le développement afin de susciter des synergies avec l</w:t>
      </w:r>
      <w:r w:rsidR="00E90097" w:rsidRPr="007E2EB3">
        <w:t>'</w:t>
      </w:r>
      <w:r w:rsidR="00405D8E" w:rsidRPr="007E2EB3">
        <w:t>initiative du G20 visant à promouvoir le développement des compétences liées à l</w:t>
      </w:r>
      <w:r w:rsidR="00E90097" w:rsidRPr="007E2EB3">
        <w:t>'</w:t>
      </w:r>
      <w:r w:rsidR="00405D8E" w:rsidRPr="007E2EB3">
        <w:t>économie numérique et les perspectives d</w:t>
      </w:r>
      <w:r w:rsidR="00E90097" w:rsidRPr="007E2EB3">
        <w:t>'</w:t>
      </w:r>
      <w:r w:rsidR="00405D8E" w:rsidRPr="007E2EB3">
        <w:t>emploi pour les femmes et les filles, en particulier dans les pays émergents et dans les pays en développement.</w:t>
      </w:r>
    </w:p>
    <w:p w14:paraId="734FEF18" w14:textId="32D4FBB9" w:rsidR="000C6123" w:rsidRPr="007E2EB3" w:rsidRDefault="00827901" w:rsidP="00FE33B5">
      <w:pPr>
        <w:pStyle w:val="enumlev1"/>
      </w:pPr>
      <w:r w:rsidRPr="007E2EB3">
        <w:t>•</w:t>
      </w:r>
      <w:r w:rsidRPr="007E2EB3">
        <w:tab/>
      </w:r>
      <w:r w:rsidR="00405D8E" w:rsidRPr="007E2EB3">
        <w:t>De promouvoir la numérisation pour s</w:t>
      </w:r>
      <w:r w:rsidR="00E90097" w:rsidRPr="007E2EB3">
        <w:t>'</w:t>
      </w:r>
      <w:r w:rsidR="00405D8E" w:rsidRPr="007E2EB3">
        <w:t>efforcer de donner effet au Programme 2030 et de réaliser ses ODD en vue d</w:t>
      </w:r>
      <w:r w:rsidR="00E90097" w:rsidRPr="007E2EB3">
        <w:t>'</w:t>
      </w:r>
      <w:r w:rsidR="00405D8E" w:rsidRPr="007E2EB3">
        <w:t>éradiquer la pauvreté, de protéger la planète et de garantir la prospérité pour tous</w:t>
      </w:r>
      <w:r w:rsidR="000C6123" w:rsidRPr="007E2EB3">
        <w:rPr>
          <w:rStyle w:val="FootnoteReference"/>
        </w:rPr>
        <w:footnoteReference w:id="3"/>
      </w:r>
      <w:r w:rsidR="00FE33B5">
        <w:t>.</w:t>
      </w:r>
      <w:r w:rsidR="00405D8E" w:rsidRPr="007E2EB3">
        <w:t xml:space="preserve"> </w:t>
      </w:r>
    </w:p>
    <w:p w14:paraId="55CDF961" w14:textId="675109EA" w:rsidR="000C6123" w:rsidRPr="007E2EB3" w:rsidRDefault="00827901" w:rsidP="00827901">
      <w:pPr>
        <w:snapToGrid w:val="0"/>
        <w:spacing w:before="360" w:after="240"/>
        <w:rPr>
          <w:rFonts w:asciiTheme="minorHAnsi" w:hAnsiTheme="minorHAnsi"/>
          <w:b/>
          <w:color w:val="04629A"/>
          <w:sz w:val="28"/>
          <w:szCs w:val="28"/>
        </w:rPr>
      </w:pPr>
      <w:bookmarkStart w:id="52" w:name="lt_pId122"/>
      <w:r w:rsidRPr="007E2EB3">
        <w:rPr>
          <w:rFonts w:asciiTheme="minorHAnsi" w:hAnsiTheme="minorHAnsi"/>
          <w:b/>
          <w:color w:val="04629A"/>
          <w:sz w:val="28"/>
          <w:szCs w:val="28"/>
        </w:rPr>
        <w:t>8</w:t>
      </w:r>
      <w:r w:rsidRPr="007E2EB3">
        <w:rPr>
          <w:rFonts w:asciiTheme="minorHAnsi" w:hAnsiTheme="minorHAnsi"/>
          <w:b/>
          <w:color w:val="04629A"/>
          <w:sz w:val="28"/>
          <w:szCs w:val="28"/>
        </w:rPr>
        <w:tab/>
      </w:r>
      <w:r w:rsidR="000C6123" w:rsidRPr="007E2EB3">
        <w:rPr>
          <w:rFonts w:asciiTheme="minorHAnsi" w:hAnsiTheme="minorHAnsi"/>
          <w:b/>
          <w:color w:val="04629A"/>
          <w:sz w:val="28"/>
          <w:szCs w:val="28"/>
        </w:rPr>
        <w:t>Renforcer la confiance dans l</w:t>
      </w:r>
      <w:r w:rsidR="00E90097" w:rsidRPr="007E2EB3">
        <w:rPr>
          <w:rFonts w:asciiTheme="minorHAnsi" w:hAnsiTheme="minorHAnsi"/>
          <w:b/>
          <w:color w:val="04629A"/>
          <w:sz w:val="28"/>
          <w:szCs w:val="28"/>
        </w:rPr>
        <w:t>'</w:t>
      </w:r>
      <w:r w:rsidR="000C6123" w:rsidRPr="007E2EB3">
        <w:rPr>
          <w:rFonts w:asciiTheme="minorHAnsi" w:hAnsiTheme="minorHAnsi"/>
          <w:b/>
          <w:color w:val="04629A"/>
          <w:sz w:val="28"/>
          <w:szCs w:val="28"/>
        </w:rPr>
        <w:t>économie numérique</w:t>
      </w:r>
      <w:bookmarkEnd w:id="52"/>
    </w:p>
    <w:p w14:paraId="2C7B47C1" w14:textId="67D421D9" w:rsidR="000C6123" w:rsidRPr="007E2EB3" w:rsidRDefault="000C6123" w:rsidP="000C6123">
      <w:pPr>
        <w:snapToGrid w:val="0"/>
        <w:spacing w:after="120"/>
        <w:rPr>
          <w:rFonts w:asciiTheme="minorHAnsi" w:hAnsiTheme="minorHAnsi"/>
        </w:rPr>
      </w:pPr>
      <w:bookmarkStart w:id="53" w:name="lt_pId123"/>
      <w:r w:rsidRPr="007E2EB3">
        <w:rPr>
          <w:rFonts w:asciiTheme="minorHAnsi" w:hAnsiTheme="minorHAnsi"/>
        </w:rPr>
        <w:t>La confiance et la sécurité sont deux éléments essentiels au fonctionnement de l</w:t>
      </w:r>
      <w:r w:rsidR="00E90097" w:rsidRPr="007E2EB3">
        <w:rPr>
          <w:rFonts w:asciiTheme="minorHAnsi" w:hAnsiTheme="minorHAnsi"/>
        </w:rPr>
        <w:t>'</w:t>
      </w:r>
      <w:r w:rsidRPr="007E2EB3">
        <w:rPr>
          <w:rFonts w:asciiTheme="minorHAnsi" w:hAnsiTheme="minorHAnsi"/>
        </w:rPr>
        <w:t>économie numérique, sans lesquels l</w:t>
      </w:r>
      <w:r w:rsidR="00E90097" w:rsidRPr="007E2EB3">
        <w:rPr>
          <w:rFonts w:asciiTheme="minorHAnsi" w:hAnsiTheme="minorHAnsi"/>
        </w:rPr>
        <w:t>'</w:t>
      </w:r>
      <w:r w:rsidRPr="007E2EB3">
        <w:rPr>
          <w:rFonts w:asciiTheme="minorHAnsi" w:hAnsiTheme="minorHAnsi"/>
        </w:rPr>
        <w:t xml:space="preserve">adoption des technologies numériques peut être limitée, ce qui compromet le potentiel de cette source </w:t>
      </w:r>
      <w:r w:rsidR="00765C55" w:rsidRPr="007E2EB3">
        <w:rPr>
          <w:rFonts w:asciiTheme="minorHAnsi" w:hAnsiTheme="minorHAnsi"/>
        </w:rPr>
        <w:t xml:space="preserve">importante </w:t>
      </w:r>
      <w:r w:rsidRPr="007E2EB3">
        <w:rPr>
          <w:rFonts w:asciiTheme="minorHAnsi" w:hAnsiTheme="minorHAnsi"/>
        </w:rPr>
        <w:t>de croissance et de progrès social.</w:t>
      </w:r>
    </w:p>
    <w:p w14:paraId="3AA1502E" w14:textId="7BFE736C" w:rsidR="000C6123" w:rsidRPr="007E2EB3" w:rsidRDefault="000C6123" w:rsidP="000C6123">
      <w:pPr>
        <w:snapToGrid w:val="0"/>
        <w:spacing w:after="120"/>
        <w:rPr>
          <w:rFonts w:asciiTheme="minorHAnsi" w:hAnsiTheme="minorHAnsi"/>
        </w:rPr>
      </w:pPr>
      <w:bookmarkStart w:id="54" w:name="lt_pId125"/>
      <w:bookmarkEnd w:id="53"/>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ont 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w:t>
      </w:r>
      <w:bookmarkEnd w:id="54"/>
    </w:p>
    <w:p w14:paraId="01C32581" w14:textId="2AF638C4" w:rsidR="000C6123" w:rsidRPr="007E2EB3" w:rsidRDefault="00827901" w:rsidP="00827901">
      <w:pPr>
        <w:pStyle w:val="enumlev1"/>
      </w:pPr>
      <w:bookmarkStart w:id="55" w:name="lt_pId126"/>
      <w:r w:rsidRPr="007E2EB3">
        <w:t>•</w:t>
      </w:r>
      <w:r w:rsidRPr="007E2EB3">
        <w:tab/>
      </w:r>
      <w:r w:rsidR="000C6123" w:rsidRPr="007E2EB3">
        <w:t>D</w:t>
      </w:r>
      <w:r w:rsidR="00E90097" w:rsidRPr="007E2EB3">
        <w:t>'</w:t>
      </w:r>
      <w:r w:rsidR="000C6123" w:rsidRPr="007E2EB3">
        <w:t>échanger des données d</w:t>
      </w:r>
      <w:r w:rsidR="00E90097" w:rsidRPr="007E2EB3">
        <w:t>'</w:t>
      </w:r>
      <w:r w:rsidR="000C6123" w:rsidRPr="007E2EB3">
        <w:t>expérience quant à la manière d</w:t>
      </w:r>
      <w:r w:rsidR="00E90097" w:rsidRPr="007E2EB3">
        <w:t>'</w:t>
      </w:r>
      <w:r w:rsidR="000C6123" w:rsidRPr="007E2EB3">
        <w:t>instaurer la confiance dans l</w:t>
      </w:r>
      <w:r w:rsidR="00E90097" w:rsidRPr="007E2EB3">
        <w:t>'</w:t>
      </w:r>
      <w:r w:rsidR="000C6123" w:rsidRPr="007E2EB3">
        <w:t>économie numérique et d</w:t>
      </w:r>
      <w:r w:rsidR="00E90097" w:rsidRPr="007E2EB3">
        <w:t>'</w:t>
      </w:r>
      <w:r w:rsidR="000C6123" w:rsidRPr="007E2EB3">
        <w:t>encourager les acteurs des secteurs public et privé, en particulier les microentreprises et les PME, à appliquer des normes techniques, des lignes directrices et des bonnes pratiques fondées sur les risques afin de recenser, d</w:t>
      </w:r>
      <w:r w:rsidR="00E90097" w:rsidRPr="007E2EB3">
        <w:t>'</w:t>
      </w:r>
      <w:r w:rsidR="000C6123" w:rsidRPr="007E2EB3">
        <w:t>évaluer et de gérer les risques de sécurité.</w:t>
      </w:r>
    </w:p>
    <w:p w14:paraId="303F88A3" w14:textId="42EC7A1D" w:rsidR="000C6123" w:rsidRPr="007E2EB3" w:rsidRDefault="00827901" w:rsidP="00827901">
      <w:pPr>
        <w:pStyle w:val="enumlev1"/>
      </w:pPr>
      <w:bookmarkStart w:id="56" w:name="lt_pId127"/>
      <w:bookmarkEnd w:id="55"/>
      <w:r w:rsidRPr="007E2EB3">
        <w:t>•</w:t>
      </w:r>
      <w:r w:rsidRPr="007E2EB3">
        <w:tab/>
      </w:r>
      <w:r w:rsidR="000C6123" w:rsidRPr="007E2EB3">
        <w:t>D</w:t>
      </w:r>
      <w:r w:rsidR="00E90097" w:rsidRPr="007E2EB3">
        <w:t>'</w:t>
      </w:r>
      <w:r w:rsidR="000C6123" w:rsidRPr="007E2EB3">
        <w:t>encourager la mise au point de stratégie</w:t>
      </w:r>
      <w:r w:rsidR="007D7D63" w:rsidRPr="007E2EB3">
        <w:t>s</w:t>
      </w:r>
      <w:r w:rsidR="000C6123" w:rsidRPr="007E2EB3">
        <w:t xml:space="preserve"> nationales en matière de protection de la vie privée</w:t>
      </w:r>
      <w:r w:rsidR="007D7D63" w:rsidRPr="007E2EB3">
        <w:t>, tout en tenant compte des besoins propres aux différents pays. Les ministres chargés de l</w:t>
      </w:r>
      <w:r w:rsidR="00E90097" w:rsidRPr="007E2EB3">
        <w:t>'</w:t>
      </w:r>
      <w:r w:rsidR="007D7D63" w:rsidRPr="007E2EB3">
        <w:t>économie numérique reconnaissent qu</w:t>
      </w:r>
      <w:r w:rsidR="00E90097" w:rsidRPr="007E2EB3">
        <w:t>'</w:t>
      </w:r>
      <w:r w:rsidR="007D7D63" w:rsidRPr="007E2EB3">
        <w:t>il est important de promouvoir l</w:t>
      </w:r>
      <w:r w:rsidR="00E90097" w:rsidRPr="007E2EB3">
        <w:t>'</w:t>
      </w:r>
      <w:r w:rsidR="007D7D63" w:rsidRPr="007E2EB3">
        <w:t>interopérabilité entre les cadres des différents pays en matière de protection de la vie privée.</w:t>
      </w:r>
      <w:bookmarkEnd w:id="56"/>
      <w:r w:rsidR="000C6123" w:rsidRPr="007E2EB3">
        <w:t xml:space="preserve"> </w:t>
      </w:r>
    </w:p>
    <w:p w14:paraId="1069A65E" w14:textId="05158C3F" w:rsidR="000C6123" w:rsidRPr="007E2EB3" w:rsidRDefault="00827901" w:rsidP="00827901">
      <w:pPr>
        <w:pStyle w:val="enumlev1"/>
      </w:pPr>
      <w:bookmarkStart w:id="57" w:name="lt_pId129"/>
      <w:r w:rsidRPr="007E2EB3">
        <w:t>•</w:t>
      </w:r>
      <w:r w:rsidRPr="007E2EB3">
        <w:tab/>
      </w:r>
      <w:r w:rsidR="007D7D63" w:rsidRPr="007E2EB3">
        <w:t>Sous la présidence de l</w:t>
      </w:r>
      <w:r w:rsidR="00E90097" w:rsidRPr="007E2EB3">
        <w:t>'</w:t>
      </w:r>
      <w:r w:rsidR="007D7D63" w:rsidRPr="007E2EB3">
        <w:t>Argentine, les ministres du G20 évoqueront les questions liées aux politiques publiques internationales en matière de sécurité et de protection de la vie privée dans l</w:t>
      </w:r>
      <w:r w:rsidR="00E90097" w:rsidRPr="007E2EB3">
        <w:t>'</w:t>
      </w:r>
      <w:r w:rsidR="007D7D63" w:rsidRPr="007E2EB3">
        <w:t>économie numérique.</w:t>
      </w:r>
      <w:bookmarkEnd w:id="57"/>
    </w:p>
    <w:p w14:paraId="2B3C544E" w14:textId="474FB1B7" w:rsidR="00FF318E" w:rsidRPr="007E2EB3" w:rsidRDefault="00827901" w:rsidP="00827901">
      <w:pPr>
        <w:snapToGrid w:val="0"/>
        <w:spacing w:before="360" w:after="240"/>
        <w:rPr>
          <w:rFonts w:asciiTheme="minorHAnsi" w:hAnsiTheme="minorHAnsi"/>
          <w:b/>
          <w:color w:val="04629A"/>
          <w:sz w:val="28"/>
          <w:szCs w:val="28"/>
        </w:rPr>
      </w:pPr>
      <w:r w:rsidRPr="007E2EB3">
        <w:rPr>
          <w:rFonts w:asciiTheme="minorHAnsi" w:hAnsiTheme="minorHAnsi"/>
          <w:b/>
          <w:color w:val="04629A"/>
          <w:sz w:val="28"/>
          <w:szCs w:val="28"/>
        </w:rPr>
        <w:t>9</w:t>
      </w:r>
      <w:r w:rsidRPr="007E2EB3">
        <w:rPr>
          <w:rFonts w:asciiTheme="minorHAnsi" w:hAnsiTheme="minorHAnsi"/>
          <w:b/>
          <w:color w:val="04629A"/>
          <w:sz w:val="28"/>
          <w:szCs w:val="28"/>
        </w:rPr>
        <w:tab/>
      </w:r>
      <w:r w:rsidR="00FF318E" w:rsidRPr="007E2EB3">
        <w:rPr>
          <w:rFonts w:asciiTheme="minorHAnsi" w:hAnsiTheme="minorHAnsi"/>
          <w:b/>
          <w:color w:val="04629A"/>
          <w:sz w:val="28"/>
          <w:szCs w:val="28"/>
        </w:rPr>
        <w:t>Promouvoir la protection des consommateurs en ligne</w:t>
      </w:r>
    </w:p>
    <w:p w14:paraId="447AEE18" w14:textId="0A8C1F55" w:rsidR="00FF318E" w:rsidRPr="007E2EB3" w:rsidRDefault="00FF318E" w:rsidP="00765C55">
      <w:pPr>
        <w:snapToGrid w:val="0"/>
        <w:spacing w:after="120"/>
        <w:rPr>
          <w:rFonts w:asciiTheme="minorHAnsi" w:hAnsiTheme="minorHAnsi"/>
        </w:rPr>
      </w:pPr>
      <w:bookmarkStart w:id="58" w:name="lt_pId131"/>
      <w:r w:rsidRPr="007E2EB3">
        <w:rPr>
          <w:rFonts w:asciiTheme="minorHAnsi" w:hAnsiTheme="minorHAnsi"/>
        </w:rPr>
        <w:t>Malgré la montée constante du commerce électronique de l</w:t>
      </w:r>
      <w:r w:rsidR="00E90097" w:rsidRPr="007E2EB3">
        <w:rPr>
          <w:rFonts w:asciiTheme="minorHAnsi" w:hAnsiTheme="minorHAnsi"/>
        </w:rPr>
        <w:t>'</w:t>
      </w:r>
      <w:r w:rsidRPr="007E2EB3">
        <w:rPr>
          <w:rFonts w:asciiTheme="minorHAnsi" w:hAnsiTheme="minorHAnsi"/>
        </w:rPr>
        <w:t>entreprise au consommateur, toutes les possibilités offertes par le commerce électronique ne sont pas exploitées. La protection du consommateur est un élément d</w:t>
      </w:r>
      <w:r w:rsidR="00E90097" w:rsidRPr="007E2EB3">
        <w:rPr>
          <w:rFonts w:asciiTheme="minorHAnsi" w:hAnsiTheme="minorHAnsi"/>
        </w:rPr>
        <w:t>'</w:t>
      </w:r>
      <w:r w:rsidRPr="007E2EB3">
        <w:rPr>
          <w:rFonts w:asciiTheme="minorHAnsi" w:hAnsiTheme="minorHAnsi"/>
        </w:rPr>
        <w:t xml:space="preserve">une importance centrale pour promouvoir une croissance inclusive fondée sur une protection et un respect appropriés et effectifs </w:t>
      </w:r>
      <w:r w:rsidR="00765C55" w:rsidRPr="007E2EB3">
        <w:rPr>
          <w:rFonts w:asciiTheme="minorHAnsi" w:hAnsiTheme="minorHAnsi"/>
        </w:rPr>
        <w:t>des droits de</w:t>
      </w:r>
      <w:r w:rsidRPr="007E2EB3">
        <w:rPr>
          <w:rFonts w:asciiTheme="minorHAnsi" w:hAnsiTheme="minorHAnsi"/>
        </w:rPr>
        <w:t xml:space="preserve"> propriété intellectuelle. Ces deux piliers jouent un rôle essentiel afin d</w:t>
      </w:r>
      <w:r w:rsidR="00E90097" w:rsidRPr="007E2EB3">
        <w:rPr>
          <w:rFonts w:asciiTheme="minorHAnsi" w:hAnsiTheme="minorHAnsi"/>
        </w:rPr>
        <w:t>'</w:t>
      </w:r>
      <w:r w:rsidRPr="007E2EB3">
        <w:rPr>
          <w:rFonts w:asciiTheme="minorHAnsi" w:hAnsiTheme="minorHAnsi"/>
        </w:rPr>
        <w:t>instaurer la confiance dans ces marchés et de permettre leur développement, dont les consommateurs comme les entreprise</w:t>
      </w:r>
      <w:r w:rsidR="00765C55" w:rsidRPr="007E2EB3">
        <w:rPr>
          <w:rFonts w:asciiTheme="minorHAnsi" w:hAnsiTheme="minorHAnsi"/>
        </w:rPr>
        <w:t>s</w:t>
      </w:r>
      <w:r w:rsidRPr="007E2EB3">
        <w:rPr>
          <w:rFonts w:asciiTheme="minorHAnsi" w:hAnsiTheme="minorHAnsi"/>
        </w:rPr>
        <w:t xml:space="preserve"> pourront tirer parti.</w:t>
      </w:r>
      <w:bookmarkEnd w:id="58"/>
      <w:r w:rsidRPr="007E2EB3">
        <w:rPr>
          <w:rFonts w:asciiTheme="minorHAnsi" w:hAnsiTheme="minorHAnsi"/>
        </w:rPr>
        <w:t xml:space="preserve"> </w:t>
      </w:r>
    </w:p>
    <w:p w14:paraId="3B0CDEE5" w14:textId="2D08A53B" w:rsidR="00FF318E" w:rsidRPr="007E2EB3" w:rsidRDefault="00FF318E" w:rsidP="00FF318E">
      <w:pPr>
        <w:snapToGrid w:val="0"/>
        <w:spacing w:after="120"/>
        <w:rPr>
          <w:rFonts w:asciiTheme="minorHAnsi" w:hAnsiTheme="minorHAnsi"/>
        </w:rPr>
      </w:pPr>
      <w:bookmarkStart w:id="59" w:name="lt_pId133"/>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économie numérique ont l</w:t>
      </w:r>
      <w:r w:rsidR="00E90097" w:rsidRPr="007E2EB3">
        <w:rPr>
          <w:rFonts w:asciiTheme="minorHAnsi" w:hAnsiTheme="minorHAnsi"/>
        </w:rPr>
        <w:t>'</w:t>
      </w:r>
      <w:r w:rsidRPr="007E2EB3">
        <w:rPr>
          <w:rFonts w:asciiTheme="minorHAnsi" w:hAnsiTheme="minorHAnsi"/>
        </w:rPr>
        <w:t>intention</w:t>
      </w:r>
      <w:r w:rsidR="00CC7EC1" w:rsidRPr="007E2EB3">
        <w:rPr>
          <w:rFonts w:asciiTheme="minorHAnsi" w:hAnsiTheme="minorHAnsi"/>
        </w:rPr>
        <w:t>:</w:t>
      </w:r>
    </w:p>
    <w:p w14:paraId="77CFB84D" w14:textId="57618BE7" w:rsidR="00FF318E" w:rsidRPr="007E2EB3" w:rsidRDefault="00827901" w:rsidP="00827901">
      <w:pPr>
        <w:pStyle w:val="enumlev1"/>
      </w:pPr>
      <w:bookmarkStart w:id="60" w:name="lt_pId134"/>
      <w:bookmarkEnd w:id="59"/>
      <w:r w:rsidRPr="007E2EB3">
        <w:t>•</w:t>
      </w:r>
      <w:r w:rsidRPr="007E2EB3">
        <w:tab/>
      </w:r>
      <w:r w:rsidR="00FF318E" w:rsidRPr="007E2EB3">
        <w:t>De rechercher de nouveaux modèles d</w:t>
      </w:r>
      <w:r w:rsidR="00E90097" w:rsidRPr="007E2EB3">
        <w:t>'</w:t>
      </w:r>
      <w:r w:rsidR="00FF318E" w:rsidRPr="007E2EB3">
        <w:t>affaires de nature à susciter la confiance des consommateurs.</w:t>
      </w:r>
      <w:bookmarkEnd w:id="60"/>
    </w:p>
    <w:p w14:paraId="76DE5C41" w14:textId="5440EF43" w:rsidR="00FF318E" w:rsidRPr="007E2EB3" w:rsidRDefault="00827901" w:rsidP="00827901">
      <w:pPr>
        <w:pStyle w:val="enumlev1"/>
      </w:pPr>
      <w:bookmarkStart w:id="61" w:name="lt_pId135"/>
      <w:r w:rsidRPr="007E2EB3">
        <w:t>•</w:t>
      </w:r>
      <w:r w:rsidRPr="007E2EB3">
        <w:tab/>
      </w:r>
      <w:r w:rsidR="00FF318E" w:rsidRPr="007E2EB3">
        <w:t>De débattre, sous la présidence de l</w:t>
      </w:r>
      <w:r w:rsidR="00E90097" w:rsidRPr="007E2EB3">
        <w:t>'</w:t>
      </w:r>
      <w:r w:rsidR="00FF318E" w:rsidRPr="007E2EB3">
        <w:t>Argentine, des solutions permettant de protéger les consommateurs dans l</w:t>
      </w:r>
      <w:r w:rsidR="00E90097" w:rsidRPr="007E2EB3">
        <w:t>'</w:t>
      </w:r>
      <w:r w:rsidR="00FF318E" w:rsidRPr="007E2EB3">
        <w:t xml:space="preserve">économie numérique, en invitant notamment des organisations </w:t>
      </w:r>
      <w:r w:rsidR="00FF318E" w:rsidRPr="007E2EB3">
        <w:lastRenderedPageBreak/>
        <w:t>internationales telles que la Conférence des Nations Unies sur le commerce et le développement (CNUCED), l</w:t>
      </w:r>
      <w:r w:rsidR="00E90097" w:rsidRPr="007E2EB3">
        <w:t>'</w:t>
      </w:r>
      <w:r w:rsidR="00FF318E" w:rsidRPr="007E2EB3">
        <w:t xml:space="preserve">OCDE et </w:t>
      </w:r>
      <w:bookmarkEnd w:id="61"/>
      <w:proofErr w:type="spellStart"/>
      <w:r w:rsidR="00FF318E" w:rsidRPr="007E2EB3">
        <w:t>Consumers</w:t>
      </w:r>
      <w:proofErr w:type="spellEnd"/>
      <w:r w:rsidR="00FF318E" w:rsidRPr="007E2EB3">
        <w:t xml:space="preserve"> international (CI).</w:t>
      </w:r>
    </w:p>
    <w:p w14:paraId="35FDC26F" w14:textId="75CB5FFB" w:rsidR="007D7D63" w:rsidRPr="007E2EB3" w:rsidRDefault="00827901" w:rsidP="00827901">
      <w:pPr>
        <w:keepNext/>
        <w:keepLines/>
        <w:snapToGrid w:val="0"/>
        <w:spacing w:before="360" w:after="240"/>
        <w:rPr>
          <w:rFonts w:asciiTheme="minorHAnsi" w:hAnsiTheme="minorHAnsi"/>
          <w:b/>
          <w:color w:val="04629A"/>
          <w:sz w:val="28"/>
          <w:szCs w:val="28"/>
        </w:rPr>
      </w:pPr>
      <w:bookmarkStart w:id="62" w:name="lt_pId136"/>
      <w:r w:rsidRPr="007E2EB3">
        <w:rPr>
          <w:rFonts w:asciiTheme="minorHAnsi" w:hAnsiTheme="minorHAnsi"/>
          <w:b/>
          <w:color w:val="04629A"/>
          <w:sz w:val="28"/>
          <w:szCs w:val="28"/>
        </w:rPr>
        <w:t>10</w:t>
      </w:r>
      <w:r w:rsidRPr="007E2EB3">
        <w:rPr>
          <w:rFonts w:asciiTheme="minorHAnsi" w:hAnsiTheme="minorHAnsi"/>
          <w:b/>
          <w:color w:val="04629A"/>
          <w:sz w:val="28"/>
          <w:szCs w:val="28"/>
        </w:rPr>
        <w:tab/>
      </w:r>
      <w:r w:rsidR="007D7D63" w:rsidRPr="007E2EB3">
        <w:rPr>
          <w:rFonts w:asciiTheme="minorHAnsi" w:hAnsiTheme="minorHAnsi"/>
          <w:b/>
          <w:color w:val="04629A"/>
          <w:sz w:val="28"/>
          <w:szCs w:val="28"/>
        </w:rPr>
        <w:t>Mesurer l</w:t>
      </w:r>
      <w:r w:rsidR="00E90097" w:rsidRPr="007E2EB3">
        <w:rPr>
          <w:rFonts w:asciiTheme="minorHAnsi" w:hAnsiTheme="minorHAnsi"/>
          <w:b/>
          <w:color w:val="04629A"/>
          <w:sz w:val="28"/>
          <w:szCs w:val="28"/>
        </w:rPr>
        <w:t>'</w:t>
      </w:r>
      <w:r w:rsidR="007D7D63" w:rsidRPr="007E2EB3">
        <w:rPr>
          <w:rFonts w:asciiTheme="minorHAnsi" w:hAnsiTheme="minorHAnsi"/>
          <w:b/>
          <w:color w:val="04629A"/>
          <w:sz w:val="28"/>
          <w:szCs w:val="28"/>
        </w:rPr>
        <w:t>économie numérique</w:t>
      </w:r>
      <w:bookmarkEnd w:id="62"/>
    </w:p>
    <w:p w14:paraId="726188CF" w14:textId="169025CE" w:rsidR="007D7D63" w:rsidRPr="007E2EB3" w:rsidRDefault="007D7D63" w:rsidP="009D26E1">
      <w:bookmarkStart w:id="63" w:name="lt_pId137"/>
      <w:r w:rsidRPr="007E2EB3">
        <w:t>Notre succès repose sur notre capacité à re</w:t>
      </w:r>
      <w:r w:rsidR="00FF318E" w:rsidRPr="007E2EB3">
        <w:t>connaître les progrès accomplis. Dans ce contexte, il s</w:t>
      </w:r>
      <w:r w:rsidR="00E90097" w:rsidRPr="007E2EB3">
        <w:t>'</w:t>
      </w:r>
      <w:r w:rsidR="00FF318E" w:rsidRPr="007E2EB3">
        <w:t>agit également d</w:t>
      </w:r>
      <w:r w:rsidR="00E90097" w:rsidRPr="007E2EB3">
        <w:t>'</w:t>
      </w:r>
      <w:r w:rsidR="00FF318E" w:rsidRPr="007E2EB3">
        <w:t>améliorer la façon dont nous mesurons</w:t>
      </w:r>
      <w:r w:rsidRPr="007E2EB3">
        <w:t xml:space="preserve"> l</w:t>
      </w:r>
      <w:r w:rsidR="00E90097" w:rsidRPr="007E2EB3">
        <w:t>'</w:t>
      </w:r>
      <w:r w:rsidRPr="007E2EB3">
        <w:t xml:space="preserve">économie numérique, dans la mesure où </w:t>
      </w:r>
      <w:r w:rsidR="00D25584" w:rsidRPr="007E2EB3">
        <w:t>l</w:t>
      </w:r>
      <w:r w:rsidR="00E90097" w:rsidRPr="007E2EB3">
        <w:t>'</w:t>
      </w:r>
      <w:r w:rsidR="00D25584" w:rsidRPr="007E2EB3">
        <w:t xml:space="preserve">on ne saurait formuler de conseil stratégique qui soit de qualité et fondé sur des données probantes sans disposer de </w:t>
      </w:r>
      <w:r w:rsidRPr="007E2EB3">
        <w:t>statistiques fiables</w:t>
      </w:r>
      <w:r w:rsidR="00D25584" w:rsidRPr="007E2EB3">
        <w:t>.</w:t>
      </w:r>
    </w:p>
    <w:p w14:paraId="4F0A620B" w14:textId="587D0C38" w:rsidR="007D7D63" w:rsidRPr="007E2EB3" w:rsidRDefault="00AB732D" w:rsidP="00AB732D">
      <w:pPr>
        <w:snapToGrid w:val="0"/>
        <w:spacing w:after="120"/>
        <w:rPr>
          <w:rFonts w:asciiTheme="minorHAnsi" w:hAnsiTheme="minorHAnsi"/>
        </w:rPr>
      </w:pPr>
      <w:bookmarkStart w:id="64" w:name="lt_pId138"/>
      <w:bookmarkEnd w:id="63"/>
      <w:r w:rsidRPr="007E2EB3">
        <w:rPr>
          <w:rFonts w:asciiTheme="minorHAnsi" w:hAnsiTheme="minorHAnsi"/>
        </w:rPr>
        <w:t>Les ministres du G20 chargés de l</w:t>
      </w:r>
      <w:r w:rsidR="00E90097" w:rsidRPr="007E2EB3">
        <w:rPr>
          <w:rFonts w:asciiTheme="minorHAnsi" w:hAnsiTheme="minorHAnsi"/>
        </w:rPr>
        <w:t>'</w:t>
      </w:r>
      <w:r w:rsidRPr="007E2EB3">
        <w:rPr>
          <w:rFonts w:asciiTheme="minorHAnsi" w:hAnsiTheme="minorHAnsi"/>
        </w:rPr>
        <w:t xml:space="preserve">économie numérique </w:t>
      </w:r>
      <w:r w:rsidR="00DD280D" w:rsidRPr="007E2EB3">
        <w:rPr>
          <w:rFonts w:asciiTheme="minorHAnsi" w:hAnsiTheme="minorHAnsi"/>
        </w:rPr>
        <w:t xml:space="preserve">ont </w:t>
      </w:r>
      <w:proofErr w:type="gramStart"/>
      <w:r w:rsidR="00DD280D" w:rsidRPr="007E2EB3">
        <w:rPr>
          <w:rFonts w:asciiTheme="minorHAnsi" w:hAnsiTheme="minorHAnsi"/>
        </w:rPr>
        <w:t>l</w:t>
      </w:r>
      <w:r w:rsidR="00E90097" w:rsidRPr="007E2EB3">
        <w:rPr>
          <w:rFonts w:asciiTheme="minorHAnsi" w:hAnsiTheme="minorHAnsi"/>
        </w:rPr>
        <w:t>'</w:t>
      </w:r>
      <w:r w:rsidR="00DD280D" w:rsidRPr="007E2EB3">
        <w:rPr>
          <w:rFonts w:asciiTheme="minorHAnsi" w:hAnsiTheme="minorHAnsi"/>
        </w:rPr>
        <w:t>intention</w:t>
      </w:r>
      <w:r w:rsidRPr="007E2EB3">
        <w:rPr>
          <w:rFonts w:asciiTheme="minorHAnsi" w:hAnsiTheme="minorHAnsi"/>
        </w:rPr>
        <w:t>:</w:t>
      </w:r>
      <w:bookmarkEnd w:id="64"/>
      <w:proofErr w:type="gramEnd"/>
      <w:r w:rsidR="007D7D63" w:rsidRPr="007E2EB3">
        <w:rPr>
          <w:rFonts w:asciiTheme="minorHAnsi" w:hAnsiTheme="minorHAnsi"/>
        </w:rPr>
        <w:t xml:space="preserve"> </w:t>
      </w:r>
    </w:p>
    <w:p w14:paraId="5C6015DD" w14:textId="162E1320" w:rsidR="007D7D63" w:rsidRPr="007E2EB3" w:rsidRDefault="00827901" w:rsidP="00827901">
      <w:pPr>
        <w:pStyle w:val="enumlev1"/>
      </w:pPr>
      <w:bookmarkStart w:id="65" w:name="lt_pId139"/>
      <w:r w:rsidRPr="007E2EB3">
        <w:t>•</w:t>
      </w:r>
      <w:r w:rsidRPr="007E2EB3">
        <w:tab/>
      </w:r>
      <w:r w:rsidR="00AB732D" w:rsidRPr="007E2EB3">
        <w:t>De mettre en avant les travaux sur la</w:t>
      </w:r>
      <w:r w:rsidR="00D25584" w:rsidRPr="007E2EB3">
        <w:t xml:space="preserve"> mesure du commerce numérique réalisés par le</w:t>
      </w:r>
      <w:r w:rsidR="00AB732D" w:rsidRPr="007E2EB3">
        <w:t xml:space="preserve"> groupe de travail du G20 sur le commerce et l</w:t>
      </w:r>
      <w:r w:rsidR="00E90097" w:rsidRPr="007E2EB3">
        <w:t>'</w:t>
      </w:r>
      <w:r w:rsidR="00AB732D" w:rsidRPr="007E2EB3">
        <w:t>investissement, car il s</w:t>
      </w:r>
      <w:r w:rsidR="00E90097" w:rsidRPr="007E2EB3">
        <w:t>'</w:t>
      </w:r>
      <w:r w:rsidR="00AB732D" w:rsidRPr="007E2EB3">
        <w:t>agit d</w:t>
      </w:r>
      <w:r w:rsidR="00E90097" w:rsidRPr="007E2EB3">
        <w:t>'</w:t>
      </w:r>
      <w:r w:rsidR="00AB732D" w:rsidRPr="007E2EB3">
        <w:t>un élément important dans l</w:t>
      </w:r>
      <w:r w:rsidR="00E4099D" w:rsidRPr="007E2EB3">
        <w:t>e</w:t>
      </w:r>
      <w:r w:rsidR="00AB732D" w:rsidRPr="007E2EB3">
        <w:t xml:space="preserve"> cadre plus global de la mesure de l</w:t>
      </w:r>
      <w:r w:rsidR="00E90097" w:rsidRPr="007E2EB3">
        <w:t>'</w:t>
      </w:r>
      <w:r w:rsidR="00AB732D" w:rsidRPr="007E2EB3">
        <w:t>économie numérique.</w:t>
      </w:r>
      <w:bookmarkEnd w:id="65"/>
    </w:p>
    <w:p w14:paraId="54ACD615" w14:textId="1DEFD974" w:rsidR="00AB732D" w:rsidRPr="007E2EB3" w:rsidRDefault="00827901" w:rsidP="00827901">
      <w:pPr>
        <w:pStyle w:val="enumlev1"/>
      </w:pPr>
      <w:r w:rsidRPr="007E2EB3">
        <w:t>•</w:t>
      </w:r>
      <w:r w:rsidRPr="007E2EB3">
        <w:tab/>
      </w:r>
      <w:r w:rsidR="00AB732D" w:rsidRPr="007E2EB3">
        <w:t xml:space="preserve">De prendre note du rapport intitulé </w:t>
      </w:r>
      <w:r w:rsidR="00A741E1" w:rsidRPr="007E2EB3">
        <w:t>"</w:t>
      </w:r>
      <w:r w:rsidR="00AB732D" w:rsidRPr="007E2EB3">
        <w:rPr>
          <w:i/>
          <w:iCs/>
        </w:rPr>
        <w:t xml:space="preserve">OECD-IMF </w:t>
      </w:r>
      <w:proofErr w:type="spellStart"/>
      <w:r w:rsidR="00AB732D" w:rsidRPr="007E2EB3">
        <w:rPr>
          <w:i/>
          <w:iCs/>
        </w:rPr>
        <w:t>Interim</w:t>
      </w:r>
      <w:proofErr w:type="spellEnd"/>
      <w:r w:rsidR="00AB732D" w:rsidRPr="007E2EB3">
        <w:rPr>
          <w:i/>
          <w:iCs/>
        </w:rPr>
        <w:t xml:space="preserve"> report on the impact of digitalisation on </w:t>
      </w:r>
      <w:proofErr w:type="spellStart"/>
      <w:r w:rsidR="00AB732D" w:rsidRPr="007E2EB3">
        <w:rPr>
          <w:i/>
          <w:iCs/>
        </w:rPr>
        <w:t>measures</w:t>
      </w:r>
      <w:proofErr w:type="spellEnd"/>
      <w:r w:rsidR="00AB732D" w:rsidRPr="007E2EB3">
        <w:rPr>
          <w:i/>
          <w:iCs/>
        </w:rPr>
        <w:t xml:space="preserve"> of GDP</w:t>
      </w:r>
      <w:r w:rsidR="00A741E1" w:rsidRPr="007E2EB3">
        <w:t>"</w:t>
      </w:r>
      <w:r w:rsidR="00AB732D" w:rsidRPr="007E2EB3">
        <w:t xml:space="preserve"> (Rapport </w:t>
      </w:r>
      <w:r w:rsidR="00FE77B3" w:rsidRPr="007E2EB3">
        <w:t>intérimaire de l</w:t>
      </w:r>
      <w:r w:rsidR="00E90097" w:rsidRPr="007E2EB3">
        <w:t>'</w:t>
      </w:r>
      <w:r w:rsidR="00FE77B3" w:rsidRPr="007E2EB3">
        <w:t xml:space="preserve">OCDE et du </w:t>
      </w:r>
      <w:r w:rsidR="007C0214" w:rsidRPr="007E2EB3">
        <w:t xml:space="preserve">FMI </w:t>
      </w:r>
      <w:r w:rsidR="00AB732D" w:rsidRPr="007E2EB3">
        <w:t xml:space="preserve">sur les </w:t>
      </w:r>
      <w:r w:rsidR="00232DDC" w:rsidRPr="007E2EB3">
        <w:t>conséquences de</w:t>
      </w:r>
      <w:r w:rsidR="00AB732D" w:rsidRPr="007E2EB3">
        <w:t xml:space="preserve"> la numérisation</w:t>
      </w:r>
      <w:r w:rsidR="00232DDC" w:rsidRPr="007E2EB3">
        <w:t xml:space="preserve"> pour la mesure du PIB)</w:t>
      </w:r>
      <w:r w:rsidR="008A6FC3" w:rsidRPr="007E2EB3">
        <w:t xml:space="preserve">, </w:t>
      </w:r>
      <w:r w:rsidR="00D620D0" w:rsidRPr="007E2EB3">
        <w:t>dans l</w:t>
      </w:r>
      <w:r w:rsidR="00E90097" w:rsidRPr="007E2EB3">
        <w:t>'</w:t>
      </w:r>
      <w:r w:rsidR="00D620D0" w:rsidRPr="007E2EB3">
        <w:t>attente du Plan d</w:t>
      </w:r>
      <w:r w:rsidR="00E90097" w:rsidRPr="007E2EB3">
        <w:t>'</w:t>
      </w:r>
      <w:r w:rsidR="00D620D0" w:rsidRPr="007E2EB3">
        <w:t>action du G20 visant à améliorer la mesure de l</w:t>
      </w:r>
      <w:r w:rsidR="00E90097" w:rsidRPr="007E2EB3">
        <w:t>'</w:t>
      </w:r>
      <w:r w:rsidR="00D620D0" w:rsidRPr="007E2EB3">
        <w:t>économie numérique dans les statistiques macroéconomiques, qui sera dévoilé plus tard dans l</w:t>
      </w:r>
      <w:r w:rsidR="00E90097" w:rsidRPr="007E2EB3">
        <w:t>'</w:t>
      </w:r>
      <w:r w:rsidR="00D620D0" w:rsidRPr="007E2EB3">
        <w:t xml:space="preserve">année </w:t>
      </w:r>
      <w:r w:rsidR="008A6FC3" w:rsidRPr="007E2EB3">
        <w:t>par l</w:t>
      </w:r>
      <w:r w:rsidR="00E90097" w:rsidRPr="007E2EB3">
        <w:t>'</w:t>
      </w:r>
      <w:r w:rsidR="008A6FC3" w:rsidRPr="007E2EB3">
        <w:t>OCDE et le F</w:t>
      </w:r>
      <w:r w:rsidR="007C0214" w:rsidRPr="007E2EB3">
        <w:t>onds monétaire international (F</w:t>
      </w:r>
      <w:r w:rsidR="008A6FC3" w:rsidRPr="007E2EB3">
        <w:t>MI</w:t>
      </w:r>
      <w:r w:rsidR="007C0214" w:rsidRPr="007E2EB3">
        <w:t>)</w:t>
      </w:r>
      <w:r w:rsidR="008A6FC3" w:rsidRPr="007E2EB3">
        <w:t>, en collaboration avec d</w:t>
      </w:r>
      <w:r w:rsidR="00E90097" w:rsidRPr="007E2EB3">
        <w:t>'</w:t>
      </w:r>
      <w:r w:rsidR="008A6FC3" w:rsidRPr="007E2EB3">
        <w:t>autres organisations internationales et offices statistiques nationaux.</w:t>
      </w:r>
    </w:p>
    <w:p w14:paraId="508BACED" w14:textId="28289AB3" w:rsidR="00D620D0" w:rsidRPr="007E2EB3" w:rsidRDefault="00827901" w:rsidP="00827901">
      <w:pPr>
        <w:pStyle w:val="enumlev1"/>
      </w:pPr>
      <w:r w:rsidRPr="007E2EB3">
        <w:t>•</w:t>
      </w:r>
      <w:r w:rsidRPr="007E2EB3">
        <w:tab/>
      </w:r>
      <w:r w:rsidR="00D620D0" w:rsidRPr="007E2EB3">
        <w:t>D</w:t>
      </w:r>
      <w:r w:rsidR="00E90097" w:rsidRPr="007E2EB3">
        <w:t>'</w:t>
      </w:r>
      <w:r w:rsidR="00D620D0" w:rsidRPr="007E2EB3">
        <w:t>encourager les organisations internationales telles que le FMI, l</w:t>
      </w:r>
      <w:r w:rsidR="00E90097" w:rsidRPr="007E2EB3">
        <w:t>'</w:t>
      </w:r>
      <w:r w:rsidR="00D620D0" w:rsidRPr="007E2EB3">
        <w:t>UIT, l</w:t>
      </w:r>
      <w:r w:rsidR="00E90097" w:rsidRPr="007E2EB3">
        <w:t>'</w:t>
      </w:r>
      <w:r w:rsidR="00D620D0" w:rsidRPr="007E2EB3">
        <w:t>OCDE, la CNUCED, la Banque mondiale et l</w:t>
      </w:r>
      <w:r w:rsidR="00E90097" w:rsidRPr="007E2EB3">
        <w:t>'</w:t>
      </w:r>
      <w:r w:rsidR="00D620D0" w:rsidRPr="007E2EB3">
        <w:t>OMC, en collaboration avec les offices statistiques nationaux, à élaborer des cadres pour l</w:t>
      </w:r>
      <w:r w:rsidR="00E90097" w:rsidRPr="007E2EB3">
        <w:t>'</w:t>
      </w:r>
      <w:r w:rsidR="00D620D0" w:rsidRPr="007E2EB3">
        <w:t>analyse des principaux enjeux de la numérisation au niveau national, en tenant compte de la structure de l</w:t>
      </w:r>
      <w:r w:rsidR="00E90097" w:rsidRPr="007E2EB3">
        <w:t>'</w:t>
      </w:r>
      <w:r w:rsidR="00D620D0" w:rsidRPr="007E2EB3">
        <w:t>économie locale et de la capacité statistique.</w:t>
      </w:r>
    </w:p>
    <w:p w14:paraId="41E9BD82" w14:textId="10ABE033" w:rsidR="00F6354C" w:rsidRPr="007E2EB3" w:rsidRDefault="00827901" w:rsidP="00CC7EC1">
      <w:pPr>
        <w:pStyle w:val="enumlev1"/>
      </w:pPr>
      <w:r w:rsidRPr="007E2EB3">
        <w:t>•</w:t>
      </w:r>
      <w:r w:rsidRPr="007E2EB3">
        <w:tab/>
      </w:r>
      <w:r w:rsidR="00F6354C" w:rsidRPr="007E2EB3">
        <w:t>De tenter de définir un ensemble de critères de mesure que toutes les économies pourraient recueillir afin d</w:t>
      </w:r>
      <w:r w:rsidR="00E90097" w:rsidRPr="007E2EB3">
        <w:t>'</w:t>
      </w:r>
      <w:r w:rsidR="00F6354C" w:rsidRPr="007E2EB3">
        <w:t>établir une liste d</w:t>
      </w:r>
      <w:r w:rsidR="00E90097" w:rsidRPr="007E2EB3">
        <w:t>'</w:t>
      </w:r>
      <w:r w:rsidR="00F6354C" w:rsidRPr="007E2EB3">
        <w:t>indicateurs de base, universels et comparables en matière de TIC, permettant aux pays d</w:t>
      </w:r>
      <w:r w:rsidR="00E90097" w:rsidRPr="007E2EB3">
        <w:t>'</w:t>
      </w:r>
      <w:r w:rsidR="00F6354C" w:rsidRPr="007E2EB3">
        <w:t>étayer davantage les données disponibles et l</w:t>
      </w:r>
      <w:r w:rsidR="00E90097" w:rsidRPr="007E2EB3">
        <w:t>'</w:t>
      </w:r>
      <w:r w:rsidR="00F6354C" w:rsidRPr="007E2EB3">
        <w:t>élabo</w:t>
      </w:r>
      <w:r w:rsidR="002F7566" w:rsidRPr="007E2EB3">
        <w:t>ration de politiques.</w:t>
      </w:r>
    </w:p>
    <w:p w14:paraId="5D3D383D" w14:textId="7AA0AE47" w:rsidR="002F7566" w:rsidRPr="007E2EB3" w:rsidRDefault="00827901" w:rsidP="00827901">
      <w:pPr>
        <w:snapToGrid w:val="0"/>
        <w:spacing w:before="360" w:after="240"/>
        <w:rPr>
          <w:rFonts w:asciiTheme="minorHAnsi" w:hAnsiTheme="minorHAnsi"/>
          <w:b/>
          <w:color w:val="04629A"/>
          <w:sz w:val="28"/>
          <w:szCs w:val="28"/>
        </w:rPr>
      </w:pPr>
      <w:bookmarkStart w:id="66" w:name="lt_pId143"/>
      <w:r w:rsidRPr="007E2EB3">
        <w:rPr>
          <w:rFonts w:asciiTheme="minorHAnsi" w:hAnsiTheme="minorHAnsi"/>
          <w:b/>
          <w:color w:val="04629A"/>
          <w:sz w:val="28"/>
          <w:szCs w:val="28"/>
        </w:rPr>
        <w:t>11</w:t>
      </w:r>
      <w:r w:rsidRPr="007E2EB3">
        <w:rPr>
          <w:rFonts w:asciiTheme="minorHAnsi" w:hAnsiTheme="minorHAnsi"/>
          <w:b/>
          <w:color w:val="04629A"/>
          <w:sz w:val="28"/>
          <w:szCs w:val="28"/>
        </w:rPr>
        <w:tab/>
      </w:r>
      <w:r w:rsidR="002F7566" w:rsidRPr="007E2EB3">
        <w:rPr>
          <w:rFonts w:asciiTheme="minorHAnsi" w:hAnsiTheme="minorHAnsi"/>
          <w:b/>
          <w:color w:val="04629A"/>
          <w:sz w:val="28"/>
          <w:szCs w:val="28"/>
        </w:rPr>
        <w:t>Réduire la fracture numérique entre les hommes et les femmes</w:t>
      </w:r>
      <w:bookmarkEnd w:id="66"/>
    </w:p>
    <w:p w14:paraId="10A365E3" w14:textId="582EDDA6" w:rsidR="002F7566" w:rsidRPr="007E2EB3" w:rsidRDefault="002F7566" w:rsidP="002F7566">
      <w:pPr>
        <w:snapToGrid w:val="0"/>
        <w:spacing w:after="120"/>
        <w:rPr>
          <w:rFonts w:asciiTheme="minorHAnsi" w:eastAsia="Calibri" w:hAnsiTheme="minorHAnsi"/>
        </w:rPr>
      </w:pPr>
      <w:bookmarkStart w:id="67" w:name="lt_pId144"/>
      <w:r w:rsidRPr="007E2EB3">
        <w:rPr>
          <w:rFonts w:asciiTheme="minorHAnsi" w:eastAsia="Calibri" w:hAnsiTheme="minorHAnsi"/>
        </w:rPr>
        <w:t>La numérisation a ouvert de nouvelles perspectives pour l</w:t>
      </w:r>
      <w:r w:rsidR="00E90097" w:rsidRPr="007E2EB3">
        <w:rPr>
          <w:rFonts w:asciiTheme="minorHAnsi" w:eastAsia="Calibri" w:hAnsiTheme="minorHAnsi"/>
        </w:rPr>
        <w:t>'</w:t>
      </w:r>
      <w:r w:rsidRPr="007E2EB3">
        <w:rPr>
          <w:rFonts w:asciiTheme="minorHAnsi" w:eastAsia="Calibri" w:hAnsiTheme="minorHAnsi"/>
        </w:rPr>
        <w:t xml:space="preserve">autonomisation économique des femmes. Les pays du G20 ont toutefois constaté avec préoccupation que les femmes ne jouissaient pas équitablement des avantages de la numérisation. </w:t>
      </w:r>
      <w:bookmarkEnd w:id="67"/>
    </w:p>
    <w:p w14:paraId="67887441" w14:textId="2A03266B" w:rsidR="002F7566" w:rsidRPr="007E2EB3" w:rsidRDefault="002F7566" w:rsidP="00D849E3">
      <w:pPr>
        <w:snapToGrid w:val="0"/>
        <w:spacing w:after="120"/>
        <w:rPr>
          <w:rFonts w:asciiTheme="minorHAnsi" w:eastAsia="Calibri" w:hAnsiTheme="minorHAnsi"/>
        </w:rPr>
      </w:pPr>
      <w:bookmarkStart w:id="68" w:name="lt_pId146"/>
      <w:r w:rsidRPr="007E2EB3">
        <w:rPr>
          <w:rFonts w:asciiTheme="minorHAnsi" w:eastAsia="Calibri" w:hAnsiTheme="minorHAnsi"/>
        </w:rPr>
        <w:t>Selon les régions et les conditions sociales, les femmes sont confrontées à davantage d</w:t>
      </w:r>
      <w:r w:rsidR="00E90097" w:rsidRPr="007E2EB3">
        <w:rPr>
          <w:rFonts w:asciiTheme="minorHAnsi" w:eastAsia="Calibri" w:hAnsiTheme="minorHAnsi"/>
        </w:rPr>
        <w:t>'</w:t>
      </w:r>
      <w:r w:rsidRPr="007E2EB3">
        <w:rPr>
          <w:rFonts w:asciiTheme="minorHAnsi" w:eastAsia="Calibri" w:hAnsiTheme="minorHAnsi"/>
        </w:rPr>
        <w:t>obstacles quant à l</w:t>
      </w:r>
      <w:r w:rsidR="00E90097" w:rsidRPr="007E2EB3">
        <w:rPr>
          <w:rFonts w:asciiTheme="minorHAnsi" w:eastAsia="Calibri" w:hAnsiTheme="minorHAnsi"/>
        </w:rPr>
        <w:t>'</w:t>
      </w:r>
      <w:r w:rsidRPr="007E2EB3">
        <w:rPr>
          <w:rFonts w:asciiTheme="minorHAnsi" w:eastAsia="Calibri" w:hAnsiTheme="minorHAnsi"/>
        </w:rPr>
        <w:t xml:space="preserve">accès aux technologies et aux services financiers numériques. Des </w:t>
      </w:r>
      <w:r w:rsidR="00D849E3" w:rsidRPr="007E2EB3">
        <w:rPr>
          <w:rFonts w:asciiTheme="minorHAnsi" w:eastAsia="Calibri" w:hAnsiTheme="minorHAnsi"/>
        </w:rPr>
        <w:t xml:space="preserve">disparités </w:t>
      </w:r>
      <w:r w:rsidRPr="007E2EB3">
        <w:rPr>
          <w:rFonts w:asciiTheme="minorHAnsi" w:eastAsia="Calibri" w:hAnsiTheme="minorHAnsi"/>
        </w:rPr>
        <w:t xml:space="preserve">existent également sur le plan des compétences, de la participation et </w:t>
      </w:r>
      <w:r w:rsidR="00D849E3" w:rsidRPr="007E2EB3">
        <w:rPr>
          <w:rFonts w:asciiTheme="minorHAnsi" w:eastAsia="Calibri" w:hAnsiTheme="minorHAnsi"/>
        </w:rPr>
        <w:t>des fonctions de direction dans ce domaine, ce qui empêche les femmes de participer pleinement à l</w:t>
      </w:r>
      <w:r w:rsidR="00E90097" w:rsidRPr="007E2EB3">
        <w:rPr>
          <w:rFonts w:asciiTheme="minorHAnsi" w:eastAsia="Calibri" w:hAnsiTheme="minorHAnsi"/>
        </w:rPr>
        <w:t>'</w:t>
      </w:r>
      <w:r w:rsidR="00D849E3" w:rsidRPr="007E2EB3">
        <w:rPr>
          <w:rFonts w:asciiTheme="minorHAnsi" w:eastAsia="Calibri" w:hAnsiTheme="minorHAnsi"/>
        </w:rPr>
        <w:t>économie numérique.</w:t>
      </w:r>
      <w:bookmarkEnd w:id="68"/>
    </w:p>
    <w:p w14:paraId="78E0C3B1" w14:textId="0BD6E268" w:rsidR="002F7566" w:rsidRPr="007E2EB3" w:rsidRDefault="00D849E3" w:rsidP="00012685">
      <w:pPr>
        <w:rPr>
          <w:rFonts w:eastAsia="Calibri"/>
        </w:rPr>
      </w:pPr>
      <w:bookmarkStart w:id="69" w:name="lt_pId148"/>
      <w:r w:rsidRPr="007E2EB3">
        <w:rPr>
          <w:rFonts w:eastAsia="Calibri"/>
        </w:rPr>
        <w:t>Afin de promouvoir la participation équitable des femmes à l</w:t>
      </w:r>
      <w:r w:rsidR="00E90097" w:rsidRPr="007E2EB3">
        <w:rPr>
          <w:rFonts w:eastAsia="Calibri"/>
        </w:rPr>
        <w:t>'</w:t>
      </w:r>
      <w:r w:rsidRPr="007E2EB3">
        <w:rPr>
          <w:rFonts w:eastAsia="Calibri"/>
        </w:rPr>
        <w:t>économie numérique, les ministres du G20 chargés de l</w:t>
      </w:r>
      <w:r w:rsidR="00E90097" w:rsidRPr="007E2EB3">
        <w:rPr>
          <w:rFonts w:eastAsia="Calibri"/>
        </w:rPr>
        <w:t>'</w:t>
      </w:r>
      <w:r w:rsidRPr="007E2EB3">
        <w:rPr>
          <w:rFonts w:eastAsia="Calibri"/>
        </w:rPr>
        <w:t xml:space="preserve">économie numérique </w:t>
      </w:r>
      <w:r w:rsidR="00DD280D" w:rsidRPr="007E2EB3">
        <w:rPr>
          <w:rFonts w:eastAsia="Calibri"/>
        </w:rPr>
        <w:t>ont l</w:t>
      </w:r>
      <w:r w:rsidR="00E90097" w:rsidRPr="007E2EB3">
        <w:rPr>
          <w:rFonts w:eastAsia="Calibri"/>
        </w:rPr>
        <w:t>'</w:t>
      </w:r>
      <w:r w:rsidR="00DD280D" w:rsidRPr="007E2EB3">
        <w:rPr>
          <w:rFonts w:eastAsia="Calibri"/>
        </w:rPr>
        <w:t>intention</w:t>
      </w:r>
      <w:r w:rsidRPr="007E2EB3">
        <w:rPr>
          <w:rFonts w:eastAsia="Calibri"/>
        </w:rPr>
        <w:t>:</w:t>
      </w:r>
      <w:bookmarkEnd w:id="69"/>
    </w:p>
    <w:p w14:paraId="61C05496" w14:textId="014ADF2B" w:rsidR="002F7566" w:rsidRPr="007E2EB3" w:rsidRDefault="00827901" w:rsidP="00012685">
      <w:pPr>
        <w:pStyle w:val="enumlev1"/>
      </w:pPr>
      <w:bookmarkStart w:id="70" w:name="lt_pId149"/>
      <w:r w:rsidRPr="007E2EB3">
        <w:t>•</w:t>
      </w:r>
      <w:r w:rsidRPr="007E2EB3">
        <w:tab/>
      </w:r>
      <w:r w:rsidR="002E1D61" w:rsidRPr="007E2EB3">
        <w:t>D</w:t>
      </w:r>
      <w:r w:rsidR="00E90097" w:rsidRPr="007E2EB3">
        <w:t>'</w:t>
      </w:r>
      <w:r w:rsidR="002E1D61" w:rsidRPr="007E2EB3">
        <w:t>échanger</w:t>
      </w:r>
      <w:r w:rsidR="00D849E3" w:rsidRPr="007E2EB3">
        <w:t xml:space="preserve"> </w:t>
      </w:r>
      <w:r w:rsidR="00D849E3" w:rsidRPr="00012685">
        <w:t>les</w:t>
      </w:r>
      <w:r w:rsidR="00D849E3" w:rsidRPr="007E2EB3">
        <w:t xml:space="preserve"> pratiques </w:t>
      </w:r>
      <w:r w:rsidR="00663006" w:rsidRPr="007E2EB3">
        <w:t>des différents pays</w:t>
      </w:r>
      <w:r w:rsidR="00D849E3" w:rsidRPr="007E2EB3">
        <w:t xml:space="preserve"> visant à réduire la fracture numérique entre les hommes et les femmes</w:t>
      </w:r>
      <w:r w:rsidR="002F7566" w:rsidRPr="007E2EB3">
        <w:t>.</w:t>
      </w:r>
      <w:bookmarkEnd w:id="70"/>
    </w:p>
    <w:p w14:paraId="1ECF1150" w14:textId="68C4B4E9" w:rsidR="00D849E3" w:rsidRPr="007E2EB3" w:rsidRDefault="00827901" w:rsidP="00827901">
      <w:pPr>
        <w:pStyle w:val="enumlev1"/>
      </w:pPr>
      <w:r w:rsidRPr="007E2EB3">
        <w:t>•</w:t>
      </w:r>
      <w:r w:rsidRPr="007E2EB3">
        <w:tab/>
      </w:r>
      <w:r w:rsidR="00D849E3" w:rsidRPr="007E2EB3">
        <w:t>D</w:t>
      </w:r>
      <w:r w:rsidR="00E90097" w:rsidRPr="007E2EB3">
        <w:t>'</w:t>
      </w:r>
      <w:r w:rsidR="00D849E3" w:rsidRPr="007E2EB3">
        <w:t>envisager de prendre des mesures dans un certain nombre de domaines stratégiques essentiels, suivant la situation des pays, y compris en élaborant des plans d</w:t>
      </w:r>
      <w:r w:rsidR="00E90097" w:rsidRPr="007E2EB3">
        <w:t>'</w:t>
      </w:r>
      <w:r w:rsidR="00D849E3" w:rsidRPr="007E2EB3">
        <w:t xml:space="preserve">action en vue </w:t>
      </w:r>
      <w:r w:rsidR="00D849E3" w:rsidRPr="007E2EB3">
        <w:lastRenderedPageBreak/>
        <w:t>d</w:t>
      </w:r>
      <w:r w:rsidR="00E90097" w:rsidRPr="007E2EB3">
        <w:t>'</w:t>
      </w:r>
      <w:r w:rsidR="00D849E3" w:rsidRPr="007E2EB3">
        <w:t xml:space="preserve">atteindre la cible 2.5.A du programme </w:t>
      </w:r>
      <w:proofErr w:type="spellStart"/>
      <w:r w:rsidR="00D849E3" w:rsidRPr="007E2EB3">
        <w:t>Connect</w:t>
      </w:r>
      <w:proofErr w:type="spellEnd"/>
      <w:r w:rsidR="00D849E3" w:rsidRPr="007E2EB3">
        <w:t xml:space="preserve"> 2020</w:t>
      </w:r>
      <w:r w:rsidR="00663006" w:rsidRPr="007E2EB3">
        <w:t xml:space="preserve">, à savoir: </w:t>
      </w:r>
      <w:r w:rsidR="00A741E1" w:rsidRPr="007E2EB3">
        <w:t>"</w:t>
      </w:r>
      <w:r w:rsidR="00663006" w:rsidRPr="007E2EB3">
        <w:t>l</w:t>
      </w:r>
      <w:r w:rsidR="00E90097" w:rsidRPr="007E2EB3">
        <w:t>'</w:t>
      </w:r>
      <w:r w:rsidR="00D849E3" w:rsidRPr="007E2EB3">
        <w:t>égalité hommes/femmes parmi les internautes devrait être assurée à l</w:t>
      </w:r>
      <w:r w:rsidR="00E90097" w:rsidRPr="007E2EB3">
        <w:t>'</w:t>
      </w:r>
      <w:r w:rsidR="00D849E3" w:rsidRPr="007E2EB3">
        <w:t>horizon 2020</w:t>
      </w:r>
      <w:r w:rsidR="00A741E1" w:rsidRPr="007E2EB3">
        <w:t>"</w:t>
      </w:r>
      <w:r w:rsidR="00D849E3" w:rsidRPr="007E2EB3">
        <w:t>.</w:t>
      </w:r>
    </w:p>
    <w:p w14:paraId="56105DBF" w14:textId="75C6838B" w:rsidR="00D849E3" w:rsidRPr="007E2EB3" w:rsidRDefault="00827901" w:rsidP="00827901">
      <w:pPr>
        <w:pStyle w:val="enumlev1"/>
      </w:pPr>
      <w:r w:rsidRPr="007E2EB3">
        <w:t>•</w:t>
      </w:r>
      <w:r w:rsidRPr="007E2EB3">
        <w:tab/>
      </w:r>
      <w:r w:rsidR="00D849E3" w:rsidRPr="007E2EB3">
        <w:t>De soutenir les initiatives visant à mettre en place des services financiers numériques qui soient accessibles et adaptés aux femmes.</w:t>
      </w:r>
    </w:p>
    <w:p w14:paraId="2A5C8B3A" w14:textId="1035E2A9" w:rsidR="00D849E3" w:rsidRPr="007E2EB3" w:rsidRDefault="00827901" w:rsidP="00CC7EC1">
      <w:pPr>
        <w:pStyle w:val="enumlev1"/>
      </w:pPr>
      <w:r w:rsidRPr="007E2EB3">
        <w:t>•</w:t>
      </w:r>
      <w:r w:rsidRPr="007E2EB3">
        <w:tab/>
      </w:r>
      <w:r w:rsidR="00D849E3" w:rsidRPr="007E2EB3">
        <w:t>D</w:t>
      </w:r>
      <w:r w:rsidR="00E90097" w:rsidRPr="007E2EB3">
        <w:t>'</w:t>
      </w:r>
      <w:r w:rsidR="00D849E3" w:rsidRPr="007E2EB3">
        <w:t>encourager la révision des stratégies numériques existantes pour s</w:t>
      </w:r>
      <w:r w:rsidR="00E90097" w:rsidRPr="007E2EB3">
        <w:t>'</w:t>
      </w:r>
      <w:r w:rsidR="00D849E3" w:rsidRPr="007E2EB3">
        <w:t>assurer qu</w:t>
      </w:r>
      <w:r w:rsidR="00E90097" w:rsidRPr="007E2EB3">
        <w:t>'</w:t>
      </w:r>
      <w:r w:rsidR="00D849E3" w:rsidRPr="007E2EB3">
        <w:t>elles tiennent compte du principe de l</w:t>
      </w:r>
      <w:r w:rsidR="00E90097" w:rsidRPr="007E2EB3">
        <w:t>'</w:t>
      </w:r>
      <w:r w:rsidR="00D849E3" w:rsidRPr="007E2EB3">
        <w:t xml:space="preserve">égalité </w:t>
      </w:r>
      <w:r w:rsidR="00CC7EC1" w:rsidRPr="007E2EB3">
        <w:t>hommes/femmes</w:t>
      </w:r>
      <w:r w:rsidR="00D849E3" w:rsidRPr="007E2EB3">
        <w:t xml:space="preserve"> en s</w:t>
      </w:r>
      <w:r w:rsidR="00E90097" w:rsidRPr="007E2EB3">
        <w:t>'</w:t>
      </w:r>
      <w:r w:rsidR="00D849E3" w:rsidRPr="007E2EB3">
        <w:t>adaptant aux besoins, à la situation, aux capacités et aux préférences des femmes, et de généraliser l</w:t>
      </w:r>
      <w:r w:rsidR="00E90097" w:rsidRPr="007E2EB3">
        <w:t>'</w:t>
      </w:r>
      <w:r w:rsidR="00D849E3" w:rsidRPr="007E2EB3">
        <w:t>analyse des problèmes propres à chaque sexe.</w:t>
      </w:r>
    </w:p>
    <w:p w14:paraId="1794701E" w14:textId="3E99299A" w:rsidR="00D849E3" w:rsidRPr="007E2EB3" w:rsidRDefault="00827901" w:rsidP="00827901">
      <w:pPr>
        <w:pStyle w:val="enumlev1"/>
      </w:pPr>
      <w:r w:rsidRPr="007E2EB3">
        <w:t>•</w:t>
      </w:r>
      <w:r w:rsidRPr="007E2EB3">
        <w:tab/>
      </w:r>
      <w:r w:rsidR="00D849E3" w:rsidRPr="007E2EB3">
        <w:t>D</w:t>
      </w:r>
      <w:r w:rsidR="00E90097" w:rsidRPr="007E2EB3">
        <w:t>'</w:t>
      </w:r>
      <w:r w:rsidR="00D849E3" w:rsidRPr="007E2EB3">
        <w:t xml:space="preserve">accroître la participation des femmes aux </w:t>
      </w:r>
      <w:r w:rsidR="00773899" w:rsidRPr="007E2EB3">
        <w:t>formations et aux emplois dans les filières STEM.</w:t>
      </w:r>
    </w:p>
    <w:p w14:paraId="416C2D4A" w14:textId="14DDE0A6" w:rsidR="00773899" w:rsidRPr="007E2EB3" w:rsidRDefault="00827901" w:rsidP="00827901">
      <w:pPr>
        <w:pStyle w:val="enumlev1"/>
      </w:pPr>
      <w:r w:rsidRPr="007E2EB3">
        <w:t>•</w:t>
      </w:r>
      <w:r w:rsidRPr="007E2EB3">
        <w:tab/>
      </w:r>
      <w:r w:rsidR="00773899" w:rsidRPr="007E2EB3">
        <w:t>D</w:t>
      </w:r>
      <w:r w:rsidR="00E90097" w:rsidRPr="007E2EB3">
        <w:t>'</w:t>
      </w:r>
      <w:r w:rsidR="00773899" w:rsidRPr="007E2EB3">
        <w:t>envisager d</w:t>
      </w:r>
      <w:r w:rsidR="00E90097" w:rsidRPr="007E2EB3">
        <w:t>'</w:t>
      </w:r>
      <w:r w:rsidR="00773899" w:rsidRPr="007E2EB3">
        <w:t>autres moyens de mettre au point des mesures, lorsque cela est possible, qui incluent des données ventilées par sexe sur le niveau d</w:t>
      </w:r>
      <w:r w:rsidR="00E90097" w:rsidRPr="007E2EB3">
        <w:t>'</w:t>
      </w:r>
      <w:r w:rsidR="00773899" w:rsidRPr="007E2EB3">
        <w:t>accès, l</w:t>
      </w:r>
      <w:r w:rsidR="00E90097" w:rsidRPr="007E2EB3">
        <w:t>'</w:t>
      </w:r>
      <w:r w:rsidR="00773899" w:rsidRPr="007E2EB3">
        <w:t xml:space="preserve">utilisation et les avantages. </w:t>
      </w:r>
    </w:p>
    <w:p w14:paraId="112BCA74" w14:textId="77777777" w:rsidR="00827901" w:rsidRPr="007E2EB3" w:rsidRDefault="00827901" w:rsidP="0032202E">
      <w:pPr>
        <w:pStyle w:val="Reasons"/>
      </w:pPr>
    </w:p>
    <w:p w14:paraId="1F0002C5" w14:textId="7168FD6E" w:rsidR="00827901" w:rsidRPr="007E2EB3" w:rsidRDefault="00827901" w:rsidP="00827901">
      <w:pPr>
        <w:jc w:val="center"/>
      </w:pPr>
      <w:r w:rsidRPr="007E2EB3">
        <w:t>______________</w:t>
      </w:r>
    </w:p>
    <w:p w14:paraId="2E37A937" w14:textId="77777777" w:rsidR="00D70651" w:rsidRPr="007E2EB3" w:rsidRDefault="00D70651" w:rsidP="00D70651"/>
    <w:sectPr w:rsidR="00D70651" w:rsidRPr="007E2EB3"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BBB7D" w14:textId="77777777" w:rsidR="0027718D" w:rsidRDefault="0027718D">
      <w:r>
        <w:separator/>
      </w:r>
    </w:p>
  </w:endnote>
  <w:endnote w:type="continuationSeparator" w:id="0">
    <w:p w14:paraId="75F43DE1" w14:textId="77777777" w:rsidR="0027718D" w:rsidRDefault="0027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A323" w14:textId="77777777" w:rsidR="0027718D" w:rsidRPr="002D7D19" w:rsidRDefault="0027718D">
    <w:pPr>
      <w:pStyle w:val="Footer"/>
      <w:rPr>
        <w:lang w:val="en-US"/>
      </w:rPr>
    </w:pPr>
    <w:r>
      <w:fldChar w:fldCharType="begin"/>
    </w:r>
    <w:r w:rsidRPr="002D7D19">
      <w:rPr>
        <w:lang w:val="en-US"/>
      </w:rPr>
      <w:instrText xml:space="preserve"> FILENAME \p \* MERGEFORMAT </w:instrText>
    </w:r>
    <w:r>
      <w:fldChar w:fldCharType="separate"/>
    </w:r>
    <w:r w:rsidR="00D52814">
      <w:rPr>
        <w:lang w:val="en-US"/>
      </w:rPr>
      <w:t>P:\FRA\SG\CONSEIL\CWG-SFP\CWG-SFP2\000\008F.docx</w:t>
    </w:r>
    <w:r>
      <w:fldChar w:fldCharType="end"/>
    </w:r>
    <w:r w:rsidRPr="002D7D19">
      <w:rPr>
        <w:lang w:val="en-US"/>
      </w:rPr>
      <w:tab/>
    </w:r>
    <w:r>
      <w:fldChar w:fldCharType="begin"/>
    </w:r>
    <w:r>
      <w:instrText xml:space="preserve"> savedate \@ dd.MM.yy </w:instrText>
    </w:r>
    <w:r>
      <w:fldChar w:fldCharType="separate"/>
    </w:r>
    <w:r w:rsidR="009E3368">
      <w:t>05.09.17</w:t>
    </w:r>
    <w:r>
      <w:fldChar w:fldCharType="end"/>
    </w:r>
    <w:r w:rsidRPr="002D7D19">
      <w:rPr>
        <w:lang w:val="en-US"/>
      </w:rPr>
      <w:tab/>
    </w:r>
    <w:r>
      <w:fldChar w:fldCharType="begin"/>
    </w:r>
    <w:r>
      <w:instrText xml:space="preserve"> printdate \@ dd.MM.yy </w:instrText>
    </w:r>
    <w:r>
      <w:fldChar w:fldCharType="separate"/>
    </w:r>
    <w:r w:rsidR="00D52814">
      <w:t>05.09.17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D15F" w14:textId="3FD65E9E" w:rsidR="0027718D" w:rsidRPr="00EC27B9" w:rsidRDefault="009D26E1" w:rsidP="00EC27B9">
    <w:pPr>
      <w:pStyle w:val="Footer"/>
    </w:pPr>
    <w:fldSimple w:instr=" FILENAME \p  \* MERGEFORMAT ">
      <w:r w:rsidR="00D52814">
        <w:t>P:\FRA\SG\CONSEIL\CWG-SFP\CWG-SFP2\000\008F.docx</w:t>
      </w:r>
    </w:fldSimple>
    <w:r w:rsidR="00EC27B9">
      <w:t xml:space="preserve"> (422959)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CF2F" w14:textId="77777777" w:rsidR="0027718D" w:rsidRDefault="0027718D">
    <w:pPr>
      <w:spacing w:after="120"/>
      <w:jc w:val="center"/>
    </w:pPr>
    <w:r>
      <w:t xml:space="preserve">• </w:t>
    </w:r>
    <w:hyperlink r:id="rId1" w:history="1">
      <w:r>
        <w:rPr>
          <w:rStyle w:val="Hyperlink"/>
        </w:rPr>
        <w:t>http://www.itu.int/council</w:t>
      </w:r>
    </w:hyperlink>
    <w:r>
      <w:t xml:space="preserve"> •</w:t>
    </w:r>
  </w:p>
  <w:p w14:paraId="443CA0BC" w14:textId="77777777" w:rsidR="003736B5" w:rsidRPr="00EC27B9" w:rsidRDefault="009E3368" w:rsidP="003736B5">
    <w:pPr>
      <w:pStyle w:val="Footer"/>
    </w:pPr>
    <w:r>
      <w:fldChar w:fldCharType="begin"/>
    </w:r>
    <w:r>
      <w:instrText xml:space="preserve"> FILENAME \p  \* MERGEFORMAT </w:instrText>
    </w:r>
    <w:r>
      <w:fldChar w:fldCharType="separate"/>
    </w:r>
    <w:r w:rsidR="003736B5">
      <w:t>P:\FRA\SG\CONSEIL\CWG-SFP\CWG-SFP2\000\008F.docx</w:t>
    </w:r>
    <w:r>
      <w:fldChar w:fldCharType="end"/>
    </w:r>
    <w:r w:rsidR="003736B5">
      <w:t xml:space="preserve"> (422959)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49ABA" w14:textId="77777777" w:rsidR="0027718D" w:rsidRDefault="0027718D">
      <w:r>
        <w:t>____________________</w:t>
      </w:r>
    </w:p>
  </w:footnote>
  <w:footnote w:type="continuationSeparator" w:id="0">
    <w:p w14:paraId="3F56112D" w14:textId="77777777" w:rsidR="0027718D" w:rsidRDefault="0027718D">
      <w:r>
        <w:continuationSeparator/>
      </w:r>
    </w:p>
  </w:footnote>
  <w:footnote w:id="1">
    <w:p w14:paraId="1260C021" w14:textId="08B81E64" w:rsidR="0027718D" w:rsidRPr="00E90097" w:rsidRDefault="0027718D" w:rsidP="00E90097">
      <w:pPr>
        <w:pStyle w:val="FootnoteText"/>
        <w:spacing w:before="0"/>
        <w:rPr>
          <w:sz w:val="20"/>
        </w:rPr>
      </w:pPr>
      <w:r w:rsidRPr="00E90097">
        <w:rPr>
          <w:rStyle w:val="FootnoteReference"/>
          <w:sz w:val="20"/>
        </w:rPr>
        <w:footnoteRef/>
      </w:r>
      <w:r w:rsidR="00E90097" w:rsidRPr="00E90097">
        <w:rPr>
          <w:sz w:val="20"/>
        </w:rPr>
        <w:tab/>
      </w:r>
      <w:r w:rsidRPr="00E90097">
        <w:rPr>
          <w:sz w:val="20"/>
        </w:rPr>
        <w:t>Le texte complet de la déclaration et ses annexes sont disponibles à l</w:t>
      </w:r>
      <w:r w:rsidR="00E90097" w:rsidRPr="00E90097">
        <w:rPr>
          <w:sz w:val="20"/>
        </w:rPr>
        <w:t>'</w:t>
      </w:r>
      <w:r w:rsidRPr="00E90097">
        <w:rPr>
          <w:sz w:val="20"/>
        </w:rPr>
        <w:t xml:space="preserve">adresse: </w:t>
      </w:r>
      <w:hyperlink r:id="rId1" w:history="1">
        <w:bookmarkStart w:id="9" w:name="lt_pId159"/>
        <w:r w:rsidRPr="00E90097">
          <w:rPr>
            <w:rStyle w:val="Hyperlink"/>
            <w:sz w:val="20"/>
          </w:rPr>
          <w:t>https://www.bmwi.de/Redaktion/DE/Downloads/G/g20-digital-economy-ministerial-declaration-english-version.pdf?__blob=publicationFile&amp;v=12</w:t>
        </w:r>
        <w:bookmarkEnd w:id="9"/>
      </w:hyperlink>
      <w:r w:rsidR="00730DF8" w:rsidRPr="00730DF8">
        <w:rPr>
          <w:sz w:val="20"/>
        </w:rPr>
        <w:t>.</w:t>
      </w:r>
    </w:p>
  </w:footnote>
  <w:footnote w:id="2">
    <w:p w14:paraId="461FADE2" w14:textId="43E12476" w:rsidR="0027718D" w:rsidRPr="00765C55" w:rsidRDefault="0027718D">
      <w:pPr>
        <w:pStyle w:val="FootnoteText"/>
        <w:rPr>
          <w:sz w:val="20"/>
        </w:rPr>
      </w:pPr>
      <w:r w:rsidRPr="00765C55">
        <w:rPr>
          <w:rStyle w:val="FootnoteReference"/>
          <w:sz w:val="20"/>
        </w:rPr>
        <w:footnoteRef/>
      </w:r>
      <w:r w:rsidR="00765C55" w:rsidRPr="00765C55">
        <w:rPr>
          <w:sz w:val="20"/>
        </w:rPr>
        <w:tab/>
      </w:r>
      <w:r w:rsidRPr="00765C55">
        <w:rPr>
          <w:b/>
          <w:bCs/>
          <w:sz w:val="20"/>
        </w:rPr>
        <w:t>Communiqué des dirigeants du G20 au Sommet de Hangzhou,</w:t>
      </w:r>
      <w:r w:rsidRPr="00765C55">
        <w:rPr>
          <w:sz w:val="20"/>
        </w:rPr>
        <w:t xml:space="preserve"> par</w:t>
      </w:r>
      <w:r w:rsidR="00394364" w:rsidRPr="00765C55">
        <w:rPr>
          <w:sz w:val="20"/>
        </w:rPr>
        <w:t>. 39: "</w:t>
      </w:r>
      <w:r w:rsidRPr="00765C55">
        <w:rPr>
          <w:sz w:val="20"/>
        </w:rPr>
        <w:t>[...]</w:t>
      </w:r>
      <w:r w:rsidR="00765C55">
        <w:rPr>
          <w:sz w:val="20"/>
        </w:rPr>
        <w:t xml:space="preserve"> </w:t>
      </w:r>
      <w:r w:rsidRPr="00765C55">
        <w:rPr>
          <w:sz w:val="20"/>
        </w:rPr>
        <w:t>Nous entérinons l</w:t>
      </w:r>
      <w:r w:rsidR="00394364" w:rsidRPr="00765C55">
        <w:rPr>
          <w:sz w:val="20"/>
        </w:rPr>
        <w:t>'</w:t>
      </w:r>
      <w:r w:rsidRPr="00765C55">
        <w:rPr>
          <w:sz w:val="20"/>
        </w:rPr>
        <w:t>Alliance mondiale pour la connectivité des infrastructures lancée cette année pour favoriser les synergies et la coopération intégrée entre divers programmes de connectivité des infrastructures. Nous demandons au Groupe de la Banque mondiale d</w:t>
      </w:r>
      <w:r w:rsidR="00394364" w:rsidRPr="00765C55">
        <w:rPr>
          <w:sz w:val="20"/>
        </w:rPr>
        <w:t>'</w:t>
      </w:r>
      <w:r w:rsidRPr="00765C55">
        <w:rPr>
          <w:sz w:val="20"/>
        </w:rPr>
        <w:t>assumer le secrétariat de l</w:t>
      </w:r>
      <w:r w:rsidR="00394364" w:rsidRPr="00765C55">
        <w:rPr>
          <w:sz w:val="20"/>
        </w:rPr>
        <w:t>'</w:t>
      </w:r>
      <w:r w:rsidRPr="00765C55">
        <w:rPr>
          <w:sz w:val="20"/>
        </w:rPr>
        <w:t>Alliance, en étroite collaboration avec le Centre mondial pour les infrastructures, l</w:t>
      </w:r>
      <w:r w:rsidR="00394364" w:rsidRPr="00765C55">
        <w:rPr>
          <w:sz w:val="20"/>
        </w:rPr>
        <w:t>'</w:t>
      </w:r>
      <w:r w:rsidRPr="00765C55">
        <w:rPr>
          <w:sz w:val="20"/>
        </w:rPr>
        <w:t>OCDE, les autres BMD et les membres du G20 souhaitant apporter leur soutien.</w:t>
      </w:r>
      <w:r w:rsidR="00394364" w:rsidRPr="00765C55">
        <w:rPr>
          <w:sz w:val="20"/>
        </w:rPr>
        <w:t>"</w:t>
      </w:r>
    </w:p>
  </w:footnote>
  <w:footnote w:id="3">
    <w:p w14:paraId="098D56A4" w14:textId="2927C6A7" w:rsidR="0027718D" w:rsidRPr="007E2EB3" w:rsidRDefault="0027718D" w:rsidP="007E2EB3">
      <w:pPr>
        <w:pStyle w:val="FootnoteText"/>
        <w:spacing w:before="0"/>
        <w:rPr>
          <w:sz w:val="20"/>
        </w:rPr>
      </w:pPr>
      <w:r w:rsidRPr="007E2EB3">
        <w:rPr>
          <w:rStyle w:val="FootnoteReference"/>
          <w:sz w:val="20"/>
        </w:rPr>
        <w:footnoteRef/>
      </w:r>
      <w:r w:rsidR="007E2EB3" w:rsidRPr="007E2EB3">
        <w:rPr>
          <w:sz w:val="20"/>
        </w:rPr>
        <w:tab/>
      </w:r>
      <w:r w:rsidRPr="007E2EB3">
        <w:rPr>
          <w:sz w:val="20"/>
        </w:rPr>
        <w:t>La fin de cette phrase est tirée du site web des Nations Unies sur les ODD.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0196" w14:textId="77777777" w:rsidR="0027718D" w:rsidRDefault="0027718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AB6CF61" w14:textId="77777777" w:rsidR="0027718D" w:rsidRDefault="0027718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67C4" w14:textId="77777777" w:rsidR="0027718D" w:rsidRDefault="0027718D" w:rsidP="00515660">
    <w:pPr>
      <w:pStyle w:val="Header"/>
    </w:pPr>
    <w:r>
      <w:fldChar w:fldCharType="begin"/>
    </w:r>
    <w:r>
      <w:instrText>PAGE</w:instrText>
    </w:r>
    <w:r>
      <w:fldChar w:fldCharType="separate"/>
    </w:r>
    <w:r w:rsidR="009E336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670F"/>
    <w:multiLevelType w:val="hybridMultilevel"/>
    <w:tmpl w:val="D7DEEC60"/>
    <w:lvl w:ilvl="0" w:tplc="461E6B6C">
      <w:start w:val="1"/>
      <w:numFmt w:val="bullet"/>
      <w:lvlText w:val=""/>
      <w:lvlJc w:val="left"/>
      <w:pPr>
        <w:ind w:left="720" w:hanging="360"/>
      </w:pPr>
      <w:rPr>
        <w:rFonts w:ascii="Symbol" w:hAnsi="Symbol" w:hint="default"/>
      </w:rPr>
    </w:lvl>
    <w:lvl w:ilvl="1" w:tplc="8A9606D6" w:tentative="1">
      <w:start w:val="1"/>
      <w:numFmt w:val="bullet"/>
      <w:lvlText w:val="o"/>
      <w:lvlJc w:val="left"/>
      <w:pPr>
        <w:ind w:left="1440" w:hanging="360"/>
      </w:pPr>
      <w:rPr>
        <w:rFonts w:ascii="Courier New" w:hAnsi="Courier New" w:cs="Courier New" w:hint="default"/>
      </w:rPr>
    </w:lvl>
    <w:lvl w:ilvl="2" w:tplc="78BC55DA" w:tentative="1">
      <w:start w:val="1"/>
      <w:numFmt w:val="bullet"/>
      <w:lvlText w:val=""/>
      <w:lvlJc w:val="left"/>
      <w:pPr>
        <w:ind w:left="2160" w:hanging="360"/>
      </w:pPr>
      <w:rPr>
        <w:rFonts w:ascii="Wingdings" w:hAnsi="Wingdings" w:hint="default"/>
      </w:rPr>
    </w:lvl>
    <w:lvl w:ilvl="3" w:tplc="E3D6308C" w:tentative="1">
      <w:start w:val="1"/>
      <w:numFmt w:val="bullet"/>
      <w:lvlText w:val=""/>
      <w:lvlJc w:val="left"/>
      <w:pPr>
        <w:ind w:left="2880" w:hanging="360"/>
      </w:pPr>
      <w:rPr>
        <w:rFonts w:ascii="Symbol" w:hAnsi="Symbol" w:hint="default"/>
      </w:rPr>
    </w:lvl>
    <w:lvl w:ilvl="4" w:tplc="CF882E92" w:tentative="1">
      <w:start w:val="1"/>
      <w:numFmt w:val="bullet"/>
      <w:lvlText w:val="o"/>
      <w:lvlJc w:val="left"/>
      <w:pPr>
        <w:ind w:left="3600" w:hanging="360"/>
      </w:pPr>
      <w:rPr>
        <w:rFonts w:ascii="Courier New" w:hAnsi="Courier New" w:cs="Courier New" w:hint="default"/>
      </w:rPr>
    </w:lvl>
    <w:lvl w:ilvl="5" w:tplc="032289E8" w:tentative="1">
      <w:start w:val="1"/>
      <w:numFmt w:val="bullet"/>
      <w:lvlText w:val=""/>
      <w:lvlJc w:val="left"/>
      <w:pPr>
        <w:ind w:left="4320" w:hanging="360"/>
      </w:pPr>
      <w:rPr>
        <w:rFonts w:ascii="Wingdings" w:hAnsi="Wingdings" w:hint="default"/>
      </w:rPr>
    </w:lvl>
    <w:lvl w:ilvl="6" w:tplc="1A9C2AA4" w:tentative="1">
      <w:start w:val="1"/>
      <w:numFmt w:val="bullet"/>
      <w:lvlText w:val=""/>
      <w:lvlJc w:val="left"/>
      <w:pPr>
        <w:ind w:left="5040" w:hanging="360"/>
      </w:pPr>
      <w:rPr>
        <w:rFonts w:ascii="Symbol" w:hAnsi="Symbol" w:hint="default"/>
      </w:rPr>
    </w:lvl>
    <w:lvl w:ilvl="7" w:tplc="5470BF1C" w:tentative="1">
      <w:start w:val="1"/>
      <w:numFmt w:val="bullet"/>
      <w:lvlText w:val="o"/>
      <w:lvlJc w:val="left"/>
      <w:pPr>
        <w:ind w:left="5760" w:hanging="360"/>
      </w:pPr>
      <w:rPr>
        <w:rFonts w:ascii="Courier New" w:hAnsi="Courier New" w:cs="Courier New" w:hint="default"/>
      </w:rPr>
    </w:lvl>
    <w:lvl w:ilvl="8" w:tplc="4CA60264" w:tentative="1">
      <w:start w:val="1"/>
      <w:numFmt w:val="bullet"/>
      <w:lvlText w:val=""/>
      <w:lvlJc w:val="left"/>
      <w:pPr>
        <w:ind w:left="6480" w:hanging="360"/>
      </w:pPr>
      <w:rPr>
        <w:rFonts w:ascii="Wingdings" w:hAnsi="Wingdings" w:hint="default"/>
      </w:rPr>
    </w:lvl>
  </w:abstractNum>
  <w:abstractNum w:abstractNumId="1" w15:restartNumberingAfterBreak="0">
    <w:nsid w:val="2BE2388E"/>
    <w:multiLevelType w:val="hybridMultilevel"/>
    <w:tmpl w:val="15F0EC2C"/>
    <w:lvl w:ilvl="0" w:tplc="E41816BE">
      <w:start w:val="1"/>
      <w:numFmt w:val="decimal"/>
      <w:lvlText w:val="%1."/>
      <w:lvlJc w:val="left"/>
      <w:pPr>
        <w:ind w:left="720" w:hanging="360"/>
      </w:pPr>
      <w:rPr>
        <w:rFonts w:eastAsia="SimSun" w:cs="Times New Roman" w:hint="default"/>
        <w:color w:val="04629A"/>
      </w:rPr>
    </w:lvl>
    <w:lvl w:ilvl="1" w:tplc="F024448E" w:tentative="1">
      <w:start w:val="1"/>
      <w:numFmt w:val="lowerLetter"/>
      <w:lvlText w:val="%2."/>
      <w:lvlJc w:val="left"/>
      <w:pPr>
        <w:ind w:left="1440" w:hanging="360"/>
      </w:pPr>
    </w:lvl>
    <w:lvl w:ilvl="2" w:tplc="484AA822" w:tentative="1">
      <w:start w:val="1"/>
      <w:numFmt w:val="lowerRoman"/>
      <w:lvlText w:val="%3."/>
      <w:lvlJc w:val="right"/>
      <w:pPr>
        <w:ind w:left="2160" w:hanging="180"/>
      </w:pPr>
    </w:lvl>
    <w:lvl w:ilvl="3" w:tplc="88E8D654" w:tentative="1">
      <w:start w:val="1"/>
      <w:numFmt w:val="decimal"/>
      <w:lvlText w:val="%4."/>
      <w:lvlJc w:val="left"/>
      <w:pPr>
        <w:ind w:left="2880" w:hanging="360"/>
      </w:pPr>
    </w:lvl>
    <w:lvl w:ilvl="4" w:tplc="12EC64CE" w:tentative="1">
      <w:start w:val="1"/>
      <w:numFmt w:val="lowerLetter"/>
      <w:lvlText w:val="%5."/>
      <w:lvlJc w:val="left"/>
      <w:pPr>
        <w:ind w:left="3600" w:hanging="360"/>
      </w:pPr>
    </w:lvl>
    <w:lvl w:ilvl="5" w:tplc="9526632E" w:tentative="1">
      <w:start w:val="1"/>
      <w:numFmt w:val="lowerRoman"/>
      <w:lvlText w:val="%6."/>
      <w:lvlJc w:val="right"/>
      <w:pPr>
        <w:ind w:left="4320" w:hanging="180"/>
      </w:pPr>
    </w:lvl>
    <w:lvl w:ilvl="6" w:tplc="75826B6C" w:tentative="1">
      <w:start w:val="1"/>
      <w:numFmt w:val="decimal"/>
      <w:lvlText w:val="%7."/>
      <w:lvlJc w:val="left"/>
      <w:pPr>
        <w:ind w:left="5040" w:hanging="360"/>
      </w:pPr>
    </w:lvl>
    <w:lvl w:ilvl="7" w:tplc="7FF66BFE" w:tentative="1">
      <w:start w:val="1"/>
      <w:numFmt w:val="lowerLetter"/>
      <w:lvlText w:val="%8."/>
      <w:lvlJc w:val="left"/>
      <w:pPr>
        <w:ind w:left="5760" w:hanging="360"/>
      </w:pPr>
    </w:lvl>
    <w:lvl w:ilvl="8" w:tplc="844E4866" w:tentative="1">
      <w:start w:val="1"/>
      <w:numFmt w:val="lowerRoman"/>
      <w:lvlText w:val="%9."/>
      <w:lvlJc w:val="right"/>
      <w:pPr>
        <w:ind w:left="6480" w:hanging="180"/>
      </w:pPr>
    </w:lvl>
  </w:abstractNum>
  <w:abstractNum w:abstractNumId="2" w15:restartNumberingAfterBreak="0">
    <w:nsid w:val="2C045BF5"/>
    <w:multiLevelType w:val="hybridMultilevel"/>
    <w:tmpl w:val="0976497C"/>
    <w:lvl w:ilvl="0" w:tplc="0358AA10">
      <w:start w:val="1"/>
      <w:numFmt w:val="bullet"/>
      <w:lvlText w:val=""/>
      <w:lvlJc w:val="left"/>
      <w:pPr>
        <w:ind w:left="720" w:hanging="360"/>
      </w:pPr>
      <w:rPr>
        <w:rFonts w:ascii="Symbol" w:hAnsi="Symbol" w:hint="default"/>
      </w:rPr>
    </w:lvl>
    <w:lvl w:ilvl="1" w:tplc="A0B27430" w:tentative="1">
      <w:start w:val="1"/>
      <w:numFmt w:val="bullet"/>
      <w:lvlText w:val="o"/>
      <w:lvlJc w:val="left"/>
      <w:pPr>
        <w:ind w:left="1440" w:hanging="360"/>
      </w:pPr>
      <w:rPr>
        <w:rFonts w:ascii="Courier New" w:hAnsi="Courier New" w:cs="Courier New" w:hint="default"/>
      </w:rPr>
    </w:lvl>
    <w:lvl w:ilvl="2" w:tplc="CC3A48CC" w:tentative="1">
      <w:start w:val="1"/>
      <w:numFmt w:val="bullet"/>
      <w:lvlText w:val=""/>
      <w:lvlJc w:val="left"/>
      <w:pPr>
        <w:ind w:left="2160" w:hanging="360"/>
      </w:pPr>
      <w:rPr>
        <w:rFonts w:ascii="Wingdings" w:hAnsi="Wingdings" w:hint="default"/>
      </w:rPr>
    </w:lvl>
    <w:lvl w:ilvl="3" w:tplc="4AC277BA" w:tentative="1">
      <w:start w:val="1"/>
      <w:numFmt w:val="bullet"/>
      <w:lvlText w:val=""/>
      <w:lvlJc w:val="left"/>
      <w:pPr>
        <w:ind w:left="2880" w:hanging="360"/>
      </w:pPr>
      <w:rPr>
        <w:rFonts w:ascii="Symbol" w:hAnsi="Symbol" w:hint="default"/>
      </w:rPr>
    </w:lvl>
    <w:lvl w:ilvl="4" w:tplc="87A441CE" w:tentative="1">
      <w:start w:val="1"/>
      <w:numFmt w:val="bullet"/>
      <w:lvlText w:val="o"/>
      <w:lvlJc w:val="left"/>
      <w:pPr>
        <w:ind w:left="3600" w:hanging="360"/>
      </w:pPr>
      <w:rPr>
        <w:rFonts w:ascii="Courier New" w:hAnsi="Courier New" w:cs="Courier New" w:hint="default"/>
      </w:rPr>
    </w:lvl>
    <w:lvl w:ilvl="5" w:tplc="F9468CAE" w:tentative="1">
      <w:start w:val="1"/>
      <w:numFmt w:val="bullet"/>
      <w:lvlText w:val=""/>
      <w:lvlJc w:val="left"/>
      <w:pPr>
        <w:ind w:left="4320" w:hanging="360"/>
      </w:pPr>
      <w:rPr>
        <w:rFonts w:ascii="Wingdings" w:hAnsi="Wingdings" w:hint="default"/>
      </w:rPr>
    </w:lvl>
    <w:lvl w:ilvl="6" w:tplc="6C046A94" w:tentative="1">
      <w:start w:val="1"/>
      <w:numFmt w:val="bullet"/>
      <w:lvlText w:val=""/>
      <w:lvlJc w:val="left"/>
      <w:pPr>
        <w:ind w:left="5040" w:hanging="360"/>
      </w:pPr>
      <w:rPr>
        <w:rFonts w:ascii="Symbol" w:hAnsi="Symbol" w:hint="default"/>
      </w:rPr>
    </w:lvl>
    <w:lvl w:ilvl="7" w:tplc="09BE12CC" w:tentative="1">
      <w:start w:val="1"/>
      <w:numFmt w:val="bullet"/>
      <w:lvlText w:val="o"/>
      <w:lvlJc w:val="left"/>
      <w:pPr>
        <w:ind w:left="5760" w:hanging="360"/>
      </w:pPr>
      <w:rPr>
        <w:rFonts w:ascii="Courier New" w:hAnsi="Courier New" w:cs="Courier New" w:hint="default"/>
      </w:rPr>
    </w:lvl>
    <w:lvl w:ilvl="8" w:tplc="5DE6ADAE" w:tentative="1">
      <w:start w:val="1"/>
      <w:numFmt w:val="bullet"/>
      <w:lvlText w:val=""/>
      <w:lvlJc w:val="left"/>
      <w:pPr>
        <w:ind w:left="6480" w:hanging="360"/>
      </w:pPr>
      <w:rPr>
        <w:rFonts w:ascii="Wingdings" w:hAnsi="Wingdings" w:hint="default"/>
      </w:rPr>
    </w:lvl>
  </w:abstractNum>
  <w:abstractNum w:abstractNumId="3" w15:restartNumberingAfterBreak="0">
    <w:nsid w:val="4B6E035F"/>
    <w:multiLevelType w:val="hybridMultilevel"/>
    <w:tmpl w:val="442477F6"/>
    <w:lvl w:ilvl="0" w:tplc="95A66C6A">
      <w:start w:val="1"/>
      <w:numFmt w:val="bullet"/>
      <w:lvlText w:val=""/>
      <w:lvlJc w:val="left"/>
      <w:pPr>
        <w:ind w:left="720" w:hanging="360"/>
      </w:pPr>
      <w:rPr>
        <w:rFonts w:ascii="Symbol" w:hAnsi="Symbol" w:hint="default"/>
        <w:lang w:val="fr-FR"/>
      </w:rPr>
    </w:lvl>
    <w:lvl w:ilvl="1" w:tplc="54F836D2" w:tentative="1">
      <w:start w:val="1"/>
      <w:numFmt w:val="bullet"/>
      <w:lvlText w:val="o"/>
      <w:lvlJc w:val="left"/>
      <w:pPr>
        <w:ind w:left="1440" w:hanging="360"/>
      </w:pPr>
      <w:rPr>
        <w:rFonts w:ascii="Courier New" w:hAnsi="Courier New" w:cs="Courier New" w:hint="default"/>
      </w:rPr>
    </w:lvl>
    <w:lvl w:ilvl="2" w:tplc="735AE21E" w:tentative="1">
      <w:start w:val="1"/>
      <w:numFmt w:val="bullet"/>
      <w:lvlText w:val=""/>
      <w:lvlJc w:val="left"/>
      <w:pPr>
        <w:ind w:left="2160" w:hanging="360"/>
      </w:pPr>
      <w:rPr>
        <w:rFonts w:ascii="Wingdings" w:hAnsi="Wingdings" w:hint="default"/>
      </w:rPr>
    </w:lvl>
    <w:lvl w:ilvl="3" w:tplc="23921A78" w:tentative="1">
      <w:start w:val="1"/>
      <w:numFmt w:val="bullet"/>
      <w:lvlText w:val=""/>
      <w:lvlJc w:val="left"/>
      <w:pPr>
        <w:ind w:left="2880" w:hanging="360"/>
      </w:pPr>
      <w:rPr>
        <w:rFonts w:ascii="Symbol" w:hAnsi="Symbol" w:hint="default"/>
      </w:rPr>
    </w:lvl>
    <w:lvl w:ilvl="4" w:tplc="AD0E95BC" w:tentative="1">
      <w:start w:val="1"/>
      <w:numFmt w:val="bullet"/>
      <w:lvlText w:val="o"/>
      <w:lvlJc w:val="left"/>
      <w:pPr>
        <w:ind w:left="3600" w:hanging="360"/>
      </w:pPr>
      <w:rPr>
        <w:rFonts w:ascii="Courier New" w:hAnsi="Courier New" w:cs="Courier New" w:hint="default"/>
      </w:rPr>
    </w:lvl>
    <w:lvl w:ilvl="5" w:tplc="D27EE28A" w:tentative="1">
      <w:start w:val="1"/>
      <w:numFmt w:val="bullet"/>
      <w:lvlText w:val=""/>
      <w:lvlJc w:val="left"/>
      <w:pPr>
        <w:ind w:left="4320" w:hanging="360"/>
      </w:pPr>
      <w:rPr>
        <w:rFonts w:ascii="Wingdings" w:hAnsi="Wingdings" w:hint="default"/>
      </w:rPr>
    </w:lvl>
    <w:lvl w:ilvl="6" w:tplc="53EAA910" w:tentative="1">
      <w:start w:val="1"/>
      <w:numFmt w:val="bullet"/>
      <w:lvlText w:val=""/>
      <w:lvlJc w:val="left"/>
      <w:pPr>
        <w:ind w:left="5040" w:hanging="360"/>
      </w:pPr>
      <w:rPr>
        <w:rFonts w:ascii="Symbol" w:hAnsi="Symbol" w:hint="default"/>
      </w:rPr>
    </w:lvl>
    <w:lvl w:ilvl="7" w:tplc="6DF8367C" w:tentative="1">
      <w:start w:val="1"/>
      <w:numFmt w:val="bullet"/>
      <w:lvlText w:val="o"/>
      <w:lvlJc w:val="left"/>
      <w:pPr>
        <w:ind w:left="5760" w:hanging="360"/>
      </w:pPr>
      <w:rPr>
        <w:rFonts w:ascii="Courier New" w:hAnsi="Courier New" w:cs="Courier New" w:hint="default"/>
      </w:rPr>
    </w:lvl>
    <w:lvl w:ilvl="8" w:tplc="9E1E539E" w:tentative="1">
      <w:start w:val="1"/>
      <w:numFmt w:val="bullet"/>
      <w:lvlText w:val=""/>
      <w:lvlJc w:val="left"/>
      <w:pPr>
        <w:ind w:left="6480" w:hanging="360"/>
      </w:pPr>
      <w:rPr>
        <w:rFonts w:ascii="Wingdings" w:hAnsi="Wingdings" w:hint="default"/>
      </w:rPr>
    </w:lvl>
  </w:abstractNum>
  <w:abstractNum w:abstractNumId="4" w15:restartNumberingAfterBreak="0">
    <w:nsid w:val="58C96682"/>
    <w:multiLevelType w:val="hybridMultilevel"/>
    <w:tmpl w:val="9A0EA27C"/>
    <w:lvl w:ilvl="0" w:tplc="BC8A770E">
      <w:start w:val="1"/>
      <w:numFmt w:val="bullet"/>
      <w:lvlText w:val=""/>
      <w:lvlJc w:val="left"/>
      <w:pPr>
        <w:ind w:left="720" w:hanging="360"/>
      </w:pPr>
      <w:rPr>
        <w:rFonts w:ascii="Symbol" w:hAnsi="Symbol" w:hint="default"/>
      </w:rPr>
    </w:lvl>
    <w:lvl w:ilvl="1" w:tplc="DC6803E4" w:tentative="1">
      <w:start w:val="1"/>
      <w:numFmt w:val="bullet"/>
      <w:lvlText w:val="o"/>
      <w:lvlJc w:val="left"/>
      <w:pPr>
        <w:ind w:left="1440" w:hanging="360"/>
      </w:pPr>
      <w:rPr>
        <w:rFonts w:ascii="Courier New" w:hAnsi="Courier New" w:cs="Courier New" w:hint="default"/>
      </w:rPr>
    </w:lvl>
    <w:lvl w:ilvl="2" w:tplc="7A1A9274" w:tentative="1">
      <w:start w:val="1"/>
      <w:numFmt w:val="bullet"/>
      <w:lvlText w:val=""/>
      <w:lvlJc w:val="left"/>
      <w:pPr>
        <w:ind w:left="2160" w:hanging="360"/>
      </w:pPr>
      <w:rPr>
        <w:rFonts w:ascii="Wingdings" w:hAnsi="Wingdings" w:hint="default"/>
      </w:rPr>
    </w:lvl>
    <w:lvl w:ilvl="3" w:tplc="EB92C8B4" w:tentative="1">
      <w:start w:val="1"/>
      <w:numFmt w:val="bullet"/>
      <w:lvlText w:val=""/>
      <w:lvlJc w:val="left"/>
      <w:pPr>
        <w:ind w:left="2880" w:hanging="360"/>
      </w:pPr>
      <w:rPr>
        <w:rFonts w:ascii="Symbol" w:hAnsi="Symbol" w:hint="default"/>
      </w:rPr>
    </w:lvl>
    <w:lvl w:ilvl="4" w:tplc="1F7E684C" w:tentative="1">
      <w:start w:val="1"/>
      <w:numFmt w:val="bullet"/>
      <w:lvlText w:val="o"/>
      <w:lvlJc w:val="left"/>
      <w:pPr>
        <w:ind w:left="3600" w:hanging="360"/>
      </w:pPr>
      <w:rPr>
        <w:rFonts w:ascii="Courier New" w:hAnsi="Courier New" w:cs="Courier New" w:hint="default"/>
      </w:rPr>
    </w:lvl>
    <w:lvl w:ilvl="5" w:tplc="8AFC6C26" w:tentative="1">
      <w:start w:val="1"/>
      <w:numFmt w:val="bullet"/>
      <w:lvlText w:val=""/>
      <w:lvlJc w:val="left"/>
      <w:pPr>
        <w:ind w:left="4320" w:hanging="360"/>
      </w:pPr>
      <w:rPr>
        <w:rFonts w:ascii="Wingdings" w:hAnsi="Wingdings" w:hint="default"/>
      </w:rPr>
    </w:lvl>
    <w:lvl w:ilvl="6" w:tplc="79B8297A" w:tentative="1">
      <w:start w:val="1"/>
      <w:numFmt w:val="bullet"/>
      <w:lvlText w:val=""/>
      <w:lvlJc w:val="left"/>
      <w:pPr>
        <w:ind w:left="5040" w:hanging="360"/>
      </w:pPr>
      <w:rPr>
        <w:rFonts w:ascii="Symbol" w:hAnsi="Symbol" w:hint="default"/>
      </w:rPr>
    </w:lvl>
    <w:lvl w:ilvl="7" w:tplc="7F24E5AA" w:tentative="1">
      <w:start w:val="1"/>
      <w:numFmt w:val="bullet"/>
      <w:lvlText w:val="o"/>
      <w:lvlJc w:val="left"/>
      <w:pPr>
        <w:ind w:left="5760" w:hanging="360"/>
      </w:pPr>
      <w:rPr>
        <w:rFonts w:ascii="Courier New" w:hAnsi="Courier New" w:cs="Courier New" w:hint="default"/>
      </w:rPr>
    </w:lvl>
    <w:lvl w:ilvl="8" w:tplc="38903C14"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12444"/>
    <w:rsid w:val="00012685"/>
    <w:rsid w:val="00024BE0"/>
    <w:rsid w:val="00033613"/>
    <w:rsid w:val="00065A49"/>
    <w:rsid w:val="00074961"/>
    <w:rsid w:val="000C6123"/>
    <w:rsid w:val="000D0D0A"/>
    <w:rsid w:val="000F0FA9"/>
    <w:rsid w:val="0010110B"/>
    <w:rsid w:val="00103163"/>
    <w:rsid w:val="00115D93"/>
    <w:rsid w:val="001247A8"/>
    <w:rsid w:val="001378C0"/>
    <w:rsid w:val="00181DAD"/>
    <w:rsid w:val="0018694A"/>
    <w:rsid w:val="001A3287"/>
    <w:rsid w:val="001A6508"/>
    <w:rsid w:val="001D25EB"/>
    <w:rsid w:val="001D4C31"/>
    <w:rsid w:val="001E4D21"/>
    <w:rsid w:val="00207CD1"/>
    <w:rsid w:val="0021424F"/>
    <w:rsid w:val="00232DDC"/>
    <w:rsid w:val="002477A2"/>
    <w:rsid w:val="00263A51"/>
    <w:rsid w:val="00265E01"/>
    <w:rsid w:val="00267E02"/>
    <w:rsid w:val="0027718D"/>
    <w:rsid w:val="002A5D44"/>
    <w:rsid w:val="002A7CC2"/>
    <w:rsid w:val="002C6408"/>
    <w:rsid w:val="002D7D19"/>
    <w:rsid w:val="002E0BC4"/>
    <w:rsid w:val="002E1D61"/>
    <w:rsid w:val="002F1B76"/>
    <w:rsid w:val="002F7566"/>
    <w:rsid w:val="003004A5"/>
    <w:rsid w:val="00302F1D"/>
    <w:rsid w:val="00320885"/>
    <w:rsid w:val="00327663"/>
    <w:rsid w:val="00351EB4"/>
    <w:rsid w:val="00355FF5"/>
    <w:rsid w:val="00361350"/>
    <w:rsid w:val="003736B5"/>
    <w:rsid w:val="00377420"/>
    <w:rsid w:val="0038708C"/>
    <w:rsid w:val="00394364"/>
    <w:rsid w:val="003C60CC"/>
    <w:rsid w:val="003E27BE"/>
    <w:rsid w:val="004038CB"/>
    <w:rsid w:val="0040546F"/>
    <w:rsid w:val="00405D8E"/>
    <w:rsid w:val="0042404A"/>
    <w:rsid w:val="00442FF8"/>
    <w:rsid w:val="0044407D"/>
    <w:rsid w:val="0044618F"/>
    <w:rsid w:val="0046769A"/>
    <w:rsid w:val="00475FB3"/>
    <w:rsid w:val="00494856"/>
    <w:rsid w:val="004C37A9"/>
    <w:rsid w:val="004D1C57"/>
    <w:rsid w:val="004F259E"/>
    <w:rsid w:val="00503115"/>
    <w:rsid w:val="00511F1D"/>
    <w:rsid w:val="00515660"/>
    <w:rsid w:val="005201E4"/>
    <w:rsid w:val="00520F36"/>
    <w:rsid w:val="005335BD"/>
    <w:rsid w:val="00540615"/>
    <w:rsid w:val="00540A6D"/>
    <w:rsid w:val="00541170"/>
    <w:rsid w:val="00557D4C"/>
    <w:rsid w:val="00565ADA"/>
    <w:rsid w:val="005677C7"/>
    <w:rsid w:val="00571EEA"/>
    <w:rsid w:val="00572350"/>
    <w:rsid w:val="00575417"/>
    <w:rsid w:val="005768E1"/>
    <w:rsid w:val="0059100B"/>
    <w:rsid w:val="005C3890"/>
    <w:rsid w:val="005D72E1"/>
    <w:rsid w:val="005E0883"/>
    <w:rsid w:val="005F7BFE"/>
    <w:rsid w:val="00600017"/>
    <w:rsid w:val="006235CA"/>
    <w:rsid w:val="00625B44"/>
    <w:rsid w:val="00663006"/>
    <w:rsid w:val="006643AB"/>
    <w:rsid w:val="006F6625"/>
    <w:rsid w:val="007210CD"/>
    <w:rsid w:val="00730DF8"/>
    <w:rsid w:val="00732045"/>
    <w:rsid w:val="007369DB"/>
    <w:rsid w:val="007475BB"/>
    <w:rsid w:val="00765C55"/>
    <w:rsid w:val="00773899"/>
    <w:rsid w:val="007871F0"/>
    <w:rsid w:val="00792E35"/>
    <w:rsid w:val="007956C2"/>
    <w:rsid w:val="007A187E"/>
    <w:rsid w:val="007B37BA"/>
    <w:rsid w:val="007B395A"/>
    <w:rsid w:val="007C0214"/>
    <w:rsid w:val="007C72C2"/>
    <w:rsid w:val="007D0253"/>
    <w:rsid w:val="007D235A"/>
    <w:rsid w:val="007D4436"/>
    <w:rsid w:val="007D7D63"/>
    <w:rsid w:val="007E2EB3"/>
    <w:rsid w:val="007F257A"/>
    <w:rsid w:val="007F3665"/>
    <w:rsid w:val="00800037"/>
    <w:rsid w:val="00827901"/>
    <w:rsid w:val="008574B9"/>
    <w:rsid w:val="00861D73"/>
    <w:rsid w:val="00895D44"/>
    <w:rsid w:val="008A4E87"/>
    <w:rsid w:val="008A6FC3"/>
    <w:rsid w:val="008C5036"/>
    <w:rsid w:val="008D618B"/>
    <w:rsid w:val="008D76E6"/>
    <w:rsid w:val="009057B8"/>
    <w:rsid w:val="009059DE"/>
    <w:rsid w:val="0092392D"/>
    <w:rsid w:val="0093234A"/>
    <w:rsid w:val="00932470"/>
    <w:rsid w:val="00950483"/>
    <w:rsid w:val="009C307F"/>
    <w:rsid w:val="009C3538"/>
    <w:rsid w:val="009D26E1"/>
    <w:rsid w:val="009E3368"/>
    <w:rsid w:val="009F14AD"/>
    <w:rsid w:val="00A2113E"/>
    <w:rsid w:val="00A21B8B"/>
    <w:rsid w:val="00A23A51"/>
    <w:rsid w:val="00A24607"/>
    <w:rsid w:val="00A25CD3"/>
    <w:rsid w:val="00A741E1"/>
    <w:rsid w:val="00A82767"/>
    <w:rsid w:val="00AA332F"/>
    <w:rsid w:val="00AA7BBB"/>
    <w:rsid w:val="00AB64A8"/>
    <w:rsid w:val="00AB732D"/>
    <w:rsid w:val="00AC0266"/>
    <w:rsid w:val="00AD24EC"/>
    <w:rsid w:val="00AE57BE"/>
    <w:rsid w:val="00AE5FEE"/>
    <w:rsid w:val="00B1166C"/>
    <w:rsid w:val="00B309F9"/>
    <w:rsid w:val="00B32B60"/>
    <w:rsid w:val="00B573B7"/>
    <w:rsid w:val="00B61619"/>
    <w:rsid w:val="00B622EB"/>
    <w:rsid w:val="00B649AB"/>
    <w:rsid w:val="00B72DC6"/>
    <w:rsid w:val="00B96580"/>
    <w:rsid w:val="00BA0476"/>
    <w:rsid w:val="00BA3817"/>
    <w:rsid w:val="00BB4545"/>
    <w:rsid w:val="00BC1529"/>
    <w:rsid w:val="00BD5873"/>
    <w:rsid w:val="00BE6D64"/>
    <w:rsid w:val="00C04BE3"/>
    <w:rsid w:val="00C25D29"/>
    <w:rsid w:val="00C27A7C"/>
    <w:rsid w:val="00C62EE2"/>
    <w:rsid w:val="00C821A8"/>
    <w:rsid w:val="00C91D5A"/>
    <w:rsid w:val="00CA0858"/>
    <w:rsid w:val="00CA08ED"/>
    <w:rsid w:val="00CC7EC1"/>
    <w:rsid w:val="00CF183B"/>
    <w:rsid w:val="00D168DD"/>
    <w:rsid w:val="00D237A1"/>
    <w:rsid w:val="00D25584"/>
    <w:rsid w:val="00D375CD"/>
    <w:rsid w:val="00D52814"/>
    <w:rsid w:val="00D53954"/>
    <w:rsid w:val="00D553A2"/>
    <w:rsid w:val="00D620D0"/>
    <w:rsid w:val="00D65051"/>
    <w:rsid w:val="00D67FCE"/>
    <w:rsid w:val="00D70651"/>
    <w:rsid w:val="00D73C53"/>
    <w:rsid w:val="00D76368"/>
    <w:rsid w:val="00D774D3"/>
    <w:rsid w:val="00D849E3"/>
    <w:rsid w:val="00D904E8"/>
    <w:rsid w:val="00DA08C3"/>
    <w:rsid w:val="00DB0234"/>
    <w:rsid w:val="00DB5A3E"/>
    <w:rsid w:val="00DC22AA"/>
    <w:rsid w:val="00DD280D"/>
    <w:rsid w:val="00DD5A89"/>
    <w:rsid w:val="00DF54D6"/>
    <w:rsid w:val="00DF74DD"/>
    <w:rsid w:val="00E056CF"/>
    <w:rsid w:val="00E10843"/>
    <w:rsid w:val="00E20231"/>
    <w:rsid w:val="00E22FAE"/>
    <w:rsid w:val="00E25AD0"/>
    <w:rsid w:val="00E345C4"/>
    <w:rsid w:val="00E4099D"/>
    <w:rsid w:val="00E41AF3"/>
    <w:rsid w:val="00E426C4"/>
    <w:rsid w:val="00E61DBD"/>
    <w:rsid w:val="00E85F14"/>
    <w:rsid w:val="00E90097"/>
    <w:rsid w:val="00EB6350"/>
    <w:rsid w:val="00EC27B9"/>
    <w:rsid w:val="00ED0D27"/>
    <w:rsid w:val="00F15B57"/>
    <w:rsid w:val="00F427DB"/>
    <w:rsid w:val="00F45CCC"/>
    <w:rsid w:val="00F544E6"/>
    <w:rsid w:val="00F62BEB"/>
    <w:rsid w:val="00F6354C"/>
    <w:rsid w:val="00F677D2"/>
    <w:rsid w:val="00F81869"/>
    <w:rsid w:val="00FA2BE1"/>
    <w:rsid w:val="00FA5EB1"/>
    <w:rsid w:val="00FA7439"/>
    <w:rsid w:val="00FC4EC0"/>
    <w:rsid w:val="00FE33B5"/>
    <w:rsid w:val="00FE5794"/>
    <w:rsid w:val="00FE77B3"/>
    <w:rsid w:val="00FF0181"/>
    <w:rsid w:val="00FF31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2746F3"/>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1E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59100B"/>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CommentSubject">
    <w:name w:val="annotation subject"/>
    <w:basedOn w:val="CommentText"/>
    <w:next w:val="CommentText"/>
    <w:link w:val="CommentSubjectChar"/>
    <w:semiHidden/>
    <w:unhideWhenUsed/>
    <w:rsid w:val="00B649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b/>
      <w:bCs/>
      <w:lang w:val="fr-FR" w:eastAsia="en-US"/>
    </w:rPr>
  </w:style>
  <w:style w:type="character" w:customStyle="1" w:styleId="CommentSubjectChar">
    <w:name w:val="Comment Subject Char"/>
    <w:basedOn w:val="CommentTextChar"/>
    <w:link w:val="CommentSubject"/>
    <w:semiHidden/>
    <w:rsid w:val="00B649AB"/>
    <w:rPr>
      <w:rFonts w:ascii="Calibri" w:eastAsia="SimSun" w:hAnsi="Calibri"/>
      <w:b/>
      <w:bCs/>
      <w:lang w:val="fr-FR" w:eastAsia="en-US"/>
    </w:rPr>
  </w:style>
  <w:style w:type="paragraph" w:styleId="Revision">
    <w:name w:val="Revision"/>
    <w:hidden/>
    <w:uiPriority w:val="99"/>
    <w:semiHidden/>
    <w:rsid w:val="00B649AB"/>
    <w:rPr>
      <w:rFonts w:ascii="Calibri" w:hAnsi="Calibri"/>
      <w:sz w:val="24"/>
      <w:lang w:val="fr-FR" w:eastAsia="en-US"/>
    </w:rPr>
  </w:style>
  <w:style w:type="paragraph" w:styleId="BalloonText">
    <w:name w:val="Balloon Text"/>
    <w:basedOn w:val="Normal"/>
    <w:link w:val="BalloonTextChar"/>
    <w:semiHidden/>
    <w:unhideWhenUsed/>
    <w:rsid w:val="00B649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49A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mwi.de/Redaktion/DE/Downloads/G/g20-digital-economy-ministerial-declaration-english-version.pdf?__blob=publicationFile&amp;v=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842A-059F-430B-B5B8-105F8374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0</TotalTime>
  <Pages>10</Pages>
  <Words>3775</Words>
  <Characters>22013</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25737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l'Allemagne - Prise en compte des résultats de la Conférence des Ministres du G20 chargés de l'économie numérique dans le Plan stratégique de l'UIT pour 2020-2023</dc:title>
  <dc:subject>CWG-SFP</dc:subject>
  <dc:creator>Royer, Veronique</dc:creator>
  <cp:keywords>CWG-SFP</cp:keywords>
  <dc:description/>
  <cp:lastModifiedBy>Brouard, Ricarda</cp:lastModifiedBy>
  <cp:revision>2</cp:revision>
  <cp:lastPrinted>2017-09-05T06:47:00Z</cp:lastPrinted>
  <dcterms:created xsi:type="dcterms:W3CDTF">2017-09-05T15:25:00Z</dcterms:created>
  <dcterms:modified xsi:type="dcterms:W3CDTF">2017-09-05T15:25:00Z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