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32" w:rsidRPr="00F10032" w:rsidRDefault="00F10032" w:rsidP="00F1003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inorEastAsia" w:hAnsiTheme="minorHAnsi" w:cs="Arial"/>
          <w:sz w:val="20"/>
          <w:lang w:val="en-US" w:eastAsia="zh-CN"/>
        </w:rPr>
      </w:pPr>
      <w:bookmarkStart w:id="0" w:name="dc06"/>
      <w:bookmarkStart w:id="1" w:name="dbluepink" w:colFirst="0" w:colLast="0"/>
      <w:bookmarkEnd w:id="0"/>
    </w:p>
    <w:tbl>
      <w:tblPr>
        <w:tblpPr w:leftFromText="181" w:rightFromText="181" w:horzAnchor="margin" w:tblpY="-674"/>
        <w:tblW w:w="9747" w:type="dxa"/>
        <w:tblLayout w:type="fixed"/>
        <w:tblLook w:val="0000" w:firstRow="0" w:lastRow="0" w:firstColumn="0" w:lastColumn="0" w:noHBand="0" w:noVBand="0"/>
      </w:tblPr>
      <w:tblGrid>
        <w:gridCol w:w="6379"/>
        <w:gridCol w:w="3368"/>
      </w:tblGrid>
      <w:tr w:rsidR="00F10032" w:rsidRPr="00F10032" w:rsidTr="00F60702">
        <w:trPr>
          <w:cantSplit/>
        </w:trPr>
        <w:tc>
          <w:tcPr>
            <w:tcW w:w="6379" w:type="dxa"/>
          </w:tcPr>
          <w:p w:rsidR="00F10032" w:rsidRPr="00F10032" w:rsidRDefault="00F10032" w:rsidP="00F10032">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b/>
                <w:position w:val="6"/>
                <w:sz w:val="30"/>
                <w:szCs w:val="30"/>
                <w:lang w:eastAsia="zh-CN"/>
              </w:rPr>
            </w:pPr>
            <w:r w:rsidRPr="00F10032">
              <w:rPr>
                <w:rFonts w:asciiTheme="minorHAnsi" w:eastAsiaTheme="minorEastAsia" w:hAnsiTheme="minorHAnsi" w:cstheme="minorBidi"/>
                <w:b/>
                <w:sz w:val="28"/>
                <w:szCs w:val="32"/>
                <w:lang w:eastAsia="zh-CN"/>
              </w:rPr>
              <w:t>Grupo de Trabajo del Consejo sobre los Planes</w:t>
            </w:r>
            <w:r>
              <w:rPr>
                <w:rFonts w:asciiTheme="minorHAnsi" w:eastAsiaTheme="minorEastAsia" w:hAnsiTheme="minorHAnsi" w:cstheme="minorBidi"/>
                <w:b/>
                <w:sz w:val="28"/>
                <w:szCs w:val="32"/>
                <w:lang w:eastAsia="zh-CN"/>
              </w:rPr>
              <w:t xml:space="preserve"> Estratégico y Financiero para 2020-2023</w:t>
            </w:r>
          </w:p>
          <w:p w:rsidR="00F10032" w:rsidRPr="00F10032" w:rsidRDefault="00F10032" w:rsidP="00F1003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position w:val="6"/>
                <w:sz w:val="26"/>
                <w:szCs w:val="26"/>
                <w:lang w:eastAsia="zh-CN"/>
              </w:rPr>
            </w:pPr>
            <w:r w:rsidRPr="00F10032">
              <w:rPr>
                <w:rFonts w:asciiTheme="minorHAnsi" w:eastAsiaTheme="minorEastAsia" w:hAnsiTheme="minorHAnsi" w:cs="Times New Roman Bold"/>
                <w:b/>
                <w:szCs w:val="22"/>
                <w:lang w:eastAsia="zh-CN"/>
              </w:rPr>
              <w:t xml:space="preserve">Segunda reunión </w:t>
            </w:r>
            <w:r w:rsidRPr="00F10032">
              <w:rPr>
                <w:rFonts w:eastAsia="Calibri" w:cs="Calibri"/>
                <w:b/>
                <w:color w:val="000000"/>
                <w:szCs w:val="22"/>
                <w:lang w:eastAsia="zh-CN"/>
              </w:rPr>
              <w:t>–</w:t>
            </w:r>
            <w:r w:rsidRPr="00F10032">
              <w:rPr>
                <w:rFonts w:asciiTheme="minorHAnsi" w:eastAsiaTheme="minorEastAsia" w:hAnsiTheme="minorHAnsi" w:cs="Times New Roman Bold"/>
                <w:b/>
                <w:szCs w:val="22"/>
                <w:lang w:eastAsia="zh-CN"/>
              </w:rPr>
              <w:t xml:space="preserve"> Ginebra, 11-12 de septiembre de 2017</w:t>
            </w:r>
          </w:p>
        </w:tc>
        <w:tc>
          <w:tcPr>
            <w:tcW w:w="3368" w:type="dxa"/>
          </w:tcPr>
          <w:p w:rsidR="00F10032" w:rsidRPr="00F10032" w:rsidRDefault="00F10032" w:rsidP="00F10032">
            <w:pPr>
              <w:tabs>
                <w:tab w:val="clear" w:pos="567"/>
                <w:tab w:val="clear" w:pos="1134"/>
                <w:tab w:val="clear" w:pos="1701"/>
                <w:tab w:val="clear" w:pos="2268"/>
                <w:tab w:val="clear" w:pos="2835"/>
              </w:tabs>
              <w:overflowPunct/>
              <w:autoSpaceDE/>
              <w:autoSpaceDN/>
              <w:adjustRightInd/>
              <w:spacing w:after="160" w:line="240" w:lineRule="atLeast"/>
              <w:textAlignment w:val="auto"/>
              <w:rPr>
                <w:rFonts w:asciiTheme="minorHAnsi" w:eastAsiaTheme="minorEastAsia" w:hAnsiTheme="minorHAnsi" w:cstheme="minorBidi"/>
                <w:sz w:val="22"/>
                <w:szCs w:val="22"/>
                <w:lang w:val="en-US" w:eastAsia="zh-CN"/>
              </w:rPr>
            </w:pPr>
            <w:r w:rsidRPr="00011350">
              <w:rPr>
                <w:rFonts w:cstheme="minorHAnsi"/>
                <w:b/>
                <w:bCs/>
                <w:noProof/>
                <w:szCs w:val="24"/>
                <w:lang w:val="en-US" w:eastAsia="zh-CN"/>
              </w:rPr>
              <w:drawing>
                <wp:inline distT="0" distB="0" distL="0" distR="0" wp14:anchorId="4C63EE60" wp14:editId="30BCBD0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F10032" w:rsidRPr="00F10032" w:rsidTr="00F60702">
        <w:trPr>
          <w:cantSplit/>
        </w:trPr>
        <w:tc>
          <w:tcPr>
            <w:tcW w:w="6379" w:type="dxa"/>
            <w:tcBorders>
              <w:top w:val="single" w:sz="12" w:space="0" w:color="auto"/>
            </w:tcBorders>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Theme="minorEastAsia" w:hAnsiTheme="minorHAnsi" w:cstheme="minorBidi"/>
                <w:b/>
                <w:smallCaps/>
                <w:sz w:val="22"/>
                <w:szCs w:val="22"/>
                <w:lang w:val="en-US" w:eastAsia="zh-CN"/>
              </w:rPr>
            </w:pPr>
          </w:p>
        </w:tc>
        <w:tc>
          <w:tcPr>
            <w:tcW w:w="3368" w:type="dxa"/>
            <w:tcBorders>
              <w:top w:val="single" w:sz="12" w:space="0" w:color="auto"/>
            </w:tcBorders>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Theme="minorEastAsia" w:hAnsi="Verdana" w:cstheme="minorBidi"/>
                <w:sz w:val="22"/>
                <w:szCs w:val="22"/>
                <w:lang w:val="en-US" w:eastAsia="zh-CN"/>
              </w:rPr>
            </w:pPr>
          </w:p>
        </w:tc>
      </w:tr>
      <w:tr w:rsidR="00F10032" w:rsidRPr="00F10032" w:rsidTr="00F60702">
        <w:trPr>
          <w:cantSplit/>
          <w:trHeight w:val="23"/>
        </w:trPr>
        <w:tc>
          <w:tcPr>
            <w:tcW w:w="6379" w:type="dxa"/>
            <w:vMerge w:val="restart"/>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Theme="minorEastAsia" w:hAnsiTheme="minorHAnsi" w:cstheme="minorBidi"/>
                <w:b/>
                <w:sz w:val="22"/>
                <w:szCs w:val="22"/>
                <w:lang w:val="en-US" w:eastAsia="zh-CN"/>
              </w:rPr>
            </w:pPr>
          </w:p>
        </w:tc>
        <w:tc>
          <w:tcPr>
            <w:tcW w:w="3368" w:type="dxa"/>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asciiTheme="minorHAnsi" w:eastAsiaTheme="minorEastAsia" w:hAnsiTheme="minorHAnsi" w:cs="Times New Roman Bold"/>
                <w:b/>
                <w:spacing w:val="-4"/>
                <w:szCs w:val="22"/>
                <w:lang w:val="de-CH" w:eastAsia="zh-CN"/>
              </w:rPr>
            </w:pPr>
            <w:r w:rsidRPr="00F10032">
              <w:rPr>
                <w:rFonts w:asciiTheme="minorHAnsi" w:eastAsiaTheme="minorEastAsia" w:hAnsiTheme="minorHAnsi" w:cs="Times New Roman Bold"/>
                <w:b/>
                <w:spacing w:val="-4"/>
                <w:szCs w:val="22"/>
                <w:lang w:val="de-CH" w:eastAsia="zh-CN"/>
              </w:rPr>
              <w:t>Document</w:t>
            </w:r>
            <w:r>
              <w:rPr>
                <w:rFonts w:asciiTheme="minorHAnsi" w:eastAsiaTheme="minorEastAsia" w:hAnsiTheme="minorHAnsi" w:cs="Times New Roman Bold"/>
                <w:b/>
                <w:spacing w:val="-4"/>
                <w:szCs w:val="22"/>
                <w:lang w:val="de-CH" w:eastAsia="zh-CN"/>
              </w:rPr>
              <w:t>o</w:t>
            </w:r>
            <w:r w:rsidRPr="00F10032">
              <w:rPr>
                <w:rFonts w:asciiTheme="minorHAnsi" w:eastAsiaTheme="minorEastAsia" w:hAnsiTheme="minorHAnsi" w:cs="Times New Roman Bold"/>
                <w:b/>
                <w:spacing w:val="-4"/>
                <w:szCs w:val="22"/>
                <w:lang w:val="de-CH" w:eastAsia="zh-CN"/>
              </w:rPr>
              <w:t xml:space="preserve"> CWG-SFP-2/2-</w:t>
            </w:r>
            <w:r>
              <w:rPr>
                <w:rFonts w:asciiTheme="minorHAnsi" w:eastAsiaTheme="minorEastAsia" w:hAnsiTheme="minorHAnsi" w:cs="Times New Roman Bold"/>
                <w:b/>
                <w:spacing w:val="-4"/>
                <w:szCs w:val="22"/>
                <w:lang w:val="de-CH" w:eastAsia="zh-CN"/>
              </w:rPr>
              <w:t>S</w:t>
            </w:r>
          </w:p>
        </w:tc>
      </w:tr>
      <w:tr w:rsidR="00F10032" w:rsidRPr="00F10032" w:rsidTr="00F60702">
        <w:trPr>
          <w:cantSplit/>
          <w:trHeight w:val="23"/>
        </w:trPr>
        <w:tc>
          <w:tcPr>
            <w:tcW w:w="6379" w:type="dxa"/>
            <w:vMerge/>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Theme="minorEastAsia" w:hAnsiTheme="minorHAnsi" w:cstheme="minorBidi"/>
                <w:b/>
                <w:sz w:val="22"/>
                <w:szCs w:val="22"/>
                <w:lang w:val="de-CH" w:eastAsia="zh-CN"/>
              </w:rPr>
            </w:pPr>
          </w:p>
        </w:tc>
        <w:tc>
          <w:tcPr>
            <w:tcW w:w="3368" w:type="dxa"/>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asciiTheme="minorHAnsi" w:eastAsiaTheme="minorEastAsia" w:hAnsiTheme="minorHAnsi" w:cstheme="minorBidi"/>
                <w:b/>
                <w:szCs w:val="22"/>
                <w:lang w:val="en-US" w:eastAsia="zh-CN"/>
              </w:rPr>
            </w:pPr>
            <w:r w:rsidRPr="00F10032">
              <w:rPr>
                <w:rFonts w:asciiTheme="minorHAnsi" w:eastAsiaTheme="minorEastAsia" w:hAnsiTheme="minorHAnsi" w:cstheme="minorBidi"/>
                <w:b/>
                <w:szCs w:val="22"/>
                <w:lang w:val="en-US" w:eastAsia="zh-CN"/>
              </w:rPr>
              <w:t xml:space="preserve">4 </w:t>
            </w:r>
            <w:r>
              <w:rPr>
                <w:rFonts w:asciiTheme="minorHAnsi" w:eastAsiaTheme="minorEastAsia" w:hAnsiTheme="minorHAnsi" w:cstheme="minorBidi"/>
                <w:b/>
                <w:szCs w:val="22"/>
                <w:lang w:val="en-US" w:eastAsia="zh-CN"/>
              </w:rPr>
              <w:t>de agosto de</w:t>
            </w:r>
            <w:r w:rsidRPr="00F10032">
              <w:rPr>
                <w:rFonts w:asciiTheme="minorHAnsi" w:eastAsiaTheme="minorEastAsia" w:hAnsiTheme="minorHAnsi" w:cstheme="minorBidi"/>
                <w:b/>
                <w:szCs w:val="22"/>
                <w:lang w:val="en-US" w:eastAsia="zh-CN"/>
              </w:rPr>
              <w:t xml:space="preserve"> 2017</w:t>
            </w:r>
          </w:p>
        </w:tc>
      </w:tr>
      <w:tr w:rsidR="00F10032" w:rsidRPr="00F10032" w:rsidTr="00F60702">
        <w:trPr>
          <w:cantSplit/>
          <w:trHeight w:val="80"/>
        </w:trPr>
        <w:tc>
          <w:tcPr>
            <w:tcW w:w="6379" w:type="dxa"/>
            <w:vMerge/>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Theme="minorEastAsia" w:hAnsiTheme="minorHAnsi" w:cstheme="minorBidi"/>
                <w:b/>
                <w:sz w:val="22"/>
                <w:szCs w:val="22"/>
                <w:lang w:val="en-US" w:eastAsia="zh-CN"/>
              </w:rPr>
            </w:pPr>
          </w:p>
        </w:tc>
        <w:tc>
          <w:tcPr>
            <w:tcW w:w="3368" w:type="dxa"/>
          </w:tcPr>
          <w:p w:rsidR="00F10032" w:rsidRPr="00F10032" w:rsidRDefault="00F10032" w:rsidP="00F10032">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asciiTheme="minorHAnsi" w:eastAsiaTheme="minorEastAsia" w:hAnsiTheme="minorHAnsi" w:cstheme="minorBidi"/>
                <w:b/>
                <w:szCs w:val="22"/>
                <w:lang w:val="en-US" w:eastAsia="zh-CN"/>
              </w:rPr>
            </w:pPr>
            <w:r w:rsidRPr="00F10032">
              <w:rPr>
                <w:rFonts w:asciiTheme="minorHAnsi" w:eastAsiaTheme="minorEastAsia" w:hAnsiTheme="minorHAnsi" w:cstheme="minorBidi"/>
                <w:b/>
                <w:szCs w:val="22"/>
                <w:lang w:val="en-US" w:eastAsia="zh-CN"/>
              </w:rPr>
              <w:t xml:space="preserve">Original: </w:t>
            </w:r>
            <w:r>
              <w:rPr>
                <w:rFonts w:asciiTheme="minorHAnsi" w:eastAsiaTheme="minorEastAsia" w:hAnsiTheme="minorHAnsi" w:cstheme="minorBidi"/>
                <w:b/>
                <w:szCs w:val="22"/>
                <w:lang w:val="en-US" w:eastAsia="zh-CN"/>
              </w:rPr>
              <w:t>inglés</w:t>
            </w:r>
          </w:p>
        </w:tc>
      </w:tr>
    </w:tbl>
    <w:p w:rsidR="00F10032" w:rsidRPr="00F10032" w:rsidRDefault="00F10032" w:rsidP="00F10032">
      <w:pPr>
        <w:tabs>
          <w:tab w:val="clear" w:pos="567"/>
          <w:tab w:val="clear" w:pos="1134"/>
          <w:tab w:val="clear" w:pos="1701"/>
          <w:tab w:val="clear" w:pos="2268"/>
          <w:tab w:val="clear" w:pos="2835"/>
        </w:tabs>
        <w:overflowPunct/>
        <w:autoSpaceDE/>
        <w:autoSpaceDN/>
        <w:adjustRightInd/>
        <w:spacing w:before="840" w:after="120" w:line="259" w:lineRule="auto"/>
        <w:jc w:val="center"/>
        <w:textAlignment w:val="auto"/>
        <w:rPr>
          <w:rFonts w:asciiTheme="minorHAnsi" w:eastAsiaTheme="minorEastAsia" w:hAnsiTheme="minorHAnsi" w:cstheme="minorBidi"/>
          <w:b/>
          <w:sz w:val="28"/>
          <w:szCs w:val="32"/>
          <w:lang w:eastAsia="zh-CN"/>
        </w:rPr>
      </w:pPr>
      <w:r w:rsidRPr="00F10032">
        <w:rPr>
          <w:rFonts w:asciiTheme="minorHAnsi" w:eastAsiaTheme="minorEastAsia" w:hAnsiTheme="minorHAnsi" w:cstheme="minorBidi"/>
          <w:b/>
          <w:sz w:val="28"/>
          <w:szCs w:val="32"/>
          <w:lang w:eastAsia="zh-CN"/>
        </w:rPr>
        <w:t>Presidente del Grupo de Trabajo del Consejo sobre los Planes</w:t>
      </w:r>
      <w:r>
        <w:rPr>
          <w:rFonts w:asciiTheme="minorHAnsi" w:eastAsiaTheme="minorEastAsia" w:hAnsiTheme="minorHAnsi" w:cstheme="minorBidi"/>
          <w:b/>
          <w:sz w:val="28"/>
          <w:szCs w:val="32"/>
          <w:lang w:eastAsia="zh-CN"/>
        </w:rPr>
        <w:t xml:space="preserve"> Estratégico y Financiero para 2020-2023</w:t>
      </w:r>
    </w:p>
    <w:p w:rsidR="00F10032" w:rsidRPr="00F10032" w:rsidRDefault="00F10032" w:rsidP="00DB2481">
      <w:pPr>
        <w:pStyle w:val="Title1"/>
        <w:rPr>
          <w:rFonts w:asciiTheme="minorHAnsi" w:eastAsiaTheme="minorEastAsia" w:hAnsiTheme="minorHAnsi" w:cstheme="minorBidi"/>
          <w:b/>
          <w:szCs w:val="32"/>
          <w:lang w:eastAsia="zh-CN"/>
        </w:rPr>
      </w:pPr>
      <w:r w:rsidRPr="009B3212">
        <w:t xml:space="preserve">INFORME </w:t>
      </w:r>
      <w:r w:rsidR="007537BA">
        <w:t>de la primera reunión</w:t>
      </w:r>
      <w:r w:rsidR="00DB2481">
        <w:t xml:space="preserve"> del grupo de trabajo</w:t>
      </w:r>
      <w:bookmarkStart w:id="2" w:name="_GoBack"/>
      <w:bookmarkEnd w:id="2"/>
    </w:p>
    <w:p w:rsidR="00F10032" w:rsidRPr="00F10032" w:rsidRDefault="00F10032"/>
    <w:p w:rsidR="00F10032" w:rsidRPr="00F10032" w:rsidRDefault="00F10032">
      <w:r w:rsidRPr="00F10032">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r w:rsidRPr="00093EEB">
              <w:rPr>
                <w:b/>
                <w:bCs/>
                <w:sz w:val="30"/>
                <w:szCs w:val="30"/>
              </w:rPr>
              <w:lastRenderedPageBreak/>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3" w:name="ditulogo"/>
            <w:bookmarkEnd w:id="3"/>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8232D3">
            <w:pPr>
              <w:tabs>
                <w:tab w:val="clear" w:pos="2268"/>
                <w:tab w:val="left" w:pos="1560"/>
                <w:tab w:val="left" w:pos="2269"/>
                <w:tab w:val="left" w:pos="3544"/>
                <w:tab w:val="left" w:pos="3969"/>
              </w:tabs>
              <w:spacing w:before="0" w:line="240" w:lineRule="atLeast"/>
              <w:rPr>
                <w:rFonts w:cs="Times"/>
                <w:b/>
                <w:szCs w:val="24"/>
              </w:rPr>
            </w:pPr>
            <w:bookmarkStart w:id="4" w:name="lt_pId008"/>
            <w:bookmarkStart w:id="5" w:name="dnum" w:colFirst="1" w:colLast="1"/>
            <w:bookmarkStart w:id="6" w:name="dmeeting" w:colFirst="0" w:colLast="0"/>
            <w:r w:rsidRPr="001B4C5C">
              <w:rPr>
                <w:b/>
                <w:szCs w:val="32"/>
              </w:rPr>
              <w:t>Punto del orden del día: PL 3.1</w:t>
            </w:r>
            <w:bookmarkEnd w:id="4"/>
          </w:p>
        </w:tc>
        <w:tc>
          <w:tcPr>
            <w:tcW w:w="3261" w:type="dxa"/>
          </w:tcPr>
          <w:p w:rsidR="00093EEB" w:rsidRPr="00093EEB" w:rsidRDefault="00093EEB" w:rsidP="00093EEB">
            <w:pPr>
              <w:spacing w:before="0"/>
              <w:rPr>
                <w:b/>
                <w:bCs/>
                <w:szCs w:val="24"/>
              </w:rPr>
            </w:pPr>
            <w:r>
              <w:rPr>
                <w:b/>
                <w:bCs/>
                <w:szCs w:val="24"/>
              </w:rPr>
              <w:t>Documento C17/</w:t>
            </w:r>
            <w:r w:rsidR="008232D3" w:rsidRPr="005C793C">
              <w:rPr>
                <w:b/>
                <w:szCs w:val="32"/>
              </w:rPr>
              <w:t>123</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date" w:colFirst="1" w:colLast="1"/>
            <w:bookmarkEnd w:id="5"/>
            <w:bookmarkEnd w:id="6"/>
          </w:p>
        </w:tc>
        <w:tc>
          <w:tcPr>
            <w:tcW w:w="3261" w:type="dxa"/>
          </w:tcPr>
          <w:p w:rsidR="00093EEB" w:rsidRPr="00093EEB" w:rsidRDefault="008232D3" w:rsidP="00093EEB">
            <w:pPr>
              <w:spacing w:before="0"/>
              <w:rPr>
                <w:b/>
                <w:bCs/>
                <w:szCs w:val="24"/>
              </w:rPr>
            </w:pPr>
            <w:r w:rsidRPr="005C793C">
              <w:rPr>
                <w:b/>
                <w:szCs w:val="32"/>
              </w:rPr>
              <w:t xml:space="preserve">24 </w:t>
            </w:r>
            <w:r>
              <w:rPr>
                <w:b/>
                <w:szCs w:val="32"/>
              </w:rPr>
              <w:t>de m</w:t>
            </w:r>
            <w:r w:rsidRPr="005C793C">
              <w:rPr>
                <w:b/>
                <w:szCs w:val="32"/>
              </w:rPr>
              <w:t xml:space="preserve">ayo </w:t>
            </w:r>
            <w:r w:rsidR="00093EEB">
              <w:rPr>
                <w:b/>
                <w:bCs/>
                <w:szCs w:val="24"/>
              </w:rPr>
              <w:t>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8" w:name="dorlang" w:colFirst="1" w:colLast="1"/>
            <w:bookmarkEnd w:id="7"/>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884ABA" w:rsidP="00780FCE">
            <w:pPr>
              <w:pStyle w:val="Title1"/>
              <w:spacing w:before="720"/>
            </w:pPr>
            <w:bookmarkStart w:id="9" w:name="dtitle1" w:colFirst="0" w:colLast="0"/>
            <w:bookmarkEnd w:id="1"/>
            <w:bookmarkEnd w:id="8"/>
            <w:r w:rsidRPr="009B3212">
              <w:rPr>
                <w:bCs/>
                <w:szCs w:val="28"/>
              </w:rPr>
              <w:t xml:space="preserve">INFORME DEL PRESIDENTE DEL GRUPO DE TRABAJO DEL CONSEJO SOBRE </w:t>
            </w:r>
            <w:r w:rsidR="00780FCE">
              <w:rPr>
                <w:bCs/>
                <w:szCs w:val="28"/>
              </w:rPr>
              <w:br/>
            </w:r>
            <w:r w:rsidRPr="009B3212">
              <w:rPr>
                <w:bCs/>
                <w:szCs w:val="28"/>
              </w:rPr>
              <w:t>LOS PLANES ESTRATÉGICO Y FINANCIERO PARA 2020-2023</w:t>
            </w:r>
          </w:p>
        </w:tc>
      </w:tr>
      <w:bookmarkEnd w:id="9"/>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884ABA">
            <w:pPr>
              <w:rPr>
                <w:lang w:val="es-ES"/>
              </w:rPr>
            </w:pPr>
            <w:r w:rsidRPr="009B3212">
              <w:t>En el presente documento se resumen los principales resultados de la primera reunión del Grupo de Trabajo del Consejo sobre los Planes Estratégico y Financiero de la Unión para 2020</w:t>
            </w:r>
            <w:r w:rsidRPr="009B3212">
              <w:noBreakHyphen/>
              <w:t>2023 de conformidad con la Resolución 1384 de la reunión de 2017 del Consejo de la UIT. El Grupo se reunió el 23 de mayo de 2017 durante el Consejo.</w:t>
            </w:r>
          </w:p>
          <w:p w:rsidR="00093EEB" w:rsidRPr="000B0D00" w:rsidRDefault="00093EEB">
            <w:pPr>
              <w:pStyle w:val="Headingb"/>
              <w:rPr>
                <w:lang w:val="es-ES"/>
              </w:rPr>
            </w:pPr>
            <w:r w:rsidRPr="000B0D00">
              <w:rPr>
                <w:lang w:val="es-ES"/>
              </w:rPr>
              <w:t>Acción solicitada</w:t>
            </w:r>
          </w:p>
          <w:p w:rsidR="00093EEB" w:rsidRPr="000B0D00" w:rsidRDefault="00884ABA">
            <w:pPr>
              <w:rPr>
                <w:lang w:val="es-ES"/>
              </w:rPr>
            </w:pPr>
            <w:r w:rsidRPr="009B3212">
              <w:rPr>
                <w:rFonts w:cstheme="minorHAnsi"/>
              </w:rPr>
              <w:t xml:space="preserve">Se invita al Consejo a </w:t>
            </w:r>
            <w:r w:rsidRPr="009B3212">
              <w:rPr>
                <w:rFonts w:cstheme="minorHAnsi"/>
                <w:b/>
                <w:bCs/>
              </w:rPr>
              <w:t>tomar nota</w:t>
            </w:r>
            <w:r w:rsidRPr="009B3212">
              <w:rPr>
                <w:rFonts w:cstheme="minorHAnsi"/>
              </w:rPr>
              <w:t xml:space="preserve"> del presente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B0D00" w:rsidRDefault="00DB2481" w:rsidP="003A7D68">
            <w:pPr>
              <w:spacing w:after="120"/>
              <w:rPr>
                <w:i/>
                <w:iCs/>
                <w:lang w:val="es-ES"/>
              </w:rPr>
            </w:pPr>
            <w:hyperlink r:id="rId8" w:history="1">
              <w:r w:rsidR="00884ABA" w:rsidRPr="009B3212">
                <w:rPr>
                  <w:rStyle w:val="Hyperlink"/>
                  <w:rFonts w:cstheme="minorHAnsi"/>
                  <w:i/>
                </w:rPr>
                <w:t>Resolución 71</w:t>
              </w:r>
            </w:hyperlink>
            <w:r w:rsidR="00884ABA" w:rsidRPr="009B3212">
              <w:rPr>
                <w:rFonts w:cstheme="minorHAnsi"/>
                <w:i/>
                <w:iCs/>
              </w:rPr>
              <w:t xml:space="preserve"> (Rev. Busán, 2014), </w:t>
            </w:r>
            <w:hyperlink r:id="rId9" w:history="1">
              <w:r w:rsidR="00884ABA" w:rsidRPr="009B3212">
                <w:rPr>
                  <w:rStyle w:val="Hyperlink"/>
                  <w:i/>
                  <w:iCs/>
                </w:rPr>
                <w:t>Resolución 72</w:t>
              </w:r>
              <w:r w:rsidR="00884ABA" w:rsidRPr="009B3212">
                <w:rPr>
                  <w:rStyle w:val="Hyperlink"/>
                  <w:rFonts w:cstheme="minorHAnsi"/>
                  <w:i/>
                  <w:iCs/>
                </w:rPr>
                <w:t xml:space="preserve"> </w:t>
              </w:r>
              <w:r w:rsidR="00884ABA" w:rsidRPr="00077679">
                <w:t>(Rev. Busán, 2014)</w:t>
              </w:r>
            </w:hyperlink>
            <w:r w:rsidR="00884ABA" w:rsidRPr="009B3212">
              <w:rPr>
                <w:i/>
              </w:rPr>
              <w:t xml:space="preserve">; </w:t>
            </w:r>
            <w:hyperlink r:id="rId10" w:history="1">
              <w:r w:rsidR="00884ABA" w:rsidRPr="009B3212">
                <w:rPr>
                  <w:rStyle w:val="Hyperlink"/>
                  <w:i/>
                </w:rPr>
                <w:t xml:space="preserve">Resolución 151 </w:t>
              </w:r>
              <w:hyperlink r:id="rId11" w:history="1">
                <w:r w:rsidR="00884ABA" w:rsidRPr="00077679">
                  <w:t>(Rev. Busán, 2014)</w:t>
                </w:r>
              </w:hyperlink>
            </w:hyperlink>
            <w:r w:rsidR="00884ABA" w:rsidRPr="00077679">
              <w:t>,</w:t>
            </w:r>
            <w:r w:rsidR="00884ABA" w:rsidRPr="009B3212">
              <w:rPr>
                <w:rFonts w:cstheme="minorHAnsi"/>
                <w:i/>
                <w:iCs/>
                <w:sz w:val="28"/>
                <w:szCs w:val="28"/>
              </w:rPr>
              <w:t xml:space="preserve"> </w:t>
            </w:r>
            <w:hyperlink r:id="rId12" w:history="1">
              <w:r w:rsidR="00884ABA" w:rsidRPr="009B3212">
                <w:rPr>
                  <w:rStyle w:val="Hyperlink"/>
                  <w:i/>
                </w:rPr>
                <w:t>Resolución 1384</w:t>
              </w:r>
            </w:hyperlink>
            <w:r w:rsidR="00884ABA" w:rsidRPr="009B3212">
              <w:rPr>
                <w:i/>
              </w:rPr>
              <w:t xml:space="preserve"> </w:t>
            </w:r>
            <w:r w:rsidR="00884ABA" w:rsidRPr="009B3212">
              <w:rPr>
                <w:i/>
                <w:iCs/>
              </w:rPr>
              <w:t>del Consejo</w:t>
            </w:r>
            <w:r w:rsidR="00884ABA" w:rsidRPr="009B3212">
              <w:rPr>
                <w:i/>
              </w:rPr>
              <w:t xml:space="preserve"> (2017)</w:t>
            </w:r>
            <w:r w:rsidR="00884ABA" w:rsidRPr="009B3212">
              <w:rPr>
                <w:rStyle w:val="Hyperlink"/>
                <w:i/>
              </w:rPr>
              <w:t>,</w:t>
            </w:r>
            <w:r w:rsidR="00884ABA" w:rsidRPr="009B3212">
              <w:t xml:space="preserve"> </w:t>
            </w:r>
            <w:hyperlink r:id="rId13" w:history="1">
              <w:r w:rsidR="00884ABA" w:rsidRPr="009B3212">
                <w:rPr>
                  <w:rStyle w:val="Hyperlink"/>
                  <w:rFonts w:cstheme="minorHAnsi"/>
                  <w:i/>
                  <w:iCs/>
                </w:rPr>
                <w:t>Resolución 1333</w:t>
              </w:r>
            </w:hyperlink>
            <w:r w:rsidR="00884ABA" w:rsidRPr="009B3212">
              <w:rPr>
                <w:rFonts w:cstheme="minorHAnsi"/>
                <w:i/>
                <w:iCs/>
              </w:rPr>
              <w:t xml:space="preserve"> del Consejo (Revisada 2016), Documentos </w:t>
            </w:r>
            <w:hyperlink r:id="rId14" w:history="1">
              <w:r w:rsidR="00884ABA" w:rsidRPr="009B3212">
                <w:rPr>
                  <w:rStyle w:val="Hyperlink"/>
                  <w:rFonts w:cstheme="minorHAnsi"/>
                  <w:i/>
                  <w:iCs/>
                </w:rPr>
                <w:t>C17/75</w:t>
              </w:r>
            </w:hyperlink>
            <w:r w:rsidR="00884ABA" w:rsidRPr="009B3212">
              <w:rPr>
                <w:rFonts w:cstheme="minorHAnsi"/>
                <w:i/>
                <w:iCs/>
              </w:rPr>
              <w:t xml:space="preserve">, </w:t>
            </w:r>
            <w:hyperlink r:id="rId15" w:history="1">
              <w:r w:rsidR="00884ABA" w:rsidRPr="009B3212">
                <w:rPr>
                  <w:rStyle w:val="Hyperlink"/>
                  <w:rFonts w:cstheme="minorHAnsi"/>
                  <w:i/>
                  <w:iCs/>
                </w:rPr>
                <w:t>C17/35</w:t>
              </w:r>
            </w:hyperlink>
            <w:r w:rsidR="00884ABA" w:rsidRPr="009B3212">
              <w:rPr>
                <w:rFonts w:cstheme="minorHAnsi"/>
                <w:i/>
                <w:iCs/>
              </w:rPr>
              <w:t xml:space="preserve">, </w:t>
            </w:r>
            <w:hyperlink r:id="rId16" w:history="1">
              <w:r w:rsidR="00884ABA" w:rsidRPr="009B3212">
                <w:rPr>
                  <w:rStyle w:val="Hyperlink"/>
                  <w:rFonts w:cstheme="minorHAnsi"/>
                  <w:i/>
                  <w:iCs/>
                </w:rPr>
                <w:t>C17/39</w:t>
              </w:r>
            </w:hyperlink>
            <w:r w:rsidR="00884ABA" w:rsidRPr="009B3212">
              <w:rPr>
                <w:rFonts w:cstheme="minorHAnsi"/>
                <w:i/>
                <w:iCs/>
              </w:rPr>
              <w:t xml:space="preserve"> y </w:t>
            </w:r>
            <w:hyperlink r:id="rId17" w:history="1">
              <w:r w:rsidR="00884ABA" w:rsidRPr="009B3212">
                <w:rPr>
                  <w:rStyle w:val="Hyperlink"/>
                  <w:rFonts w:cstheme="minorHAnsi"/>
                  <w:i/>
                  <w:iCs/>
                </w:rPr>
                <w:t>C17/111</w:t>
              </w:r>
            </w:hyperlink>
            <w:r w:rsidR="00884ABA" w:rsidRPr="009B3212">
              <w:rPr>
                <w:i/>
              </w:rPr>
              <w:t xml:space="preserve"> </w:t>
            </w:r>
            <w:r w:rsidR="00884ABA" w:rsidRPr="009B3212">
              <w:rPr>
                <w:rFonts w:cstheme="minorHAnsi"/>
                <w:i/>
                <w:iCs/>
              </w:rPr>
              <w:t>del Consejo,</w:t>
            </w:r>
            <w:r w:rsidR="00884ABA" w:rsidRPr="009B3212">
              <w:rPr>
                <w:rStyle w:val="Hyperlink"/>
                <w:rFonts w:cstheme="minorHAnsi"/>
                <w:i/>
                <w:iCs/>
              </w:rPr>
              <w:t xml:space="preserve"> </w:t>
            </w:r>
            <w:hyperlink r:id="rId18" w:history="1">
              <w:r w:rsidR="00884ABA" w:rsidRPr="009B3212">
                <w:rPr>
                  <w:rStyle w:val="Hyperlink"/>
                  <w:rFonts w:cstheme="minorHAnsi"/>
                  <w:i/>
                  <w:iCs/>
                </w:rPr>
                <w:t xml:space="preserve">Documento </w:t>
              </w:r>
              <w:r w:rsidR="00884ABA" w:rsidRPr="009B3212">
                <w:rPr>
                  <w:rStyle w:val="Hyperlink"/>
                  <w:rFonts w:cstheme="minorHAnsi"/>
                  <w:bCs/>
                  <w:i/>
                  <w:iCs/>
                </w:rPr>
                <w:t>TDAG17-22/7</w:t>
              </w:r>
            </w:hyperlink>
            <w:r w:rsidR="00884ABA" w:rsidRPr="009B3212">
              <w:rPr>
                <w:rStyle w:val="Hyperlink"/>
                <w:rFonts w:cstheme="minorHAnsi"/>
                <w:bCs/>
                <w:i/>
                <w:iCs/>
              </w:rPr>
              <w:t xml:space="preserve"> </w:t>
            </w:r>
            <w:r w:rsidR="00884ABA" w:rsidRPr="009C5E03">
              <w:rPr>
                <w:i/>
                <w:iCs/>
              </w:rPr>
              <w:t>del GADT</w:t>
            </w:r>
          </w:p>
        </w:tc>
      </w:tr>
    </w:tbl>
    <w:p w:rsidR="00884ABA" w:rsidRPr="009B3212" w:rsidRDefault="00F55CBD" w:rsidP="00F55CBD">
      <w:pPr>
        <w:pStyle w:val="Heading1"/>
      </w:pPr>
      <w:r>
        <w:t>1</w:t>
      </w:r>
      <w:r>
        <w:tab/>
      </w:r>
      <w:r w:rsidR="00884ABA" w:rsidRPr="009B3212">
        <w:t>Introducción</w:t>
      </w:r>
    </w:p>
    <w:p w:rsidR="00884ABA" w:rsidRPr="00884ABA" w:rsidRDefault="00884ABA" w:rsidP="008232D3">
      <w:r w:rsidRPr="00884ABA">
        <w:t>1.1</w:t>
      </w:r>
      <w:r w:rsidRPr="00884ABA">
        <w:tab/>
      </w:r>
      <w:bookmarkStart w:id="10" w:name="lt_pId022"/>
      <w:r w:rsidRPr="00884ABA">
        <w:t>La reunión de 2017 del Consejo de la UIT adoptó en su tercera Sesión Plenaria la</w:t>
      </w:r>
      <w:r w:rsidR="00077679">
        <w:t xml:space="preserve"> </w:t>
      </w:r>
      <w:hyperlink r:id="rId19" w:history="1">
        <w:r w:rsidRPr="00884ABA">
          <w:rPr>
            <w:rStyle w:val="Hyperlink"/>
            <w:rFonts w:asciiTheme="minorHAnsi" w:hAnsiTheme="minorHAnsi" w:cstheme="minorBidi"/>
            <w:szCs w:val="24"/>
          </w:rPr>
          <w:t>Resolución 1384</w:t>
        </w:r>
      </w:hyperlink>
      <w:r w:rsidRPr="00884ABA">
        <w:t xml:space="preserve"> en la que se establece el Grupo de Trabajo del Consejo sobre los Planes Estratégico y Financiero de la Unión para 2020</w:t>
      </w:r>
      <w:r w:rsidRPr="00884ABA">
        <w:noBreakHyphen/>
        <w:t>2023 (GTC</w:t>
      </w:r>
      <w:r w:rsidRPr="00884ABA">
        <w:noBreakHyphen/>
        <w:t>PEPF). La Resolución contiene el mandato del GTC</w:t>
      </w:r>
      <w:r w:rsidRPr="00884ABA">
        <w:noBreakHyphen/>
        <w:t>PEPF, que está abierto a todos los Estados Miembros y, cuando trata del Plan Estratégico, también a todos los Miembros de Sector.</w:t>
      </w:r>
      <w:bookmarkEnd w:id="10"/>
    </w:p>
    <w:p w:rsidR="00884ABA" w:rsidRPr="009B3212" w:rsidRDefault="00F55CBD" w:rsidP="00F55CBD">
      <w:pPr>
        <w:pStyle w:val="Heading1"/>
        <w:rPr>
          <w:rFonts w:asciiTheme="minorHAnsi" w:hAnsiTheme="minorHAnsi" w:cstheme="minorHAnsi"/>
          <w:b w:val="0"/>
          <w:bCs/>
          <w:sz w:val="26"/>
          <w:szCs w:val="26"/>
        </w:rPr>
      </w:pPr>
      <w:r>
        <w:rPr>
          <w:rFonts w:asciiTheme="minorHAnsi" w:hAnsiTheme="minorHAnsi" w:cstheme="minorHAnsi"/>
          <w:bCs/>
          <w:sz w:val="26"/>
          <w:szCs w:val="26"/>
        </w:rPr>
        <w:t>2</w:t>
      </w:r>
      <w:r>
        <w:rPr>
          <w:rFonts w:asciiTheme="minorHAnsi" w:hAnsiTheme="minorHAnsi" w:cstheme="minorHAnsi"/>
          <w:bCs/>
          <w:sz w:val="26"/>
          <w:szCs w:val="26"/>
        </w:rPr>
        <w:tab/>
      </w:r>
      <w:r w:rsidR="00884ABA" w:rsidRPr="009B3212">
        <w:rPr>
          <w:rFonts w:asciiTheme="minorHAnsi" w:hAnsiTheme="minorHAnsi" w:cstheme="minorHAnsi"/>
          <w:bCs/>
          <w:sz w:val="26"/>
          <w:szCs w:val="26"/>
        </w:rPr>
        <w:t>Discurso de bienvenida</w:t>
      </w:r>
    </w:p>
    <w:p w:rsidR="00884ABA" w:rsidRPr="00884ABA" w:rsidRDefault="00884ABA" w:rsidP="00920303">
      <w:pPr>
        <w:keepLines/>
      </w:pPr>
      <w:r w:rsidRPr="00884ABA">
        <w:t>2.1</w:t>
      </w:r>
      <w:r w:rsidRPr="00884ABA">
        <w:tab/>
      </w:r>
      <w:bookmarkStart w:id="11" w:name="lt_pId027"/>
      <w:r w:rsidRPr="00884ABA">
        <w:t>El Presidente dio la bienvenida a los participantes y señaló la importancia de los Planes Estratégico y Financiero para la Unión. El Presidente recordó a los participantes que el GTC-PEPF tiene por objeto elaborar los proyectos de planes para someterlos a la consideración de la reunión de 2018 del Consejo y transmitirlos a la PP-18 para su adopción. El Presidente expresó el deseo de que este GTC y todo el proceso sean lo más abiertos, transparentes e integradores posible</w:t>
      </w:r>
      <w:bookmarkStart w:id="12" w:name="lt_pId029"/>
      <w:bookmarkEnd w:id="11"/>
      <w:r w:rsidRPr="00884ABA">
        <w:t>.</w:t>
      </w:r>
      <w:bookmarkEnd w:id="12"/>
    </w:p>
    <w:p w:rsidR="00884ABA" w:rsidRPr="00884ABA" w:rsidRDefault="00884ABA" w:rsidP="008232D3">
      <w:r w:rsidRPr="00884ABA">
        <w:t>2.2</w:t>
      </w:r>
      <w:r w:rsidRPr="00884ABA">
        <w:tab/>
      </w:r>
      <w:bookmarkStart w:id="13" w:name="lt_pId031"/>
      <w:r w:rsidRPr="00884ABA">
        <w:t>El Secretario General dio la bienvenida a los participantes, felicitó al Presidente por su nombramiento y destacó la importancia del trabajo del GTC-PEPF para la Unión.</w:t>
      </w:r>
      <w:bookmarkEnd w:id="13"/>
    </w:p>
    <w:p w:rsidR="00884ABA" w:rsidRPr="00884ABA" w:rsidRDefault="00884ABA" w:rsidP="00920303">
      <w:r w:rsidRPr="00884ABA">
        <w:t>2.3</w:t>
      </w:r>
      <w:r w:rsidRPr="00884ABA">
        <w:tab/>
      </w:r>
      <w:bookmarkStart w:id="14" w:name="lt_pId033"/>
      <w:r w:rsidRPr="00884ABA">
        <w:t>El GTC fue informado de que un grupo intersectorial habría sido establecido en la Secretaría, dirigido por el Sr. François Rancy, Director de la BR, para coordinar las contribuciones de la Secretaría al GTC-PEPF.</w:t>
      </w:r>
      <w:bookmarkEnd w:id="14"/>
    </w:p>
    <w:p w:rsidR="00884ABA" w:rsidRPr="00884ABA" w:rsidRDefault="00884ABA" w:rsidP="00920303">
      <w:pPr>
        <w:rPr>
          <w:rFonts w:cstheme="minorHAnsi"/>
        </w:rPr>
      </w:pPr>
      <w:r w:rsidRPr="00884ABA">
        <w:t>2.4</w:t>
      </w:r>
      <w:r w:rsidRPr="00884ABA">
        <w:tab/>
      </w:r>
      <w:bookmarkStart w:id="15" w:name="lt_pId035"/>
      <w:r w:rsidRPr="00884ABA">
        <w:t>La decisión sobre los Vicepresidentes del GTC-PEPF debía tomarse en otra sesión plenaria de la reunión de 2017 del Consejo.</w:t>
      </w:r>
      <w:bookmarkEnd w:id="15"/>
    </w:p>
    <w:p w:rsidR="00884ABA" w:rsidRPr="00884ABA" w:rsidRDefault="00F55CBD" w:rsidP="00F55CBD">
      <w:pPr>
        <w:pStyle w:val="Heading1"/>
        <w:rPr>
          <w:rFonts w:asciiTheme="minorHAnsi" w:hAnsiTheme="minorHAnsi" w:cstheme="minorHAnsi"/>
          <w:b w:val="0"/>
          <w:bCs/>
          <w:sz w:val="26"/>
          <w:szCs w:val="26"/>
        </w:rPr>
      </w:pPr>
      <w:bookmarkStart w:id="16" w:name="lt_pId036"/>
      <w:r>
        <w:rPr>
          <w:rFonts w:asciiTheme="minorHAnsi" w:hAnsiTheme="minorHAnsi" w:cstheme="minorHAnsi"/>
          <w:bCs/>
          <w:sz w:val="26"/>
          <w:szCs w:val="26"/>
        </w:rPr>
        <w:t>3</w:t>
      </w:r>
      <w:r>
        <w:rPr>
          <w:rFonts w:asciiTheme="minorHAnsi" w:hAnsiTheme="minorHAnsi" w:cstheme="minorHAnsi"/>
          <w:bCs/>
          <w:sz w:val="26"/>
          <w:szCs w:val="26"/>
        </w:rPr>
        <w:tab/>
      </w:r>
      <w:r w:rsidR="00884ABA" w:rsidRPr="00884ABA">
        <w:rPr>
          <w:rFonts w:asciiTheme="minorHAnsi" w:hAnsiTheme="minorHAnsi" w:cstheme="minorHAnsi"/>
          <w:bCs/>
          <w:sz w:val="26"/>
          <w:szCs w:val="26"/>
        </w:rPr>
        <w:t>Adopción del orden del día (</w:t>
      </w:r>
      <w:hyperlink r:id="rId20" w:history="1">
        <w:r w:rsidR="00884ABA" w:rsidRPr="00444858">
          <w:rPr>
            <w:rStyle w:val="Hyperlink"/>
            <w:rFonts w:asciiTheme="minorHAnsi" w:hAnsiTheme="minorHAnsi" w:cstheme="minorHAnsi"/>
            <w:sz w:val="26"/>
            <w:szCs w:val="26"/>
          </w:rPr>
          <w:t>CWG SFP/01</w:t>
        </w:r>
      </w:hyperlink>
      <w:r w:rsidR="00884ABA" w:rsidRPr="00884ABA">
        <w:rPr>
          <w:rFonts w:asciiTheme="minorHAnsi" w:hAnsiTheme="minorHAnsi" w:cstheme="minorHAnsi"/>
          <w:bCs/>
          <w:sz w:val="26"/>
          <w:szCs w:val="26"/>
        </w:rPr>
        <w:t>)</w:t>
      </w:r>
      <w:bookmarkEnd w:id="16"/>
    </w:p>
    <w:p w:rsidR="00884ABA" w:rsidRPr="00884ABA" w:rsidRDefault="00884ABA" w:rsidP="00920303">
      <w:r w:rsidRPr="00884ABA">
        <w:t>3.1</w:t>
      </w:r>
      <w:r w:rsidRPr="00884ABA">
        <w:tab/>
      </w:r>
      <w:bookmarkStart w:id="17" w:name="lt_pId038"/>
      <w:r w:rsidRPr="00884ABA">
        <w:t>El orden del día (CWG SFP/01) fue adoptado sin objeciones.</w:t>
      </w:r>
      <w:bookmarkEnd w:id="17"/>
    </w:p>
    <w:p w:rsidR="00884ABA" w:rsidRPr="009B3212" w:rsidRDefault="00F55CBD" w:rsidP="00F55CBD">
      <w:pPr>
        <w:pStyle w:val="Heading1"/>
        <w:rPr>
          <w:rFonts w:cstheme="minorHAnsi"/>
          <w:b w:val="0"/>
          <w:bCs/>
          <w:sz w:val="26"/>
          <w:szCs w:val="26"/>
        </w:rPr>
      </w:pPr>
      <w:bookmarkStart w:id="18" w:name="lt_pId039"/>
      <w:r>
        <w:rPr>
          <w:rFonts w:cstheme="minorHAnsi"/>
          <w:bCs/>
          <w:sz w:val="26"/>
          <w:szCs w:val="26"/>
        </w:rPr>
        <w:t>4</w:t>
      </w:r>
      <w:r>
        <w:rPr>
          <w:rFonts w:cstheme="minorHAnsi"/>
          <w:bCs/>
          <w:sz w:val="26"/>
          <w:szCs w:val="26"/>
        </w:rPr>
        <w:tab/>
      </w:r>
      <w:r w:rsidR="00884ABA" w:rsidRPr="009B3212">
        <w:rPr>
          <w:rFonts w:cstheme="minorHAnsi"/>
          <w:bCs/>
          <w:sz w:val="26"/>
          <w:szCs w:val="26"/>
        </w:rPr>
        <w:t>Perspectiva general de la Resolución 1384 (Consejo 2017)</w:t>
      </w:r>
      <w:r w:rsidR="00884ABA" w:rsidRPr="009B3212">
        <w:rPr>
          <w:rFonts w:cstheme="minorHAnsi"/>
          <w:sz w:val="26"/>
          <w:szCs w:val="26"/>
        </w:rPr>
        <w:t xml:space="preserve"> </w:t>
      </w:r>
      <w:r w:rsidR="00884ABA" w:rsidRPr="009B3212">
        <w:rPr>
          <w:rFonts w:cstheme="minorHAnsi"/>
          <w:bCs/>
          <w:sz w:val="26"/>
          <w:szCs w:val="26"/>
        </w:rPr>
        <w:t>(</w:t>
      </w:r>
      <w:hyperlink r:id="rId21" w:history="1">
        <w:r w:rsidR="00884ABA" w:rsidRPr="00444858">
          <w:rPr>
            <w:rStyle w:val="Hyperlink"/>
            <w:sz w:val="26"/>
            <w:szCs w:val="26"/>
          </w:rPr>
          <w:t>CWG-SFP-INF/1/1</w:t>
        </w:r>
      </w:hyperlink>
      <w:r w:rsidR="00884ABA" w:rsidRPr="009B3212">
        <w:rPr>
          <w:rFonts w:cstheme="minorHAnsi"/>
          <w:bCs/>
          <w:sz w:val="26"/>
          <w:szCs w:val="26"/>
        </w:rPr>
        <w:t>)</w:t>
      </w:r>
      <w:bookmarkEnd w:id="18"/>
    </w:p>
    <w:p w:rsidR="00884ABA" w:rsidRPr="00884ABA" w:rsidRDefault="00884ABA" w:rsidP="00920303">
      <w:r w:rsidRPr="00884ABA">
        <w:t>4.1</w:t>
      </w:r>
      <w:r w:rsidRPr="00884ABA">
        <w:tab/>
      </w:r>
      <w:bookmarkStart w:id="19" w:name="lt_pId041"/>
      <w:r w:rsidRPr="00884ABA">
        <w:t xml:space="preserve">El Presidente presentó la Resolución 1384 (Consejo </w:t>
      </w:r>
      <w:r w:rsidR="00B554A2">
        <w:t>2017) en la que se establece el </w:t>
      </w:r>
      <w:r w:rsidRPr="00884ABA">
        <w:t>GTC</w:t>
      </w:r>
      <w:r w:rsidRPr="00884ABA">
        <w:noBreakHyphen/>
        <w:t>PEPF. El Grupo acordó incorporar en el informe del Presidente la aclaración de que los proyectos de planes se presentarán primero y aprobarán en la reunión ordinaria de 2018 del Consejo en abril</w:t>
      </w:r>
      <w:bookmarkStart w:id="20" w:name="lt_pId042"/>
      <w:bookmarkEnd w:id="19"/>
      <w:r w:rsidRPr="00884ABA">
        <w:t>.</w:t>
      </w:r>
      <w:bookmarkEnd w:id="20"/>
    </w:p>
    <w:p w:rsidR="00884ABA" w:rsidRPr="009B3212" w:rsidRDefault="00F55CBD" w:rsidP="00F55CBD">
      <w:pPr>
        <w:pStyle w:val="Heading1"/>
        <w:rPr>
          <w:rFonts w:cstheme="minorHAnsi"/>
          <w:b w:val="0"/>
          <w:bCs/>
          <w:sz w:val="26"/>
          <w:szCs w:val="26"/>
        </w:rPr>
      </w:pPr>
      <w:bookmarkStart w:id="21" w:name="lt_pId043"/>
      <w:r>
        <w:rPr>
          <w:rFonts w:cstheme="minorHAnsi"/>
          <w:bCs/>
          <w:sz w:val="26"/>
          <w:szCs w:val="26"/>
        </w:rPr>
        <w:t>5</w:t>
      </w:r>
      <w:r>
        <w:rPr>
          <w:rFonts w:cstheme="minorHAnsi"/>
          <w:bCs/>
          <w:sz w:val="26"/>
          <w:szCs w:val="26"/>
        </w:rPr>
        <w:tab/>
      </w:r>
      <w:r w:rsidR="00884ABA" w:rsidRPr="009B3212">
        <w:rPr>
          <w:rFonts w:cstheme="minorHAnsi"/>
          <w:bCs/>
          <w:sz w:val="26"/>
          <w:szCs w:val="26"/>
        </w:rPr>
        <w:t>Presentación de la propuesta de proceso de elaboración de los Planes Estratégico y Financiero de la UIT para 2020-2023 (</w:t>
      </w:r>
      <w:hyperlink r:id="rId22" w:history="1">
        <w:r w:rsidR="00884ABA" w:rsidRPr="00444858">
          <w:rPr>
            <w:rStyle w:val="Hyperlink"/>
            <w:rFonts w:cstheme="minorHAnsi"/>
            <w:sz w:val="26"/>
            <w:szCs w:val="26"/>
          </w:rPr>
          <w:t>CWG SFP/02</w:t>
        </w:r>
      </w:hyperlink>
      <w:r w:rsidR="00884ABA" w:rsidRPr="009B3212">
        <w:rPr>
          <w:rFonts w:cstheme="minorHAnsi"/>
          <w:bCs/>
          <w:sz w:val="26"/>
          <w:szCs w:val="26"/>
        </w:rPr>
        <w:t>)</w:t>
      </w:r>
      <w:bookmarkEnd w:id="21"/>
    </w:p>
    <w:p w:rsidR="00884ABA" w:rsidRPr="008232D3" w:rsidRDefault="00884ABA" w:rsidP="00920303">
      <w:r w:rsidRPr="00884ABA">
        <w:t>5.1</w:t>
      </w:r>
      <w:r w:rsidRPr="00884ABA">
        <w:tab/>
      </w:r>
      <w:bookmarkStart w:id="22" w:name="lt_pId045"/>
      <w:r w:rsidRPr="00884ABA">
        <w:t xml:space="preserve">La Secretaría (Jefe de SPM/CSD) presentó la propuesta de proceso y de calendario para la elaboración de los planes. </w:t>
      </w:r>
      <w:r w:rsidRPr="008232D3">
        <w:t>La presentación comprendió:</w:t>
      </w:r>
      <w:bookmarkEnd w:id="22"/>
    </w:p>
    <w:p w:rsidR="00884ABA" w:rsidRDefault="008232D3" w:rsidP="008232D3">
      <w:pPr>
        <w:pStyle w:val="enumlev1"/>
      </w:pPr>
      <w:bookmarkStart w:id="23" w:name="lt_pId047"/>
      <w:r>
        <w:t>•</w:t>
      </w:r>
      <w:r>
        <w:tab/>
      </w:r>
      <w:r w:rsidR="003D1A51">
        <w:t>u</w:t>
      </w:r>
      <w:r w:rsidR="00884ABA" w:rsidRPr="00884ABA">
        <w:t>na introducción del marco estratégico actual de 2016-2019, los nuevos elementos introducidos y las lecciones aprendidas de su aplicación;</w:t>
      </w:r>
      <w:bookmarkEnd w:id="23"/>
    </w:p>
    <w:p w:rsidR="00884ABA" w:rsidRDefault="008232D3" w:rsidP="008232D3">
      <w:pPr>
        <w:pStyle w:val="enumlev1"/>
        <w:rPr>
          <w:rFonts w:asciiTheme="minorHAnsi" w:hAnsiTheme="minorHAnsi" w:cstheme="minorBidi"/>
          <w:szCs w:val="24"/>
        </w:rPr>
      </w:pPr>
      <w:r>
        <w:t>•</w:t>
      </w:r>
      <w:r>
        <w:tab/>
      </w:r>
      <w:bookmarkStart w:id="24" w:name="lt_pId048"/>
      <w:r w:rsidR="003D1A51">
        <w:rPr>
          <w:rFonts w:asciiTheme="minorHAnsi" w:hAnsiTheme="minorHAnsi" w:cstheme="minorBidi"/>
          <w:szCs w:val="24"/>
        </w:rPr>
        <w:t>u</w:t>
      </w:r>
      <w:r w:rsidR="00884ABA" w:rsidRPr="00884ABA">
        <w:rPr>
          <w:rFonts w:asciiTheme="minorHAnsi" w:hAnsiTheme="minorHAnsi" w:cstheme="minorBidi"/>
          <w:szCs w:val="24"/>
        </w:rPr>
        <w:t>na descripción del proceso que se debe seguir en la preparación del proyecto de Plan Financiero</w:t>
      </w:r>
      <w:bookmarkEnd w:id="24"/>
      <w:r w:rsidR="00884ABA" w:rsidRPr="00884ABA">
        <w:rPr>
          <w:rFonts w:asciiTheme="minorHAnsi" w:hAnsiTheme="minorHAnsi" w:cstheme="minorBidi"/>
          <w:szCs w:val="24"/>
        </w:rPr>
        <w:t>;</w:t>
      </w:r>
    </w:p>
    <w:p w:rsidR="00884ABA" w:rsidRPr="00884ABA" w:rsidRDefault="008232D3" w:rsidP="008232D3">
      <w:pPr>
        <w:pStyle w:val="enumlev1"/>
        <w:rPr>
          <w:rFonts w:asciiTheme="minorHAnsi" w:hAnsiTheme="minorHAnsi" w:cstheme="minorBidi"/>
          <w:szCs w:val="24"/>
        </w:rPr>
      </w:pPr>
      <w:r w:rsidRPr="008232D3">
        <w:rPr>
          <w:rFonts w:asciiTheme="minorHAnsi" w:hAnsiTheme="minorHAnsi" w:cstheme="minorBidi"/>
          <w:szCs w:val="24"/>
        </w:rPr>
        <w:t>•</w:t>
      </w:r>
      <w:r>
        <w:rPr>
          <w:rFonts w:asciiTheme="minorHAnsi" w:hAnsiTheme="minorHAnsi" w:cstheme="minorBidi"/>
          <w:szCs w:val="24"/>
        </w:rPr>
        <w:tab/>
      </w:r>
      <w:bookmarkStart w:id="25" w:name="lt_pId049"/>
      <w:r w:rsidR="003D1A51">
        <w:rPr>
          <w:rFonts w:asciiTheme="minorHAnsi" w:hAnsiTheme="minorHAnsi" w:cstheme="minorBidi"/>
          <w:szCs w:val="24"/>
        </w:rPr>
        <w:t>l</w:t>
      </w:r>
      <w:r w:rsidR="00884ABA" w:rsidRPr="00884ABA">
        <w:rPr>
          <w:rFonts w:asciiTheme="minorHAnsi" w:hAnsiTheme="minorHAnsi" w:cstheme="minorBidi"/>
          <w:szCs w:val="24"/>
        </w:rPr>
        <w:t>as principales evoluciones que habrán de tenerse en cuenta para la elaboración del Plan Estratégico.</w:t>
      </w:r>
      <w:bookmarkEnd w:id="25"/>
    </w:p>
    <w:p w:rsidR="00884ABA" w:rsidRPr="00884ABA" w:rsidRDefault="00884ABA" w:rsidP="00920303">
      <w:r w:rsidRPr="00884ABA">
        <w:t>5.2</w:t>
      </w:r>
      <w:r w:rsidRPr="00884ABA">
        <w:tab/>
      </w:r>
      <w:bookmarkStart w:id="26" w:name="lt_pId051"/>
      <w:r w:rsidRPr="00884ABA">
        <w:t>El Grupo tomó nota de las nuevas tendencias tecnológicas y de la Agenda 2030, incluidos los objetivos y metas de desarrollo sostenible, así como de la necesidad de tenerlos plenamente en cuenta al desarrollar el Plan Estratégico.</w:t>
      </w:r>
      <w:bookmarkEnd w:id="26"/>
    </w:p>
    <w:p w:rsidR="00884ABA" w:rsidRDefault="00884ABA" w:rsidP="006821C2">
      <w:pPr>
        <w:keepNext/>
      </w:pPr>
      <w:r w:rsidRPr="00884ABA">
        <w:t>5.3</w:t>
      </w:r>
      <w:r w:rsidRPr="00884ABA">
        <w:tab/>
      </w:r>
      <w:bookmarkStart w:id="27" w:name="lt_pId053"/>
      <w:r w:rsidRPr="00884ABA">
        <w:t>El Grupo acordó el calendario de reuniones del GTC-PEPF:</w:t>
      </w:r>
      <w:bookmarkEnd w:id="27"/>
    </w:p>
    <w:p w:rsidR="00884ABA" w:rsidRDefault="008232D3" w:rsidP="006821C2">
      <w:pPr>
        <w:pStyle w:val="enumlev1"/>
        <w:keepNext/>
        <w:rPr>
          <w:rFonts w:asciiTheme="minorHAnsi" w:hAnsiTheme="minorHAnsi" w:cstheme="minorBidi"/>
          <w:szCs w:val="24"/>
        </w:rPr>
      </w:pPr>
      <w:r>
        <w:t>•</w:t>
      </w:r>
      <w:r>
        <w:tab/>
      </w:r>
      <w:bookmarkStart w:id="28" w:name="lt_pId054"/>
      <w:r w:rsidR="00884ABA" w:rsidRPr="00884ABA">
        <w:rPr>
          <w:rFonts w:asciiTheme="minorHAnsi" w:hAnsiTheme="minorHAnsi" w:cstheme="minorBidi"/>
          <w:szCs w:val="24"/>
        </w:rPr>
        <w:t>2</w:t>
      </w:r>
      <w:r w:rsidR="00884ABA" w:rsidRPr="00884ABA">
        <w:rPr>
          <w:rFonts w:asciiTheme="minorHAnsi" w:hAnsiTheme="minorHAnsi" w:cstheme="minorBidi"/>
          <w:szCs w:val="24"/>
          <w:vertAlign w:val="superscript"/>
        </w:rPr>
        <w:t>a</w:t>
      </w:r>
      <w:r w:rsidR="00884ABA" w:rsidRPr="00884ABA">
        <w:rPr>
          <w:rFonts w:asciiTheme="minorHAnsi" w:hAnsiTheme="minorHAnsi" w:cstheme="minorBidi"/>
          <w:szCs w:val="24"/>
        </w:rPr>
        <w:t xml:space="preserve"> reunión: una reunión de 2 días de duración durante el bloque de reuniones de los GTC en septiembre de 2017;</w:t>
      </w:r>
      <w:bookmarkEnd w:id="28"/>
    </w:p>
    <w:p w:rsidR="00884ABA" w:rsidRDefault="008232D3" w:rsidP="008232D3">
      <w:pPr>
        <w:pStyle w:val="enumlev1"/>
        <w:rPr>
          <w:rFonts w:asciiTheme="minorHAnsi" w:hAnsiTheme="minorHAnsi" w:cstheme="minorBidi"/>
          <w:szCs w:val="24"/>
        </w:rPr>
      </w:pPr>
      <w:r w:rsidRPr="008232D3">
        <w:rPr>
          <w:rFonts w:asciiTheme="minorHAnsi" w:hAnsiTheme="minorHAnsi" w:cstheme="minorBidi"/>
          <w:szCs w:val="24"/>
        </w:rPr>
        <w:t>•</w:t>
      </w:r>
      <w:r>
        <w:rPr>
          <w:rFonts w:asciiTheme="minorHAnsi" w:hAnsiTheme="minorHAnsi" w:cstheme="minorBidi"/>
          <w:szCs w:val="24"/>
        </w:rPr>
        <w:tab/>
      </w:r>
      <w:bookmarkStart w:id="29" w:name="lt_pId055"/>
      <w:r w:rsidR="00884ABA" w:rsidRPr="00884ABA">
        <w:rPr>
          <w:rFonts w:asciiTheme="minorHAnsi" w:hAnsiTheme="minorHAnsi" w:cstheme="minorBidi"/>
          <w:szCs w:val="24"/>
        </w:rPr>
        <w:t>3</w:t>
      </w:r>
      <w:r w:rsidR="00884ABA" w:rsidRPr="00884ABA">
        <w:rPr>
          <w:rFonts w:asciiTheme="minorHAnsi" w:hAnsiTheme="minorHAnsi" w:cstheme="minorBidi"/>
          <w:szCs w:val="24"/>
          <w:vertAlign w:val="superscript"/>
        </w:rPr>
        <w:t>a</w:t>
      </w:r>
      <w:r w:rsidR="00884ABA" w:rsidRPr="00884ABA">
        <w:rPr>
          <w:rFonts w:asciiTheme="minorHAnsi" w:hAnsiTheme="minorHAnsi" w:cstheme="minorBidi"/>
          <w:szCs w:val="24"/>
        </w:rPr>
        <w:t xml:space="preserve"> reunión: una reunión de 2 días de duración durante el bloque de reuniones de los GTC en enero/febrero de 2018;</w:t>
      </w:r>
      <w:bookmarkEnd w:id="29"/>
    </w:p>
    <w:p w:rsidR="00884ABA" w:rsidRPr="00884ABA" w:rsidRDefault="008232D3" w:rsidP="008232D3">
      <w:pPr>
        <w:pStyle w:val="enumlev1"/>
        <w:rPr>
          <w:rFonts w:asciiTheme="minorHAnsi" w:hAnsiTheme="minorHAnsi" w:cstheme="minorBidi"/>
          <w:szCs w:val="24"/>
        </w:rPr>
      </w:pPr>
      <w:r w:rsidRPr="008232D3">
        <w:rPr>
          <w:rFonts w:asciiTheme="minorHAnsi" w:hAnsiTheme="minorHAnsi" w:cstheme="minorBidi"/>
          <w:szCs w:val="24"/>
        </w:rPr>
        <w:t>•</w:t>
      </w:r>
      <w:r>
        <w:rPr>
          <w:rFonts w:asciiTheme="minorHAnsi" w:hAnsiTheme="minorHAnsi" w:cstheme="minorBidi"/>
          <w:szCs w:val="24"/>
        </w:rPr>
        <w:tab/>
      </w:r>
      <w:bookmarkStart w:id="30" w:name="lt_pId056"/>
      <w:r w:rsidR="00884ABA" w:rsidRPr="00884ABA">
        <w:rPr>
          <w:rFonts w:asciiTheme="minorHAnsi" w:hAnsiTheme="minorHAnsi" w:cstheme="minorBidi"/>
          <w:szCs w:val="24"/>
        </w:rPr>
        <w:t>4</w:t>
      </w:r>
      <w:r w:rsidR="00884ABA" w:rsidRPr="00884ABA">
        <w:rPr>
          <w:rFonts w:asciiTheme="minorHAnsi" w:hAnsiTheme="minorHAnsi" w:cstheme="minorBidi"/>
          <w:szCs w:val="24"/>
          <w:vertAlign w:val="superscript"/>
        </w:rPr>
        <w:t>a</w:t>
      </w:r>
      <w:r w:rsidR="00884ABA" w:rsidRPr="00884ABA">
        <w:rPr>
          <w:rFonts w:asciiTheme="minorHAnsi" w:hAnsiTheme="minorHAnsi" w:cstheme="minorBidi"/>
          <w:szCs w:val="24"/>
        </w:rPr>
        <w:t xml:space="preserve"> reunión: una reunión de 1 ó 2 días de duración antes de la reunión de 2018 del Consejo.</w:t>
      </w:r>
      <w:bookmarkEnd w:id="30"/>
    </w:p>
    <w:p w:rsidR="00884ABA" w:rsidRPr="00884ABA" w:rsidRDefault="00946AF8" w:rsidP="00946AF8">
      <w:r>
        <w:t>5.4</w:t>
      </w:r>
      <w:r w:rsidR="00884ABA" w:rsidRPr="00884ABA">
        <w:tab/>
      </w:r>
      <w:bookmarkStart w:id="31" w:name="lt_pId058"/>
      <w:r w:rsidR="00884ABA" w:rsidRPr="00884ABA">
        <w:t>El Grupo acordó que se necesitaban servicios de interpretación y traducción a los seis idiomas oficiales de la Unión, así como mecanismos eficaces de participación a distancia para todas las reuniones del GTC-PEPF.</w:t>
      </w:r>
      <w:bookmarkEnd w:id="31"/>
    </w:p>
    <w:p w:rsidR="00884ABA" w:rsidRPr="009B3212" w:rsidRDefault="00F55CBD" w:rsidP="00F55CBD">
      <w:pPr>
        <w:pStyle w:val="Heading1"/>
        <w:rPr>
          <w:rFonts w:cstheme="minorHAnsi"/>
          <w:b w:val="0"/>
          <w:bCs/>
          <w:sz w:val="26"/>
          <w:szCs w:val="26"/>
        </w:rPr>
      </w:pPr>
      <w:bookmarkStart w:id="32" w:name="lt_pId059"/>
      <w:r>
        <w:rPr>
          <w:rFonts w:cstheme="minorHAnsi"/>
          <w:bCs/>
          <w:sz w:val="26"/>
          <w:szCs w:val="26"/>
        </w:rPr>
        <w:t>6</w:t>
      </w:r>
      <w:r>
        <w:rPr>
          <w:rFonts w:cstheme="minorHAnsi"/>
          <w:bCs/>
          <w:sz w:val="26"/>
          <w:szCs w:val="26"/>
        </w:rPr>
        <w:tab/>
      </w:r>
      <w:r w:rsidR="00884ABA" w:rsidRPr="009B3212">
        <w:rPr>
          <w:rFonts w:cstheme="minorHAnsi"/>
          <w:bCs/>
          <w:sz w:val="26"/>
          <w:szCs w:val="26"/>
        </w:rPr>
        <w:t xml:space="preserve">Examen del Plan Estratégico de la UIT para 2016-2019, Resoluciones 71, 72, 151, 191 y 200 </w:t>
      </w:r>
      <w:r w:rsidR="00884ABA" w:rsidRPr="0003739D">
        <w:rPr>
          <w:rFonts w:cstheme="minorHAnsi"/>
          <w:b w:val="0"/>
          <w:sz w:val="26"/>
          <w:szCs w:val="26"/>
        </w:rPr>
        <w:t>(</w:t>
      </w:r>
      <w:hyperlink r:id="rId23" w:history="1">
        <w:r w:rsidR="00884ABA" w:rsidRPr="00444858">
          <w:rPr>
            <w:rStyle w:val="Hyperlink"/>
            <w:bCs/>
            <w:sz w:val="26"/>
            <w:szCs w:val="26"/>
          </w:rPr>
          <w:t>CWG-SFP-INF/1/2</w:t>
        </w:r>
      </w:hyperlink>
      <w:r w:rsidR="00884ABA" w:rsidRPr="0003739D">
        <w:t>) y estructura del Plan Estratégico para 2020-2023</w:t>
      </w:r>
      <w:r w:rsidR="00884ABA" w:rsidRPr="009B3212">
        <w:rPr>
          <w:rStyle w:val="Hyperlink"/>
          <w:sz w:val="26"/>
          <w:szCs w:val="26"/>
        </w:rPr>
        <w:t xml:space="preserve"> </w:t>
      </w:r>
      <w:r w:rsidR="00884ABA" w:rsidRPr="009B3212">
        <w:rPr>
          <w:rFonts w:cstheme="minorHAnsi"/>
          <w:sz w:val="26"/>
          <w:szCs w:val="26"/>
        </w:rPr>
        <w:t>(</w:t>
      </w:r>
      <w:hyperlink r:id="rId24" w:history="1">
        <w:r w:rsidR="00884ABA" w:rsidRPr="00444858">
          <w:rPr>
            <w:rStyle w:val="Hyperlink"/>
            <w:sz w:val="26"/>
            <w:szCs w:val="26"/>
          </w:rPr>
          <w:t>CWG-SFP-1/3</w:t>
        </w:r>
      </w:hyperlink>
      <w:r w:rsidR="00884ABA" w:rsidRPr="0003739D">
        <w:t>)</w:t>
      </w:r>
      <w:bookmarkEnd w:id="32"/>
    </w:p>
    <w:p w:rsidR="00884ABA" w:rsidRPr="009B3212" w:rsidRDefault="00884ABA" w:rsidP="00920303">
      <w:r w:rsidRPr="009B3212">
        <w:t>6.1</w:t>
      </w:r>
      <w:r w:rsidRPr="009B3212">
        <w:tab/>
      </w:r>
      <w:bookmarkStart w:id="33" w:name="lt_pId061"/>
      <w:r w:rsidRPr="009B3212">
        <w:t>El Grupo</w:t>
      </w:r>
      <w:r w:rsidR="003224E1">
        <w:t xml:space="preserve"> acordó incorporar la revisión d</w:t>
      </w:r>
      <w:r w:rsidRPr="009B3212">
        <w:t>e las Resoluciones 71, 72, 151, 191 y 200 de la PP en los trabajos del GTC-PEPF, a fin de armonizarlas con el nuevo Plan Estratégico.</w:t>
      </w:r>
      <w:bookmarkEnd w:id="33"/>
    </w:p>
    <w:p w:rsidR="00884ABA" w:rsidRPr="009B3212" w:rsidRDefault="00884ABA" w:rsidP="00920303">
      <w:r w:rsidRPr="009B3212">
        <w:t>6.2</w:t>
      </w:r>
      <w:r w:rsidRPr="009B3212">
        <w:tab/>
      </w:r>
      <w:bookmarkStart w:id="34" w:name="lt_pId063"/>
      <w:r w:rsidRPr="009B3212">
        <w:t>Se aprobó la propuesta de estructura del Plan Estratégico para 2020-2023, y se decidió incorporar el Plan en el Anexo 1 a la Resolución 71, con el análisis de antecedentes en el Anexo 2.</w:t>
      </w:r>
      <w:bookmarkEnd w:id="34"/>
    </w:p>
    <w:p w:rsidR="00884ABA" w:rsidRPr="009B3212" w:rsidRDefault="00F55CBD" w:rsidP="00F55CBD">
      <w:pPr>
        <w:pStyle w:val="Heading1"/>
        <w:rPr>
          <w:rFonts w:cstheme="minorHAnsi"/>
          <w:b w:val="0"/>
          <w:bCs/>
          <w:sz w:val="26"/>
          <w:szCs w:val="26"/>
        </w:rPr>
      </w:pPr>
      <w:bookmarkStart w:id="35" w:name="lt_pId064"/>
      <w:r>
        <w:rPr>
          <w:rFonts w:cstheme="minorHAnsi"/>
          <w:bCs/>
          <w:sz w:val="26"/>
          <w:szCs w:val="26"/>
        </w:rPr>
        <w:t>7</w:t>
      </w:r>
      <w:r>
        <w:rPr>
          <w:rFonts w:cstheme="minorHAnsi"/>
          <w:bCs/>
          <w:sz w:val="26"/>
          <w:szCs w:val="26"/>
        </w:rPr>
        <w:tab/>
      </w:r>
      <w:r w:rsidR="00884ABA" w:rsidRPr="009B3212">
        <w:rPr>
          <w:rFonts w:cstheme="minorHAnsi"/>
          <w:bCs/>
          <w:sz w:val="26"/>
          <w:szCs w:val="26"/>
        </w:rPr>
        <w:t>Contribución del GAR (</w:t>
      </w:r>
      <w:hyperlink r:id="rId25" w:history="1">
        <w:r w:rsidR="00884ABA" w:rsidRPr="00444858">
          <w:rPr>
            <w:rStyle w:val="Hyperlink"/>
            <w:sz w:val="26"/>
            <w:szCs w:val="26"/>
          </w:rPr>
          <w:t>CWG-SFP-INF/1/3</w:t>
        </w:r>
      </w:hyperlink>
      <w:r w:rsidR="00884ABA" w:rsidRPr="0003739D">
        <w:t>)</w:t>
      </w:r>
      <w:bookmarkEnd w:id="35"/>
    </w:p>
    <w:p w:rsidR="00884ABA" w:rsidRPr="009B3212" w:rsidRDefault="00884ABA" w:rsidP="00920303">
      <w:r w:rsidRPr="009B3212">
        <w:t>7.1</w:t>
      </w:r>
      <w:r w:rsidRPr="009B3212">
        <w:tab/>
      </w:r>
      <w:bookmarkStart w:id="36" w:name="lt_pId066"/>
      <w:r w:rsidRPr="009B3212">
        <w:t>El Director de la Oficina de Radiocomunicaciones (BR) pre</w:t>
      </w:r>
      <w:r w:rsidR="009C5E03">
        <w:t>sentó la contribución del GAR (D</w:t>
      </w:r>
      <w:r w:rsidRPr="009B3212">
        <w:t>ocumento C17/111) a la reunión de 2017 del Consejo, pidiéndole que tuviera en cuenta los aspectos siguientes: la distinción entre los objetivos del Sector UIT-R y los de la Oficina, así como la fiabilidad de las fuentes de datos para los indicadores.</w:t>
      </w:r>
      <w:bookmarkEnd w:id="36"/>
    </w:p>
    <w:p w:rsidR="00884ABA" w:rsidRPr="009B3212" w:rsidRDefault="00884ABA" w:rsidP="00920303">
      <w:r w:rsidRPr="009B3212">
        <w:t>7.2</w:t>
      </w:r>
      <w:r w:rsidRPr="009B3212">
        <w:tab/>
      </w:r>
      <w:bookmarkStart w:id="37" w:name="lt_pId068"/>
      <w:r w:rsidRPr="009B3212">
        <w:t xml:space="preserve">Se propuso que el GAR crease un Grupo por Correspondencia para debatir las contribuciones del UIT-R al Plan Estratégico de la Unión. La Secretaría transmitiría </w:t>
      </w:r>
      <w:r w:rsidR="009C5E03">
        <w:t>esa propuesta al Presidente del </w:t>
      </w:r>
      <w:r w:rsidRPr="009B3212">
        <w:t>GAR y apoyaría la creación de ese Grupo</w:t>
      </w:r>
      <w:bookmarkStart w:id="38" w:name="lt_pId069"/>
      <w:bookmarkEnd w:id="37"/>
      <w:r w:rsidRPr="009B3212">
        <w:t>.</w:t>
      </w:r>
      <w:bookmarkEnd w:id="38"/>
    </w:p>
    <w:p w:rsidR="00884ABA" w:rsidRPr="009B3212" w:rsidRDefault="00884ABA" w:rsidP="00920303">
      <w:r w:rsidRPr="009B3212">
        <w:t>7.3</w:t>
      </w:r>
      <w:r w:rsidRPr="009B3212">
        <w:tab/>
      </w:r>
      <w:bookmarkStart w:id="39" w:name="lt_pId071"/>
      <w:r w:rsidRPr="009B3212">
        <w:t>Los debates destacaron la dificultad que entraña la correspondencia completa entre los planes operacional y estratégico, ya que las actividades de la Oficina son distintas de las del Sector, y la necesidad de revisar los indicadores de rendimiento actuales, en particular los que se refieren al Reglamento de Radiocomunicaciones.</w:t>
      </w:r>
      <w:bookmarkEnd w:id="39"/>
    </w:p>
    <w:p w:rsidR="00884ABA" w:rsidRPr="009B3212" w:rsidRDefault="00F55CBD" w:rsidP="00F55CBD">
      <w:pPr>
        <w:pStyle w:val="Heading1"/>
        <w:rPr>
          <w:rFonts w:cstheme="minorHAnsi"/>
          <w:b w:val="0"/>
          <w:bCs/>
          <w:sz w:val="26"/>
          <w:szCs w:val="26"/>
        </w:rPr>
      </w:pPr>
      <w:r>
        <w:rPr>
          <w:rFonts w:cstheme="minorHAnsi"/>
          <w:bCs/>
          <w:sz w:val="26"/>
          <w:szCs w:val="26"/>
        </w:rPr>
        <w:t>8</w:t>
      </w:r>
      <w:r>
        <w:rPr>
          <w:rFonts w:cstheme="minorHAnsi"/>
          <w:bCs/>
          <w:sz w:val="26"/>
          <w:szCs w:val="26"/>
        </w:rPr>
        <w:tab/>
      </w:r>
      <w:r w:rsidR="00884ABA" w:rsidRPr="009B3212">
        <w:rPr>
          <w:rFonts w:cstheme="minorHAnsi"/>
          <w:bCs/>
          <w:sz w:val="26"/>
          <w:szCs w:val="26"/>
        </w:rPr>
        <w:t>Contribución del GADT</w:t>
      </w:r>
    </w:p>
    <w:p w:rsidR="00884ABA" w:rsidRPr="009B3212" w:rsidRDefault="00884ABA" w:rsidP="00920303">
      <w:r w:rsidRPr="009B3212">
        <w:t>8.1</w:t>
      </w:r>
      <w:r w:rsidRPr="009B3212">
        <w:tab/>
      </w:r>
      <w:bookmarkStart w:id="40" w:name="lt_pId074"/>
      <w:r w:rsidRPr="009B3212">
        <w:t>El Sr. Fabio Bigi, Presidente del Grupo por Correspondencia del GADT sobre el Plan Estratégico, el Plan Operacional y la Declaración, explicó el proceso en curso en el UIT-D co</w:t>
      </w:r>
      <w:r w:rsidR="009C5E03">
        <w:t>n miras a preparar la CMDT-17 (D</w:t>
      </w:r>
      <w:r w:rsidRPr="009B3212">
        <w:t xml:space="preserve">ocumento </w:t>
      </w:r>
      <w:hyperlink r:id="rId26" w:history="1">
        <w:r w:rsidRPr="009B3212">
          <w:rPr>
            <w:rStyle w:val="Hyperlink"/>
            <w:rFonts w:cstheme="minorHAnsi"/>
            <w:szCs w:val="24"/>
          </w:rPr>
          <w:t>CWG-SFP-INF/1/4</w:t>
        </w:r>
      </w:hyperlink>
      <w:r w:rsidRPr="009B3212">
        <w:t>).</w:t>
      </w:r>
      <w:bookmarkEnd w:id="40"/>
    </w:p>
    <w:p w:rsidR="00884ABA" w:rsidRPr="009B3212" w:rsidRDefault="00F55CBD" w:rsidP="00F55CBD">
      <w:pPr>
        <w:pStyle w:val="Heading1"/>
        <w:rPr>
          <w:rFonts w:cstheme="minorHAnsi"/>
          <w:b w:val="0"/>
          <w:bCs/>
          <w:sz w:val="26"/>
          <w:szCs w:val="26"/>
        </w:rPr>
      </w:pPr>
      <w:r>
        <w:rPr>
          <w:rFonts w:cstheme="minorHAnsi"/>
          <w:bCs/>
          <w:sz w:val="26"/>
          <w:szCs w:val="26"/>
        </w:rPr>
        <w:t>9</w:t>
      </w:r>
      <w:r>
        <w:rPr>
          <w:rFonts w:cstheme="minorHAnsi"/>
          <w:bCs/>
          <w:sz w:val="26"/>
          <w:szCs w:val="26"/>
        </w:rPr>
        <w:tab/>
      </w:r>
      <w:r w:rsidR="00884ABA" w:rsidRPr="009B3212">
        <w:rPr>
          <w:rFonts w:cstheme="minorHAnsi"/>
          <w:bCs/>
          <w:sz w:val="26"/>
          <w:szCs w:val="26"/>
        </w:rPr>
        <w:t>Contribución del GANT</w:t>
      </w:r>
    </w:p>
    <w:p w:rsidR="00884ABA" w:rsidRPr="009B3212" w:rsidRDefault="00884ABA" w:rsidP="00920303">
      <w:r w:rsidRPr="009B3212">
        <w:t>9.1</w:t>
      </w:r>
      <w:r w:rsidRPr="009B3212">
        <w:tab/>
      </w:r>
      <w:bookmarkStart w:id="41" w:name="lt_pId077"/>
      <w:r w:rsidRPr="009B3212">
        <w:t>El Sr. Bruce Gracie, Presidente del GANT, informó al Grupo sobre los mecanismos de contribución a los trabajos del grupo y declaró estar dispuesto a una estrecha colaboración. Propuso que se examinaran las iniciativas estratégicas de normalización del GANT en los trabajos del GTC</w:t>
      </w:r>
      <w:r w:rsidRPr="009B3212">
        <w:noBreakHyphen/>
        <w:t>PEPF. Indicó que el Presidente del Grupo por Correspondencia del GANT sobre el Plan Estratégico es el Sr. Victor Martínez Vanegas (México)</w:t>
      </w:r>
      <w:bookmarkStart w:id="42" w:name="lt_pId079"/>
      <w:bookmarkEnd w:id="41"/>
      <w:r w:rsidRPr="009B3212">
        <w:t>.</w:t>
      </w:r>
      <w:bookmarkEnd w:id="42"/>
    </w:p>
    <w:p w:rsidR="00884ABA" w:rsidRPr="009B3212" w:rsidRDefault="00884ABA" w:rsidP="00920303">
      <w:r w:rsidRPr="009B3212">
        <w:t>9.2</w:t>
      </w:r>
      <w:r w:rsidRPr="009B3212">
        <w:tab/>
      </w:r>
      <w:bookmarkStart w:id="43" w:name="lt_pId081"/>
      <w:r w:rsidRPr="009B3212">
        <w:t>El Grupo convino en que era necesaria una estrecha y dinámica colaboración entre el GTC</w:t>
      </w:r>
      <w:r w:rsidRPr="009B3212">
        <w:noBreakHyphen/>
        <w:t>PEPF, el grupo interno de la Secretaría y todos los Grupos asesores y por correspondencia de los Sectores.</w:t>
      </w:r>
      <w:bookmarkEnd w:id="43"/>
    </w:p>
    <w:p w:rsidR="00884ABA" w:rsidRPr="009B3212" w:rsidRDefault="00884ABA" w:rsidP="00920303">
      <w:r w:rsidRPr="009B3212">
        <w:t>9.3</w:t>
      </w:r>
      <w:r w:rsidRPr="009B3212">
        <w:tab/>
      </w:r>
      <w:bookmarkStart w:id="44" w:name="lt_pId083"/>
      <w:r w:rsidRPr="009B3212">
        <w:t>El Presidente recordó a los presentes que los proyectos de Planes Estratégico y Financiero serán elaborados en última instancia por la Secretaría a partir de las contribuciones de los miembros, las consultas públicas, el GTC-PEPF y los Grupos Asesores de los Sectores, y por lo tanto pidió a los participantes que utilizasen todos los conductos disponibles para asegurarse de que sus propuestas constan en los proyectos de planes.</w:t>
      </w:r>
      <w:bookmarkEnd w:id="44"/>
    </w:p>
    <w:p w:rsidR="00884ABA" w:rsidRPr="002431C6" w:rsidRDefault="00F55CBD" w:rsidP="00F55CBD">
      <w:pPr>
        <w:pStyle w:val="Heading1"/>
      </w:pPr>
      <w:bookmarkStart w:id="45" w:name="lt_pId084"/>
      <w:r>
        <w:rPr>
          <w:rFonts w:cstheme="minorHAnsi"/>
          <w:bCs/>
          <w:sz w:val="26"/>
          <w:szCs w:val="26"/>
        </w:rPr>
        <w:t>10</w:t>
      </w:r>
      <w:r>
        <w:rPr>
          <w:rFonts w:cstheme="minorHAnsi"/>
          <w:bCs/>
          <w:sz w:val="26"/>
          <w:szCs w:val="26"/>
        </w:rPr>
        <w:tab/>
      </w:r>
      <w:r w:rsidR="00884ABA" w:rsidRPr="009B3212">
        <w:rPr>
          <w:rFonts w:cstheme="minorHAnsi"/>
          <w:bCs/>
          <w:sz w:val="26"/>
          <w:szCs w:val="26"/>
        </w:rPr>
        <w:t>Tema de la 1ª consulta pública del GTC-PEPF (</w:t>
      </w:r>
      <w:hyperlink r:id="rId27" w:history="1">
        <w:r w:rsidR="00884ABA" w:rsidRPr="00444858">
          <w:rPr>
            <w:rStyle w:val="Hyperlink"/>
            <w:sz w:val="26"/>
            <w:szCs w:val="26"/>
          </w:rPr>
          <w:t>CWG-SFP-1/4</w:t>
        </w:r>
      </w:hyperlink>
      <w:r w:rsidR="00884ABA" w:rsidRPr="002431C6">
        <w:t>)</w:t>
      </w:r>
      <w:bookmarkEnd w:id="45"/>
    </w:p>
    <w:p w:rsidR="00884ABA" w:rsidRDefault="008232D3" w:rsidP="00920303">
      <w:bookmarkStart w:id="46" w:name="lt_pId085"/>
      <w:r>
        <w:t>10.1</w:t>
      </w:r>
      <w:r>
        <w:tab/>
      </w:r>
      <w:r w:rsidR="00884ABA" w:rsidRPr="00884ABA">
        <w:t>La Secretaría presentó un conjunto de propuestas de preguntas para la 1ª consulta pública abierta que tendrá lugar entre la reunión de 2017 del Consejo y finales de junio.</w:t>
      </w:r>
      <w:bookmarkEnd w:id="46"/>
    </w:p>
    <w:p w:rsidR="00884ABA" w:rsidRDefault="008232D3" w:rsidP="00920303">
      <w:r>
        <w:t>10.2</w:t>
      </w:r>
      <w:r>
        <w:tab/>
      </w:r>
      <w:bookmarkStart w:id="47" w:name="lt_pId086"/>
      <w:r w:rsidR="00884ABA" w:rsidRPr="00884ABA">
        <w:t>El Grupo acordó dejar un plazo de por lo menos 30 días para cada una de las tres consultas públicas que llevará a cabo después de las reuniones primera, segunda y tercera.</w:t>
      </w:r>
      <w:bookmarkEnd w:id="47"/>
    </w:p>
    <w:p w:rsidR="00884ABA" w:rsidRDefault="00920303" w:rsidP="00920303">
      <w:pPr>
        <w:rPr>
          <w:rFonts w:cstheme="minorHAnsi"/>
          <w:szCs w:val="24"/>
        </w:rPr>
      </w:pPr>
      <w:r>
        <w:rPr>
          <w:rFonts w:cstheme="minorHAnsi"/>
          <w:szCs w:val="24"/>
        </w:rPr>
        <w:t>10.3</w:t>
      </w:r>
      <w:r>
        <w:rPr>
          <w:rFonts w:cstheme="minorHAnsi"/>
          <w:szCs w:val="24"/>
        </w:rPr>
        <w:tab/>
      </w:r>
      <w:bookmarkStart w:id="48" w:name="lt_pId087"/>
      <w:r w:rsidR="00884ABA" w:rsidRPr="00884ABA">
        <w:rPr>
          <w:rFonts w:cstheme="minorHAnsi"/>
          <w:szCs w:val="24"/>
        </w:rPr>
        <w:t>El Grupo pidió al Presidente que consultase a todos los interesados y finalizase las preguntas.</w:t>
      </w:r>
      <w:bookmarkEnd w:id="48"/>
    </w:p>
    <w:p w:rsidR="00884ABA" w:rsidRDefault="00920303" w:rsidP="00920303">
      <w:pPr>
        <w:rPr>
          <w:rFonts w:cstheme="minorHAnsi"/>
          <w:szCs w:val="24"/>
        </w:rPr>
      </w:pPr>
      <w:r>
        <w:rPr>
          <w:rFonts w:cstheme="minorHAnsi"/>
          <w:szCs w:val="24"/>
        </w:rPr>
        <w:t>10.4</w:t>
      </w:r>
      <w:r>
        <w:rPr>
          <w:rFonts w:cstheme="minorHAnsi"/>
          <w:szCs w:val="24"/>
        </w:rPr>
        <w:tab/>
      </w:r>
      <w:bookmarkStart w:id="49" w:name="lt_pId088"/>
      <w:r w:rsidR="00884ABA" w:rsidRPr="00884ABA">
        <w:rPr>
          <w:rFonts w:cstheme="minorHAnsi"/>
          <w:szCs w:val="24"/>
        </w:rPr>
        <w:t>Al cabo de las consultas, el Presidente propuso que para la primera consulta pública se indicara la Resolución 71 como documento de fondo, y se hicieran las siguientes preguntas:</w:t>
      </w:r>
      <w:bookmarkEnd w:id="49"/>
    </w:p>
    <w:p w:rsidR="00884ABA" w:rsidRDefault="008232D3" w:rsidP="008232D3">
      <w:pPr>
        <w:pStyle w:val="enumlev1"/>
        <w:rPr>
          <w:rFonts w:asciiTheme="minorHAnsi" w:hAnsiTheme="minorHAnsi" w:cstheme="minorBidi"/>
          <w:i/>
          <w:szCs w:val="24"/>
        </w:rPr>
      </w:pPr>
      <w:r>
        <w:t>•</w:t>
      </w:r>
      <w:r>
        <w:tab/>
      </w:r>
      <w:bookmarkStart w:id="50" w:name="lt_pId089"/>
      <w:r w:rsidR="00884ABA" w:rsidRPr="00884ABA">
        <w:rPr>
          <w:rFonts w:asciiTheme="minorHAnsi" w:hAnsiTheme="minorHAnsi" w:cstheme="minorBidi"/>
          <w:i/>
          <w:szCs w:val="24"/>
        </w:rPr>
        <w:t>¿Cuáles deben ser las prioridades estratégicas esenciales</w:t>
      </w:r>
      <w:r>
        <w:rPr>
          <w:rFonts w:asciiTheme="minorHAnsi" w:hAnsiTheme="minorHAnsi" w:cstheme="minorBidi"/>
          <w:i/>
          <w:szCs w:val="24"/>
        </w:rPr>
        <w:t xml:space="preserve"> de la UIT para el periodo 2020</w:t>
      </w:r>
      <w:r>
        <w:rPr>
          <w:rFonts w:asciiTheme="minorHAnsi" w:hAnsiTheme="minorHAnsi" w:cstheme="minorBidi"/>
          <w:i/>
          <w:szCs w:val="24"/>
        </w:rPr>
        <w:noBreakHyphen/>
      </w:r>
      <w:r w:rsidR="00884ABA" w:rsidRPr="00884ABA">
        <w:rPr>
          <w:rFonts w:asciiTheme="minorHAnsi" w:hAnsiTheme="minorHAnsi" w:cstheme="minorBidi"/>
          <w:i/>
          <w:szCs w:val="24"/>
        </w:rPr>
        <w:t>2023, teniendo en cuenta la Agenda 2030 de las Naciones Unidas para el Desarrollo Sostenible y los Objetivos de Desarrollo Sostenible?</w:t>
      </w:r>
    </w:p>
    <w:p w:rsidR="00884ABA" w:rsidRDefault="008232D3" w:rsidP="008232D3">
      <w:pPr>
        <w:pStyle w:val="enumlev1"/>
        <w:rPr>
          <w:rFonts w:asciiTheme="minorHAnsi" w:hAnsiTheme="minorHAnsi" w:cstheme="minorBidi"/>
          <w:i/>
          <w:szCs w:val="24"/>
        </w:rPr>
      </w:pPr>
      <w:r w:rsidRPr="008232D3">
        <w:rPr>
          <w:rFonts w:asciiTheme="minorHAnsi" w:hAnsiTheme="minorHAnsi" w:cstheme="minorBidi"/>
          <w:i/>
          <w:szCs w:val="24"/>
        </w:rPr>
        <w:t>•</w:t>
      </w:r>
      <w:r>
        <w:rPr>
          <w:rFonts w:asciiTheme="minorHAnsi" w:hAnsiTheme="minorHAnsi" w:cstheme="minorBidi"/>
          <w:i/>
          <w:szCs w:val="24"/>
        </w:rPr>
        <w:tab/>
      </w:r>
      <w:r w:rsidR="00884ABA" w:rsidRPr="00884ABA">
        <w:rPr>
          <w:rFonts w:asciiTheme="minorHAnsi" w:hAnsiTheme="minorHAnsi" w:cstheme="minorBidi"/>
          <w:i/>
          <w:szCs w:val="24"/>
        </w:rPr>
        <w:t>¿Cuáles son las principales tendencias tecnológicas que la UIT debe tener en cuenta al planificar su estrategia?</w:t>
      </w:r>
    </w:p>
    <w:p w:rsidR="00884ABA" w:rsidRDefault="008232D3" w:rsidP="008232D3">
      <w:pPr>
        <w:pStyle w:val="enumlev1"/>
        <w:rPr>
          <w:rFonts w:asciiTheme="minorHAnsi" w:hAnsiTheme="minorHAnsi" w:cstheme="minorBidi"/>
          <w:i/>
          <w:szCs w:val="24"/>
        </w:rPr>
      </w:pPr>
      <w:r w:rsidRPr="008232D3">
        <w:rPr>
          <w:rFonts w:asciiTheme="minorHAnsi" w:hAnsiTheme="minorHAnsi" w:cstheme="minorBidi"/>
          <w:i/>
          <w:szCs w:val="24"/>
        </w:rPr>
        <w:t>•</w:t>
      </w:r>
      <w:r>
        <w:rPr>
          <w:rFonts w:asciiTheme="minorHAnsi" w:hAnsiTheme="minorHAnsi" w:cstheme="minorBidi"/>
          <w:i/>
          <w:szCs w:val="24"/>
        </w:rPr>
        <w:tab/>
      </w:r>
      <w:r w:rsidR="00884ABA" w:rsidRPr="00884ABA">
        <w:rPr>
          <w:rFonts w:asciiTheme="minorHAnsi" w:hAnsiTheme="minorHAnsi" w:cstheme="minorBidi"/>
          <w:i/>
          <w:szCs w:val="24"/>
        </w:rPr>
        <w:t>¿</w:t>
      </w:r>
      <w:bookmarkEnd w:id="50"/>
      <w:r>
        <w:rPr>
          <w:rFonts w:asciiTheme="minorHAnsi" w:hAnsiTheme="minorHAnsi" w:cstheme="minorBidi"/>
          <w:i/>
          <w:szCs w:val="24"/>
        </w:rPr>
        <w:t>Cuá</w:t>
      </w:r>
      <w:r w:rsidR="00884ABA" w:rsidRPr="00884ABA">
        <w:rPr>
          <w:rFonts w:asciiTheme="minorHAnsi" w:hAnsiTheme="minorHAnsi" w:cstheme="minorBidi"/>
          <w:i/>
          <w:szCs w:val="24"/>
        </w:rPr>
        <w:t>les son según usted los tres retos principales de la UIT y los tres logros principales que desea ver obtener a la UIT en el periodo 2020-2023</w:t>
      </w:r>
      <w:bookmarkStart w:id="51" w:name="lt_pId091"/>
      <w:r w:rsidR="00884ABA" w:rsidRPr="00884ABA">
        <w:rPr>
          <w:rFonts w:asciiTheme="minorHAnsi" w:hAnsiTheme="minorHAnsi" w:cstheme="minorBidi"/>
          <w:i/>
          <w:szCs w:val="24"/>
        </w:rPr>
        <w:t>?</w:t>
      </w:r>
      <w:bookmarkEnd w:id="51"/>
    </w:p>
    <w:p w:rsidR="00884ABA" w:rsidRPr="00884ABA" w:rsidRDefault="008232D3" w:rsidP="008232D3">
      <w:pPr>
        <w:pStyle w:val="enumlev1"/>
        <w:rPr>
          <w:rFonts w:asciiTheme="minorHAnsi" w:hAnsiTheme="minorHAnsi" w:cstheme="minorBidi"/>
          <w:i/>
          <w:szCs w:val="24"/>
        </w:rPr>
      </w:pPr>
      <w:r w:rsidRPr="008232D3">
        <w:rPr>
          <w:rFonts w:asciiTheme="minorHAnsi" w:hAnsiTheme="minorHAnsi" w:cstheme="minorBidi"/>
          <w:i/>
          <w:szCs w:val="24"/>
        </w:rPr>
        <w:t>•</w:t>
      </w:r>
      <w:r>
        <w:rPr>
          <w:rFonts w:asciiTheme="minorHAnsi" w:hAnsiTheme="minorHAnsi" w:cstheme="minorBidi"/>
          <w:i/>
          <w:szCs w:val="24"/>
        </w:rPr>
        <w:tab/>
      </w:r>
      <w:bookmarkStart w:id="52" w:name="lt_pId092"/>
      <w:r w:rsidR="00884ABA" w:rsidRPr="00884ABA">
        <w:rPr>
          <w:rFonts w:asciiTheme="minorHAnsi" w:hAnsiTheme="minorHAnsi" w:cstheme="minorBidi"/>
          <w:i/>
          <w:szCs w:val="24"/>
        </w:rPr>
        <w:t>¿Se le ocurre otra cosa o tiene algún comentario?</w:t>
      </w:r>
      <w:bookmarkEnd w:id="52"/>
    </w:p>
    <w:p w:rsidR="00884ABA" w:rsidRPr="009B3212" w:rsidRDefault="00F55CBD" w:rsidP="00920303">
      <w:pPr>
        <w:pStyle w:val="Heading1"/>
        <w:rPr>
          <w:rFonts w:cstheme="minorHAnsi"/>
          <w:b w:val="0"/>
          <w:bCs/>
          <w:sz w:val="26"/>
          <w:szCs w:val="26"/>
        </w:rPr>
      </w:pPr>
      <w:bookmarkStart w:id="53" w:name="lt_pId093"/>
      <w:r>
        <w:rPr>
          <w:rFonts w:cstheme="minorHAnsi"/>
          <w:bCs/>
          <w:sz w:val="26"/>
          <w:szCs w:val="26"/>
        </w:rPr>
        <w:t>1</w:t>
      </w:r>
      <w:r w:rsidR="00920303">
        <w:rPr>
          <w:rFonts w:cstheme="minorHAnsi"/>
          <w:bCs/>
          <w:sz w:val="26"/>
          <w:szCs w:val="26"/>
        </w:rPr>
        <w:t>1</w:t>
      </w:r>
      <w:r>
        <w:rPr>
          <w:rFonts w:cstheme="minorHAnsi"/>
          <w:bCs/>
          <w:sz w:val="26"/>
          <w:szCs w:val="26"/>
        </w:rPr>
        <w:tab/>
      </w:r>
      <w:r w:rsidR="00884ABA" w:rsidRPr="009B3212">
        <w:rPr>
          <w:rFonts w:cstheme="minorHAnsi"/>
          <w:bCs/>
          <w:sz w:val="26"/>
          <w:szCs w:val="26"/>
        </w:rPr>
        <w:t>Próxima reunión</w:t>
      </w:r>
      <w:bookmarkEnd w:id="53"/>
    </w:p>
    <w:p w:rsidR="00884ABA" w:rsidRDefault="00884ABA" w:rsidP="00920303">
      <w:r w:rsidRPr="009B3212">
        <w:t>11.1</w:t>
      </w:r>
      <w:r w:rsidRPr="009B3212">
        <w:tab/>
      </w:r>
      <w:bookmarkStart w:id="54" w:name="lt_pId095"/>
      <w:r w:rsidRPr="009B3212">
        <w:t>La próxima reunión del GTC-PEPF tendrá lugar durante el próximo bloque de reuniones de Grupos de Trabajo del Consejo en septiembre de 2017.</w:t>
      </w:r>
      <w:bookmarkEnd w:id="54"/>
    </w:p>
    <w:p w:rsidR="008232D3" w:rsidRDefault="008232D3" w:rsidP="0032202E">
      <w:pPr>
        <w:pStyle w:val="Reasons"/>
      </w:pPr>
    </w:p>
    <w:p w:rsidR="008232D3" w:rsidRDefault="008232D3">
      <w:pPr>
        <w:jc w:val="center"/>
      </w:pPr>
      <w:r>
        <w:t>______________</w:t>
      </w:r>
    </w:p>
    <w:sectPr w:rsidR="008232D3"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BA" w:rsidRDefault="00884ABA">
      <w:r>
        <w:separator/>
      </w:r>
    </w:p>
  </w:endnote>
  <w:endnote w:type="continuationSeparator" w:id="0">
    <w:p w:rsidR="00884ABA" w:rsidRDefault="0088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B7BDF" w:rsidRDefault="009B7BDF" w:rsidP="009B7BDF">
    <w:pPr>
      <w:pStyle w:val="Footer"/>
      <w:rPr>
        <w:lang w:val="fr-CH"/>
      </w:rPr>
    </w:pPr>
    <w:r>
      <w:fldChar w:fldCharType="begin"/>
    </w:r>
    <w:r w:rsidRPr="009B7BDF">
      <w:rPr>
        <w:lang w:val="fr-CH"/>
      </w:rPr>
      <w:instrText xml:space="preserve"> FILENAME \p  \* MERGEFORMAT </w:instrText>
    </w:r>
    <w:r>
      <w:fldChar w:fldCharType="separate"/>
    </w:r>
    <w:r w:rsidR="009B701B">
      <w:rPr>
        <w:lang w:val="fr-CH"/>
      </w:rPr>
      <w:t>P:\ESP\SG\CONSEIL\C17\100\123S.docx</w:t>
    </w:r>
    <w:r>
      <w:fldChar w:fldCharType="end"/>
    </w:r>
    <w:r>
      <w:rPr>
        <w:lang w:val="fr-CH"/>
      </w:rPr>
      <w:t xml:space="preserve"> (419278</w:t>
    </w:r>
    <w:r w:rsidRPr="009B7BD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BA" w:rsidRDefault="00884ABA">
      <w:r>
        <w:t>____________________</w:t>
      </w:r>
    </w:p>
  </w:footnote>
  <w:footnote w:type="continuationSeparator" w:id="0">
    <w:p w:rsidR="00884ABA" w:rsidRDefault="00884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B2481">
      <w:rPr>
        <w:noProof/>
      </w:rPr>
      <w:t>5</w:t>
    </w:r>
    <w:r>
      <w:rPr>
        <w:noProof/>
      </w:rPr>
      <w:fldChar w:fldCharType="end"/>
    </w:r>
  </w:p>
  <w:p w:rsidR="00760F1C" w:rsidRDefault="00760F1C" w:rsidP="009B7BDF">
    <w:pPr>
      <w:pStyle w:val="Header"/>
    </w:pPr>
    <w:r>
      <w:t>C</w:t>
    </w:r>
    <w:r w:rsidR="007F350B">
      <w:t>1</w:t>
    </w:r>
    <w:r w:rsidR="00B8298E">
      <w:t>7</w:t>
    </w:r>
    <w:r>
      <w:t>/</w:t>
    </w:r>
    <w:r w:rsidR="009B7BDF">
      <w:t>123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720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47B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26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ECE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16F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81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03D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20F3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32D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BC3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31B73"/>
    <w:multiLevelType w:val="hybridMultilevel"/>
    <w:tmpl w:val="7346BD06"/>
    <w:lvl w:ilvl="0" w:tplc="954E5F08">
      <w:start w:val="1"/>
      <w:numFmt w:val="bullet"/>
      <w:lvlText w:val=""/>
      <w:lvlJc w:val="left"/>
      <w:pPr>
        <w:ind w:left="720" w:hanging="360"/>
      </w:pPr>
      <w:rPr>
        <w:rFonts w:ascii="Symbol" w:hAnsi="Symbol" w:hint="default"/>
      </w:rPr>
    </w:lvl>
    <w:lvl w:ilvl="1" w:tplc="29B456E2" w:tentative="1">
      <w:start w:val="1"/>
      <w:numFmt w:val="bullet"/>
      <w:lvlText w:val="o"/>
      <w:lvlJc w:val="left"/>
      <w:pPr>
        <w:ind w:left="1440" w:hanging="360"/>
      </w:pPr>
      <w:rPr>
        <w:rFonts w:ascii="Courier New" w:hAnsi="Courier New" w:hint="default"/>
      </w:rPr>
    </w:lvl>
    <w:lvl w:ilvl="2" w:tplc="A3769116" w:tentative="1">
      <w:start w:val="1"/>
      <w:numFmt w:val="bullet"/>
      <w:lvlText w:val=""/>
      <w:lvlJc w:val="left"/>
      <w:pPr>
        <w:ind w:left="2160" w:hanging="360"/>
      </w:pPr>
      <w:rPr>
        <w:rFonts w:ascii="Wingdings" w:hAnsi="Wingdings" w:hint="default"/>
      </w:rPr>
    </w:lvl>
    <w:lvl w:ilvl="3" w:tplc="6A9EA8DA" w:tentative="1">
      <w:start w:val="1"/>
      <w:numFmt w:val="bullet"/>
      <w:lvlText w:val=""/>
      <w:lvlJc w:val="left"/>
      <w:pPr>
        <w:ind w:left="2880" w:hanging="360"/>
      </w:pPr>
      <w:rPr>
        <w:rFonts w:ascii="Symbol" w:hAnsi="Symbol" w:hint="default"/>
      </w:rPr>
    </w:lvl>
    <w:lvl w:ilvl="4" w:tplc="51F6DCBA" w:tentative="1">
      <w:start w:val="1"/>
      <w:numFmt w:val="bullet"/>
      <w:lvlText w:val="o"/>
      <w:lvlJc w:val="left"/>
      <w:pPr>
        <w:ind w:left="3600" w:hanging="360"/>
      </w:pPr>
      <w:rPr>
        <w:rFonts w:ascii="Courier New" w:hAnsi="Courier New" w:hint="default"/>
      </w:rPr>
    </w:lvl>
    <w:lvl w:ilvl="5" w:tplc="882A2766" w:tentative="1">
      <w:start w:val="1"/>
      <w:numFmt w:val="bullet"/>
      <w:lvlText w:val=""/>
      <w:lvlJc w:val="left"/>
      <w:pPr>
        <w:ind w:left="4320" w:hanging="360"/>
      </w:pPr>
      <w:rPr>
        <w:rFonts w:ascii="Wingdings" w:hAnsi="Wingdings" w:hint="default"/>
      </w:rPr>
    </w:lvl>
    <w:lvl w:ilvl="6" w:tplc="C3BC7F1A" w:tentative="1">
      <w:start w:val="1"/>
      <w:numFmt w:val="bullet"/>
      <w:lvlText w:val=""/>
      <w:lvlJc w:val="left"/>
      <w:pPr>
        <w:ind w:left="5040" w:hanging="360"/>
      </w:pPr>
      <w:rPr>
        <w:rFonts w:ascii="Symbol" w:hAnsi="Symbol" w:hint="default"/>
      </w:rPr>
    </w:lvl>
    <w:lvl w:ilvl="7" w:tplc="78F0FC72" w:tentative="1">
      <w:start w:val="1"/>
      <w:numFmt w:val="bullet"/>
      <w:lvlText w:val="o"/>
      <w:lvlJc w:val="left"/>
      <w:pPr>
        <w:ind w:left="5760" w:hanging="360"/>
      </w:pPr>
      <w:rPr>
        <w:rFonts w:ascii="Courier New" w:hAnsi="Courier New" w:hint="default"/>
      </w:rPr>
    </w:lvl>
    <w:lvl w:ilvl="8" w:tplc="56B6F1CC" w:tentative="1">
      <w:start w:val="1"/>
      <w:numFmt w:val="bullet"/>
      <w:lvlText w:val=""/>
      <w:lvlJc w:val="left"/>
      <w:pPr>
        <w:ind w:left="6480" w:hanging="360"/>
      </w:pPr>
      <w:rPr>
        <w:rFonts w:ascii="Wingdings" w:hAnsi="Wingdings" w:hint="default"/>
      </w:rPr>
    </w:lvl>
  </w:abstractNum>
  <w:abstractNum w:abstractNumId="11"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E926AF8"/>
    <w:multiLevelType w:val="hybridMultilevel"/>
    <w:tmpl w:val="D286183E"/>
    <w:lvl w:ilvl="0" w:tplc="977AAC66">
      <w:start w:val="1"/>
      <w:numFmt w:val="bullet"/>
      <w:lvlText w:val=""/>
      <w:lvlJc w:val="left"/>
      <w:pPr>
        <w:ind w:left="720" w:hanging="360"/>
      </w:pPr>
      <w:rPr>
        <w:rFonts w:ascii="Symbol" w:hAnsi="Symbol" w:hint="default"/>
      </w:rPr>
    </w:lvl>
    <w:lvl w:ilvl="1" w:tplc="4FA4C2F2" w:tentative="1">
      <w:start w:val="1"/>
      <w:numFmt w:val="bullet"/>
      <w:lvlText w:val="o"/>
      <w:lvlJc w:val="left"/>
      <w:pPr>
        <w:ind w:left="1440" w:hanging="360"/>
      </w:pPr>
      <w:rPr>
        <w:rFonts w:ascii="Courier New" w:hAnsi="Courier New" w:cs="Courier New" w:hint="default"/>
      </w:rPr>
    </w:lvl>
    <w:lvl w:ilvl="2" w:tplc="79CAAA24" w:tentative="1">
      <w:start w:val="1"/>
      <w:numFmt w:val="bullet"/>
      <w:lvlText w:val=""/>
      <w:lvlJc w:val="left"/>
      <w:pPr>
        <w:ind w:left="2160" w:hanging="360"/>
      </w:pPr>
      <w:rPr>
        <w:rFonts w:ascii="Wingdings" w:hAnsi="Wingdings" w:hint="default"/>
      </w:rPr>
    </w:lvl>
    <w:lvl w:ilvl="3" w:tplc="CE2C2876" w:tentative="1">
      <w:start w:val="1"/>
      <w:numFmt w:val="bullet"/>
      <w:lvlText w:val=""/>
      <w:lvlJc w:val="left"/>
      <w:pPr>
        <w:ind w:left="2880" w:hanging="360"/>
      </w:pPr>
      <w:rPr>
        <w:rFonts w:ascii="Symbol" w:hAnsi="Symbol" w:hint="default"/>
      </w:rPr>
    </w:lvl>
    <w:lvl w:ilvl="4" w:tplc="A1E0B07C" w:tentative="1">
      <w:start w:val="1"/>
      <w:numFmt w:val="bullet"/>
      <w:lvlText w:val="o"/>
      <w:lvlJc w:val="left"/>
      <w:pPr>
        <w:ind w:left="3600" w:hanging="360"/>
      </w:pPr>
      <w:rPr>
        <w:rFonts w:ascii="Courier New" w:hAnsi="Courier New" w:cs="Courier New" w:hint="default"/>
      </w:rPr>
    </w:lvl>
    <w:lvl w:ilvl="5" w:tplc="37425CDC" w:tentative="1">
      <w:start w:val="1"/>
      <w:numFmt w:val="bullet"/>
      <w:lvlText w:val=""/>
      <w:lvlJc w:val="left"/>
      <w:pPr>
        <w:ind w:left="4320" w:hanging="360"/>
      </w:pPr>
      <w:rPr>
        <w:rFonts w:ascii="Wingdings" w:hAnsi="Wingdings" w:hint="default"/>
      </w:rPr>
    </w:lvl>
    <w:lvl w:ilvl="6" w:tplc="BD6C6460" w:tentative="1">
      <w:start w:val="1"/>
      <w:numFmt w:val="bullet"/>
      <w:lvlText w:val=""/>
      <w:lvlJc w:val="left"/>
      <w:pPr>
        <w:ind w:left="5040" w:hanging="360"/>
      </w:pPr>
      <w:rPr>
        <w:rFonts w:ascii="Symbol" w:hAnsi="Symbol" w:hint="default"/>
      </w:rPr>
    </w:lvl>
    <w:lvl w:ilvl="7" w:tplc="1884EF5A" w:tentative="1">
      <w:start w:val="1"/>
      <w:numFmt w:val="bullet"/>
      <w:lvlText w:val="o"/>
      <w:lvlJc w:val="left"/>
      <w:pPr>
        <w:ind w:left="5760" w:hanging="360"/>
      </w:pPr>
      <w:rPr>
        <w:rFonts w:ascii="Courier New" w:hAnsi="Courier New" w:cs="Courier New" w:hint="default"/>
      </w:rPr>
    </w:lvl>
    <w:lvl w:ilvl="8" w:tplc="F71818DA"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BA"/>
    <w:rsid w:val="0003739D"/>
    <w:rsid w:val="0006173D"/>
    <w:rsid w:val="00077679"/>
    <w:rsid w:val="00093EEB"/>
    <w:rsid w:val="000B0D00"/>
    <w:rsid w:val="000B7C15"/>
    <w:rsid w:val="000D1D0F"/>
    <w:rsid w:val="000F5290"/>
    <w:rsid w:val="0010165C"/>
    <w:rsid w:val="00146BFB"/>
    <w:rsid w:val="001B4C5C"/>
    <w:rsid w:val="001F14A2"/>
    <w:rsid w:val="002431C6"/>
    <w:rsid w:val="002801AA"/>
    <w:rsid w:val="00292AEF"/>
    <w:rsid w:val="002C4676"/>
    <w:rsid w:val="002C70B0"/>
    <w:rsid w:val="002F3CC4"/>
    <w:rsid w:val="003224E1"/>
    <w:rsid w:val="003A7D68"/>
    <w:rsid w:val="003D1A51"/>
    <w:rsid w:val="00444858"/>
    <w:rsid w:val="00513630"/>
    <w:rsid w:val="00560125"/>
    <w:rsid w:val="00561121"/>
    <w:rsid w:val="00567284"/>
    <w:rsid w:val="00585553"/>
    <w:rsid w:val="005B34D9"/>
    <w:rsid w:val="005D0CCF"/>
    <w:rsid w:val="005F410F"/>
    <w:rsid w:val="0060149A"/>
    <w:rsid w:val="00601924"/>
    <w:rsid w:val="006447EA"/>
    <w:rsid w:val="0064731F"/>
    <w:rsid w:val="006710F6"/>
    <w:rsid w:val="006821C2"/>
    <w:rsid w:val="006C1B56"/>
    <w:rsid w:val="006D4761"/>
    <w:rsid w:val="00714DB8"/>
    <w:rsid w:val="00726872"/>
    <w:rsid w:val="007537BA"/>
    <w:rsid w:val="00760F1C"/>
    <w:rsid w:val="007657F0"/>
    <w:rsid w:val="0077252D"/>
    <w:rsid w:val="00780FCE"/>
    <w:rsid w:val="007E5DD3"/>
    <w:rsid w:val="007F350B"/>
    <w:rsid w:val="00820BE4"/>
    <w:rsid w:val="008232D3"/>
    <w:rsid w:val="008451E8"/>
    <w:rsid w:val="00884ABA"/>
    <w:rsid w:val="00913B9C"/>
    <w:rsid w:val="00920303"/>
    <w:rsid w:val="00946AF8"/>
    <w:rsid w:val="00956E77"/>
    <w:rsid w:val="009B701B"/>
    <w:rsid w:val="009B7BDF"/>
    <w:rsid w:val="009C5E03"/>
    <w:rsid w:val="00AA390C"/>
    <w:rsid w:val="00B0200A"/>
    <w:rsid w:val="00B554A2"/>
    <w:rsid w:val="00B574DB"/>
    <w:rsid w:val="00B826C2"/>
    <w:rsid w:val="00B8298E"/>
    <w:rsid w:val="00BD0723"/>
    <w:rsid w:val="00BD2518"/>
    <w:rsid w:val="00BF1D1C"/>
    <w:rsid w:val="00C20C59"/>
    <w:rsid w:val="00C55B1F"/>
    <w:rsid w:val="00CB3CE5"/>
    <w:rsid w:val="00CF1A67"/>
    <w:rsid w:val="00D2750E"/>
    <w:rsid w:val="00D62446"/>
    <w:rsid w:val="00DA4EA2"/>
    <w:rsid w:val="00DB2481"/>
    <w:rsid w:val="00DC3D3E"/>
    <w:rsid w:val="00DE2C90"/>
    <w:rsid w:val="00DE3B24"/>
    <w:rsid w:val="00E06947"/>
    <w:rsid w:val="00E3592D"/>
    <w:rsid w:val="00E92DE8"/>
    <w:rsid w:val="00EA7070"/>
    <w:rsid w:val="00EB1212"/>
    <w:rsid w:val="00ED65AB"/>
    <w:rsid w:val="00F10032"/>
    <w:rsid w:val="00F12850"/>
    <w:rsid w:val="00F33BF4"/>
    <w:rsid w:val="00F55CBD"/>
    <w:rsid w:val="00F60702"/>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09E2A4-73A2-47B8-8339-45A9A12A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884AB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val="en-US" w:eastAsia="zh-CN"/>
    </w:rPr>
  </w:style>
  <w:style w:type="character" w:customStyle="1" w:styleId="BodyTextChar">
    <w:name w:val="Body Text Char"/>
    <w:basedOn w:val="DefaultParagraphFont"/>
    <w:link w:val="BodyText"/>
    <w:rsid w:val="00884ABA"/>
    <w:rPr>
      <w:rFonts w:ascii="Arial" w:eastAsiaTheme="minorEastAsia" w:hAnsi="Arial" w:cs="Arial"/>
      <w:color w:val="333399"/>
      <w:sz w:val="22"/>
      <w:szCs w:val="22"/>
    </w:rPr>
  </w:style>
  <w:style w:type="paragraph" w:styleId="ListParagraph">
    <w:name w:val="List Paragraph"/>
    <w:basedOn w:val="Normal"/>
    <w:qFormat/>
    <w:rsid w:val="00884AB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Documents/resolution71.docx" TargetMode="External"/><Relationship Id="rId13" Type="http://schemas.openxmlformats.org/officeDocument/2006/relationships/hyperlink" Target="https://www.itu.int/md/S16-CL-C-0134/en" TargetMode="External"/><Relationship Id="rId18" Type="http://schemas.openxmlformats.org/officeDocument/2006/relationships/hyperlink" Target="https://www.itu.int/md/D14-TDAG22-C-0007/en" TargetMode="External"/><Relationship Id="rId26" Type="http://schemas.openxmlformats.org/officeDocument/2006/relationships/hyperlink" Target="https://www.itu.int/md/S17-CLCWGSPF1-INF-0004" TargetMode="External"/><Relationship Id="rId3" Type="http://schemas.openxmlformats.org/officeDocument/2006/relationships/settings" Target="settings.xml"/><Relationship Id="rId21" Type="http://schemas.openxmlformats.org/officeDocument/2006/relationships/hyperlink" Target="https://www.itu.int/md/S17-CLCWGSPF1-INF-0001" TargetMode="External"/><Relationship Id="rId7" Type="http://schemas.openxmlformats.org/officeDocument/2006/relationships/image" Target="media/image1.jpeg"/><Relationship Id="rId12" Type="http://schemas.openxmlformats.org/officeDocument/2006/relationships/hyperlink" Target="https://www.itu.int/md/S17-CL-C-0117/en" TargetMode="External"/><Relationship Id="rId17" Type="http://schemas.openxmlformats.org/officeDocument/2006/relationships/hyperlink" Target="https://www.itu.int/md/S17-CL-C-0111/en" TargetMode="External"/><Relationship Id="rId25" Type="http://schemas.openxmlformats.org/officeDocument/2006/relationships/hyperlink" Target="https://www.itu.int/md/S17-CLCWGSPF1-INF-0003" TargetMode="External"/><Relationship Id="rId2" Type="http://schemas.openxmlformats.org/officeDocument/2006/relationships/styles" Target="styles.xml"/><Relationship Id="rId16" Type="http://schemas.openxmlformats.org/officeDocument/2006/relationships/hyperlink" Target="https://www.itu.int/md/meetingdoc.asp?lang=en&amp;parent=S17-CL-C-0039" TargetMode="External"/><Relationship Id="rId20" Type="http://schemas.openxmlformats.org/officeDocument/2006/relationships/hyperlink" Target="https://www.itu.int/md/S17-CLCWGSPF1-C-0001/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CWG-SFP/Documents/resolution72.docx" TargetMode="External"/><Relationship Id="rId24" Type="http://schemas.openxmlformats.org/officeDocument/2006/relationships/hyperlink" Target="https://www.itu.int/md/S17-CLCWGSPF1-C-000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7-CL-C-0035/en" TargetMode="External"/><Relationship Id="rId23" Type="http://schemas.openxmlformats.org/officeDocument/2006/relationships/hyperlink" Target="https://www.itu.int/md/S17-CLCWGSPF1-INF-0002" TargetMode="External"/><Relationship Id="rId28" Type="http://schemas.openxmlformats.org/officeDocument/2006/relationships/header" Target="header1.xml"/><Relationship Id="rId10" Type="http://schemas.openxmlformats.org/officeDocument/2006/relationships/hyperlink" Target="https://www.itu.int/en/council/CWG-SFP/Documents/resolution151.docx" TargetMode="External"/><Relationship Id="rId19" Type="http://schemas.openxmlformats.org/officeDocument/2006/relationships/hyperlink" Target="https://www.itu.int/md/S17-CL-C-0117/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CWG-SFP/Documents/resolution72.docx" TargetMode="External"/><Relationship Id="rId14" Type="http://schemas.openxmlformats.org/officeDocument/2006/relationships/hyperlink" Target="https://www.itu.int/md/S17-CL-C-0075/en" TargetMode="External"/><Relationship Id="rId22" Type="http://schemas.openxmlformats.org/officeDocument/2006/relationships/hyperlink" Target="https://www.itu.int/md/S17-CLCWGSPF1-C-0002/en" TargetMode="External"/><Relationship Id="rId27" Type="http://schemas.openxmlformats.org/officeDocument/2006/relationships/hyperlink" Target="https://www.itu.int/md/S17-CLCWGSPF1-C-0004"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4</TotalTime>
  <Pages>5</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10272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5</cp:revision>
  <cp:lastPrinted>2017-05-24T16:02:00Z</cp:lastPrinted>
  <dcterms:created xsi:type="dcterms:W3CDTF">2017-08-16T07:58:00Z</dcterms:created>
  <dcterms:modified xsi:type="dcterms:W3CDTF">2017-08-16T08:03:00Z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