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D2" w:rsidRPr="00A974D2" w:rsidRDefault="00A974D2" w:rsidP="00A974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="Arial"/>
          <w:sz w:val="20"/>
          <w:lang w:val="en-US" w:eastAsia="zh-CN"/>
        </w:rPr>
      </w:pPr>
      <w:bookmarkStart w:id="0" w:name="dc06"/>
      <w:bookmarkEnd w:id="0"/>
    </w:p>
    <w:tbl>
      <w:tblPr>
        <w:tblpPr w:leftFromText="181" w:rightFromText="181" w:horzAnchor="margin" w:tblpY="-674"/>
        <w:tblW w:w="9747" w:type="dxa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A974D2" w:rsidRPr="00A974D2" w:rsidTr="00A136EF">
        <w:trPr>
          <w:cantSplit/>
        </w:trPr>
        <w:tc>
          <w:tcPr>
            <w:tcW w:w="5954" w:type="dxa"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Theme="minorHAnsi" w:eastAsiaTheme="minorEastAsia" w:hAnsiTheme="minorHAnsi" w:cstheme="minorBidi"/>
                <w:b/>
                <w:position w:val="6"/>
                <w:sz w:val="30"/>
                <w:szCs w:val="30"/>
                <w:lang w:val="fr-CH" w:eastAsia="zh-CN"/>
              </w:rPr>
            </w:pPr>
            <w:r w:rsidRPr="00A974D2">
              <w:rPr>
                <w:rFonts w:asciiTheme="minorHAnsi" w:eastAsiaTheme="minorEastAsia" w:hAnsiTheme="minorHAnsi" w:cstheme="minorBidi"/>
                <w:b/>
                <w:position w:val="6"/>
                <w:sz w:val="30"/>
                <w:szCs w:val="30"/>
                <w:lang w:val="fr-CH" w:eastAsia="zh-CN"/>
              </w:rPr>
              <w:t>Groupe de travail du Conseil charg</w:t>
            </w:r>
            <w:r>
              <w:rPr>
                <w:rFonts w:asciiTheme="minorHAnsi" w:eastAsiaTheme="minorEastAsia" w:hAnsiTheme="minorHAnsi" w:cstheme="minorBidi"/>
                <w:b/>
                <w:position w:val="6"/>
                <w:sz w:val="30"/>
                <w:szCs w:val="30"/>
                <w:lang w:val="fr-CH" w:eastAsia="zh-CN"/>
              </w:rPr>
              <w:t xml:space="preserve">é </w:t>
            </w:r>
            <w:r w:rsidRPr="00A974D2">
              <w:rPr>
                <w:rFonts w:asciiTheme="minorHAnsi" w:eastAsiaTheme="minorEastAsia" w:hAnsiTheme="minorHAnsi" w:cstheme="minorBidi"/>
                <w:b/>
                <w:position w:val="6"/>
                <w:sz w:val="30"/>
                <w:szCs w:val="30"/>
                <w:lang w:val="fr-CH" w:eastAsia="zh-CN"/>
              </w:rPr>
              <w:br/>
            </w:r>
            <w:r>
              <w:rPr>
                <w:rFonts w:asciiTheme="minorHAnsi" w:eastAsiaTheme="minorEastAsia" w:hAnsiTheme="minorHAnsi" w:cstheme="minorBidi"/>
                <w:b/>
                <w:position w:val="6"/>
                <w:sz w:val="30"/>
                <w:szCs w:val="30"/>
                <w:lang w:val="fr-CH" w:eastAsia="zh-CN"/>
              </w:rPr>
              <w:t xml:space="preserve">d’élaborer le plan stratégique et le plan financier pour la période </w:t>
            </w:r>
            <w:r w:rsidRPr="00A974D2">
              <w:rPr>
                <w:rFonts w:asciiTheme="minorHAnsi" w:eastAsiaTheme="minorEastAsia" w:hAnsiTheme="minorHAnsi" w:cstheme="minorBidi"/>
                <w:b/>
                <w:position w:val="6"/>
                <w:sz w:val="30"/>
                <w:szCs w:val="30"/>
                <w:lang w:val="fr-CH" w:eastAsia="zh-CN"/>
              </w:rPr>
              <w:t>2020-2023</w:t>
            </w:r>
          </w:p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inorEastAsia" w:hAnsiTheme="minorHAnsi" w:cstheme="minorBidi"/>
                <w:b/>
                <w:position w:val="6"/>
                <w:sz w:val="26"/>
                <w:szCs w:val="26"/>
                <w:lang w:val="en-US" w:eastAsia="zh-CN"/>
              </w:rPr>
            </w:pPr>
            <w:r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>Deuxième réunion</w:t>
            </w:r>
            <w:r w:rsidRPr="00A974D2"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 xml:space="preserve"> </w:t>
            </w:r>
            <w:r w:rsidRPr="00A974D2">
              <w:rPr>
                <w:rFonts w:eastAsia="Calibri" w:cs="Calibri"/>
                <w:b/>
                <w:color w:val="000000"/>
                <w:szCs w:val="22"/>
                <w:lang w:val="en-US" w:eastAsia="zh-CN"/>
              </w:rPr>
              <w:t>–</w:t>
            </w:r>
            <w:r w:rsidRPr="00A974D2"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 xml:space="preserve"> Gen</w:t>
            </w:r>
            <w:r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>ève</w:t>
            </w:r>
            <w:r w:rsidRPr="00A974D2"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>, 11-12</w:t>
            </w:r>
            <w:r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 xml:space="preserve"> s</w:t>
            </w:r>
            <w:r w:rsidRPr="00A974D2"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>eptembr</w:t>
            </w:r>
            <w:r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>e</w:t>
            </w:r>
            <w:r w:rsidRPr="00A974D2">
              <w:rPr>
                <w:rFonts w:asciiTheme="minorHAnsi" w:eastAsiaTheme="minorEastAsia" w:hAnsiTheme="minorHAnsi" w:cs="Times New Roman Bold"/>
                <w:b/>
                <w:szCs w:val="22"/>
                <w:lang w:val="en-US" w:eastAsia="zh-CN"/>
              </w:rPr>
              <w:t xml:space="preserve"> 2017</w:t>
            </w:r>
          </w:p>
        </w:tc>
        <w:tc>
          <w:tcPr>
            <w:tcW w:w="3793" w:type="dxa"/>
            <w:vAlign w:val="center"/>
          </w:tcPr>
          <w:p w:rsidR="00A974D2" w:rsidRPr="00A974D2" w:rsidRDefault="00A974D2" w:rsidP="00A136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 w:line="240" w:lineRule="atLeast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7B36BB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A95E05E" wp14:editId="72CD4246">
                  <wp:extent cx="1781175" cy="695325"/>
                  <wp:effectExtent l="0" t="0" r="9525" b="9525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4D2" w:rsidRPr="00A974D2" w:rsidTr="00342DA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Theme="minorEastAsia" w:hAnsi="Verdana" w:cstheme="minorBidi"/>
                <w:sz w:val="22"/>
                <w:szCs w:val="22"/>
                <w:lang w:val="en-US" w:eastAsia="zh-CN"/>
              </w:rPr>
            </w:pPr>
          </w:p>
        </w:tc>
      </w:tr>
      <w:tr w:rsidR="00A974D2" w:rsidRPr="00A974D2" w:rsidTr="00342DA2">
        <w:trPr>
          <w:cantSplit/>
          <w:trHeight w:val="23"/>
        </w:trPr>
        <w:tc>
          <w:tcPr>
            <w:tcW w:w="5954" w:type="dxa"/>
            <w:vMerge w:val="restart"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793" w:type="dxa"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Theme="minorHAnsi" w:eastAsiaTheme="minorEastAsia" w:hAnsiTheme="minorHAnsi" w:cs="Times New Roman Bold"/>
                <w:b/>
                <w:spacing w:val="-4"/>
                <w:szCs w:val="22"/>
                <w:lang w:val="de-CH" w:eastAsia="zh-CN"/>
              </w:rPr>
            </w:pPr>
            <w:r w:rsidRPr="00A974D2">
              <w:rPr>
                <w:rFonts w:asciiTheme="minorHAnsi" w:eastAsiaTheme="minorEastAsia" w:hAnsiTheme="minorHAnsi" w:cs="Times New Roman Bold"/>
                <w:b/>
                <w:spacing w:val="-4"/>
                <w:szCs w:val="22"/>
                <w:lang w:val="de-CH" w:eastAsia="zh-CN"/>
              </w:rPr>
              <w:t>Document CWG-SFP-2/2-</w:t>
            </w:r>
            <w:r>
              <w:rPr>
                <w:rFonts w:asciiTheme="minorHAnsi" w:eastAsiaTheme="minorEastAsia" w:hAnsiTheme="minorHAnsi" w:cs="Times New Roman Bold"/>
                <w:b/>
                <w:spacing w:val="-4"/>
                <w:szCs w:val="22"/>
                <w:lang w:val="de-CH" w:eastAsia="zh-CN"/>
              </w:rPr>
              <w:t>F</w:t>
            </w:r>
          </w:p>
        </w:tc>
      </w:tr>
      <w:tr w:rsidR="00A974D2" w:rsidRPr="00A974D2" w:rsidTr="00342DA2">
        <w:trPr>
          <w:cantSplit/>
          <w:trHeight w:val="23"/>
        </w:trPr>
        <w:tc>
          <w:tcPr>
            <w:tcW w:w="5954" w:type="dxa"/>
            <w:vMerge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de-CH" w:eastAsia="zh-CN"/>
              </w:rPr>
            </w:pPr>
          </w:p>
        </w:tc>
        <w:tc>
          <w:tcPr>
            <w:tcW w:w="3793" w:type="dxa"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</w:pPr>
            <w:r w:rsidRPr="00A974D2"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  <w:t xml:space="preserve">4 </w:t>
            </w: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  <w:t>août</w:t>
            </w:r>
            <w:r w:rsidRPr="00A974D2"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  <w:t xml:space="preserve"> 2017</w:t>
            </w:r>
          </w:p>
        </w:tc>
      </w:tr>
      <w:tr w:rsidR="00A974D2" w:rsidRPr="00A974D2" w:rsidTr="00342DA2">
        <w:trPr>
          <w:cantSplit/>
          <w:trHeight w:val="80"/>
        </w:trPr>
        <w:tc>
          <w:tcPr>
            <w:tcW w:w="5954" w:type="dxa"/>
            <w:vMerge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3793" w:type="dxa"/>
          </w:tcPr>
          <w:p w:rsidR="00A974D2" w:rsidRPr="00A974D2" w:rsidRDefault="00A974D2" w:rsidP="00A9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</w:pPr>
            <w:r w:rsidRPr="00A974D2"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  <w:t xml:space="preserve">Original: </w:t>
            </w: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zh-CN"/>
              </w:rPr>
              <w:t>anglais</w:t>
            </w:r>
          </w:p>
        </w:tc>
      </w:tr>
    </w:tbl>
    <w:p w:rsidR="00A974D2" w:rsidRPr="00A974D2" w:rsidRDefault="00A974D2" w:rsidP="00A974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 w:after="120" w:line="259" w:lineRule="auto"/>
        <w:jc w:val="center"/>
        <w:textAlignment w:val="auto"/>
        <w:rPr>
          <w:rFonts w:asciiTheme="minorHAnsi" w:eastAsiaTheme="minorEastAsia" w:hAnsiTheme="minorHAnsi" w:cstheme="minorBidi"/>
          <w:b/>
          <w:sz w:val="28"/>
          <w:szCs w:val="32"/>
          <w:lang w:val="fr-CH" w:eastAsia="zh-CN"/>
        </w:rPr>
      </w:pPr>
      <w:r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t xml:space="preserve">Président du </w:t>
      </w:r>
      <w:r w:rsidRPr="00A974D2"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t>Groupe de travail du Conseil charg</w:t>
      </w:r>
      <w:r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t xml:space="preserve">é </w:t>
      </w:r>
      <w:r w:rsidRPr="00A974D2"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br/>
      </w:r>
      <w:r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t xml:space="preserve">d’élaborer le plan stratégique et le plan financier </w:t>
      </w:r>
      <w:r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br/>
        <w:t xml:space="preserve">pour la période </w:t>
      </w:r>
      <w:r w:rsidRPr="00A974D2">
        <w:rPr>
          <w:rFonts w:asciiTheme="minorHAnsi" w:eastAsiaTheme="minorEastAsia" w:hAnsiTheme="minorHAnsi" w:cstheme="minorBidi"/>
          <w:b/>
          <w:position w:val="6"/>
          <w:sz w:val="30"/>
          <w:szCs w:val="30"/>
          <w:lang w:val="fr-CH" w:eastAsia="zh-CN"/>
        </w:rPr>
        <w:t>2020-2023</w:t>
      </w:r>
    </w:p>
    <w:p w:rsidR="00A974D2" w:rsidRPr="00A974D2" w:rsidRDefault="00A974D2" w:rsidP="00563B7E">
      <w:pPr>
        <w:pStyle w:val="Title1"/>
        <w:spacing w:before="480"/>
        <w:rPr>
          <w:lang w:val="fr-CH"/>
        </w:rPr>
      </w:pPr>
      <w:r w:rsidRPr="001D5A5D">
        <w:t xml:space="preserve">Rapport </w:t>
      </w:r>
      <w:r w:rsidR="000370FF">
        <w:t>de la première réunion</w:t>
      </w:r>
      <w:r w:rsidR="00BD2970">
        <w:t xml:space="preserve"> du </w:t>
      </w:r>
      <w:r w:rsidR="00563B7E">
        <w:t>groupe de travail</w:t>
      </w:r>
      <w:bookmarkStart w:id="1" w:name="_GoBack"/>
      <w:bookmarkEnd w:id="1"/>
    </w:p>
    <w:p w:rsidR="00A974D2" w:rsidRPr="00A974D2" w:rsidRDefault="00A974D2">
      <w:pPr>
        <w:rPr>
          <w:lang w:val="fr-CH"/>
        </w:rPr>
      </w:pPr>
      <w:r w:rsidRPr="00A974D2">
        <w:rPr>
          <w:lang w:val="fr-CH"/>
        </w:rPr>
        <w:br w:type="page"/>
      </w:r>
    </w:p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D5A5D">
        <w:trPr>
          <w:cantSplit/>
        </w:trPr>
        <w:tc>
          <w:tcPr>
            <w:tcW w:w="6912" w:type="dxa"/>
          </w:tcPr>
          <w:p w:rsidR="00520F36" w:rsidRPr="001D5A5D" w:rsidRDefault="00520F36" w:rsidP="002E3C1E">
            <w:pPr>
              <w:spacing w:before="360"/>
            </w:pPr>
            <w:r w:rsidRPr="001D5A5D">
              <w:rPr>
                <w:b/>
                <w:bCs/>
                <w:sz w:val="30"/>
                <w:szCs w:val="30"/>
              </w:rPr>
              <w:lastRenderedPageBreak/>
              <w:t>Conseil 2017</w:t>
            </w:r>
            <w:r w:rsidRPr="001D5A5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D5A5D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D5A5D" w:rsidRDefault="00520F36" w:rsidP="002E3C1E">
            <w:pPr>
              <w:spacing w:before="0"/>
              <w:jc w:val="right"/>
            </w:pPr>
            <w:bookmarkStart w:id="2" w:name="ditulogo"/>
            <w:bookmarkEnd w:id="2"/>
            <w:r w:rsidRPr="001D5A5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D5A5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D5A5D" w:rsidRDefault="00520F36" w:rsidP="002E3C1E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D5A5D" w:rsidRDefault="00520F36" w:rsidP="002E3C1E">
            <w:pPr>
              <w:spacing w:before="0"/>
              <w:rPr>
                <w:b/>
                <w:bCs/>
              </w:rPr>
            </w:pPr>
          </w:p>
        </w:tc>
      </w:tr>
      <w:tr w:rsidR="00520F36" w:rsidRPr="001D5A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D5A5D" w:rsidRDefault="00520F36" w:rsidP="002E3C1E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D5A5D" w:rsidRDefault="00520F36" w:rsidP="002E3C1E">
            <w:pPr>
              <w:spacing w:before="0"/>
              <w:rPr>
                <w:b/>
                <w:bCs/>
              </w:rPr>
            </w:pPr>
          </w:p>
        </w:tc>
      </w:tr>
      <w:tr w:rsidR="00520F36" w:rsidRPr="001D5A5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D5A5D" w:rsidRDefault="006433AB" w:rsidP="005A400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/>
            <w:bookmarkStart w:id="4" w:name="dmeeting"/>
            <w:r w:rsidRPr="001D5A5D">
              <w:rPr>
                <w:b/>
                <w:bCs/>
                <w:szCs w:val="24"/>
              </w:rPr>
              <w:t>Point de l</w:t>
            </w:r>
            <w:r w:rsidR="004A67B4">
              <w:rPr>
                <w:b/>
                <w:bCs/>
                <w:szCs w:val="24"/>
              </w:rPr>
              <w:t>'</w:t>
            </w:r>
            <w:r w:rsidRPr="001D5A5D">
              <w:rPr>
                <w:b/>
                <w:bCs/>
                <w:szCs w:val="24"/>
              </w:rPr>
              <w:t xml:space="preserve">ordre du jour: PL </w:t>
            </w:r>
            <w:r w:rsidR="005A400C">
              <w:rPr>
                <w:b/>
                <w:bCs/>
                <w:szCs w:val="24"/>
              </w:rPr>
              <w:t>3</w:t>
            </w:r>
            <w:r w:rsidRPr="001D5A5D">
              <w:rPr>
                <w:b/>
                <w:bCs/>
                <w:szCs w:val="24"/>
              </w:rPr>
              <w:t>.</w:t>
            </w:r>
            <w:r w:rsidR="005A400C">
              <w:rPr>
                <w:b/>
                <w:bCs/>
                <w:szCs w:val="24"/>
              </w:rPr>
              <w:t>1</w:t>
            </w:r>
          </w:p>
        </w:tc>
        <w:tc>
          <w:tcPr>
            <w:tcW w:w="3261" w:type="dxa"/>
          </w:tcPr>
          <w:p w:rsidR="00520F36" w:rsidRPr="001D5A5D" w:rsidRDefault="00520F36" w:rsidP="002E3C1E">
            <w:pPr>
              <w:spacing w:before="0"/>
              <w:rPr>
                <w:b/>
                <w:bCs/>
              </w:rPr>
            </w:pPr>
            <w:r w:rsidRPr="001D5A5D">
              <w:rPr>
                <w:b/>
                <w:bCs/>
              </w:rPr>
              <w:t>D</w:t>
            </w:r>
            <w:r w:rsidR="005A400C">
              <w:rPr>
                <w:b/>
                <w:bCs/>
              </w:rPr>
              <w:t>ocument C17/123</w:t>
            </w:r>
            <w:r w:rsidRPr="001D5A5D">
              <w:rPr>
                <w:b/>
                <w:bCs/>
              </w:rPr>
              <w:t>-F</w:t>
            </w:r>
          </w:p>
        </w:tc>
      </w:tr>
      <w:tr w:rsidR="00520F36" w:rsidRPr="001D5A5D">
        <w:trPr>
          <w:cantSplit/>
          <w:trHeight w:val="20"/>
        </w:trPr>
        <w:tc>
          <w:tcPr>
            <w:tcW w:w="6912" w:type="dxa"/>
            <w:vMerge/>
          </w:tcPr>
          <w:p w:rsidR="00520F36" w:rsidRPr="001D5A5D" w:rsidRDefault="00520F36" w:rsidP="002E3C1E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/>
            <w:bookmarkEnd w:id="3"/>
            <w:bookmarkEnd w:id="4"/>
          </w:p>
        </w:tc>
        <w:tc>
          <w:tcPr>
            <w:tcW w:w="3261" w:type="dxa"/>
          </w:tcPr>
          <w:p w:rsidR="00520F36" w:rsidRPr="001D5A5D" w:rsidRDefault="005A400C" w:rsidP="005A400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433AB" w:rsidRPr="001D5A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mai </w:t>
            </w:r>
            <w:r w:rsidR="006433AB" w:rsidRPr="001D5A5D">
              <w:rPr>
                <w:b/>
                <w:bCs/>
              </w:rPr>
              <w:t>2017</w:t>
            </w:r>
          </w:p>
        </w:tc>
      </w:tr>
      <w:tr w:rsidR="00520F36" w:rsidRPr="001D5A5D">
        <w:trPr>
          <w:cantSplit/>
          <w:trHeight w:val="20"/>
        </w:trPr>
        <w:tc>
          <w:tcPr>
            <w:tcW w:w="6912" w:type="dxa"/>
            <w:vMerge/>
          </w:tcPr>
          <w:p w:rsidR="00520F36" w:rsidRPr="001D5A5D" w:rsidRDefault="00520F36" w:rsidP="002E3C1E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/>
            <w:bookmarkEnd w:id="5"/>
          </w:p>
        </w:tc>
        <w:tc>
          <w:tcPr>
            <w:tcW w:w="3261" w:type="dxa"/>
          </w:tcPr>
          <w:p w:rsidR="00520F36" w:rsidRPr="001D5A5D" w:rsidRDefault="00520F36" w:rsidP="002E3C1E">
            <w:pPr>
              <w:spacing w:before="0"/>
              <w:rPr>
                <w:b/>
                <w:bCs/>
              </w:rPr>
            </w:pPr>
            <w:r w:rsidRPr="001D5A5D">
              <w:rPr>
                <w:b/>
                <w:bCs/>
              </w:rPr>
              <w:t>Original: anglais</w:t>
            </w:r>
          </w:p>
        </w:tc>
      </w:tr>
      <w:tr w:rsidR="00520F36" w:rsidRPr="001D5A5D">
        <w:trPr>
          <w:cantSplit/>
        </w:trPr>
        <w:tc>
          <w:tcPr>
            <w:tcW w:w="10173" w:type="dxa"/>
            <w:gridSpan w:val="2"/>
          </w:tcPr>
          <w:p w:rsidR="00520F36" w:rsidRPr="001D5A5D" w:rsidRDefault="00DC3CE1" w:rsidP="00BE67AE">
            <w:pPr>
              <w:pStyle w:val="Title1"/>
              <w:spacing w:before="720"/>
            </w:pPr>
            <w:bookmarkStart w:id="7" w:name="dtitle1"/>
            <w:bookmarkEnd w:id="6"/>
            <w:r w:rsidRPr="001D5A5D">
              <w:t xml:space="preserve">Rapport </w:t>
            </w:r>
            <w:r w:rsidR="005A400C">
              <w:t>du groupe de travail du conseil</w:t>
            </w:r>
            <w:r w:rsidR="005A400C">
              <w:rPr>
                <w:color w:val="000000"/>
              </w:rPr>
              <w:t xml:space="preserve"> chargé d</w:t>
            </w:r>
            <w:r w:rsidR="004A67B4">
              <w:rPr>
                <w:color w:val="000000"/>
              </w:rPr>
              <w:t>'</w:t>
            </w:r>
            <w:r w:rsidR="005A400C">
              <w:rPr>
                <w:color w:val="000000"/>
              </w:rPr>
              <w:t xml:space="preserve">élaborer </w:t>
            </w:r>
            <w:r w:rsidR="00BE67AE">
              <w:rPr>
                <w:color w:val="000000"/>
              </w:rPr>
              <w:br/>
            </w:r>
            <w:r w:rsidR="005A400C">
              <w:rPr>
                <w:color w:val="000000"/>
              </w:rPr>
              <w:t>le Plan stratégique et le Plan financier pour la période 2020-2023</w:t>
            </w:r>
          </w:p>
        </w:tc>
      </w:tr>
      <w:bookmarkEnd w:id="7"/>
    </w:tbl>
    <w:p w:rsidR="00520F36" w:rsidRPr="001D5A5D" w:rsidRDefault="00520F36" w:rsidP="002E3C1E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5A400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1D5A5D" w:rsidRDefault="00520F36" w:rsidP="00573D63">
            <w:pPr>
              <w:pStyle w:val="Headingb"/>
            </w:pPr>
            <w:r w:rsidRPr="001D5A5D">
              <w:t>Résumé</w:t>
            </w:r>
          </w:p>
          <w:p w:rsidR="00520F36" w:rsidRPr="001D5A5D" w:rsidRDefault="005A400C" w:rsidP="00573D63">
            <w:r>
              <w:t>Le présent document offre un résumé des principaux résultats de la première réunion du Groupe de travail du Conseil chargé d</w:t>
            </w:r>
            <w:r w:rsidR="004A67B4">
              <w:t>'</w:t>
            </w:r>
            <w:r>
              <w:t>élaborer le plan stratégique et le plan financier pour la période 2020-2023, conformément à la Résolution 1</w:t>
            </w:r>
            <w:r w:rsidR="00573D63">
              <w:t>384 adoptée par le Conseil de l</w:t>
            </w:r>
            <w:r w:rsidR="004A67B4">
              <w:t>'</w:t>
            </w:r>
            <w:r>
              <w:t>UIT</w:t>
            </w:r>
            <w:r w:rsidR="00573D63">
              <w:t xml:space="preserve"> le</w:t>
            </w:r>
            <w:r>
              <w:t xml:space="preserve"> </w:t>
            </w:r>
            <w:r w:rsidR="00573D63">
              <w:t>23 mai 2017</w:t>
            </w:r>
            <w:r w:rsidR="00F00BFD">
              <w:t>,</w:t>
            </w:r>
            <w:r w:rsidR="00573D63">
              <w:t xml:space="preserve"> </w:t>
            </w:r>
            <w:r>
              <w:t>à sa session de 2017</w:t>
            </w:r>
            <w:r w:rsidR="00573D63">
              <w:t>.</w:t>
            </w:r>
          </w:p>
          <w:p w:rsidR="00520F36" w:rsidRPr="001D5A5D" w:rsidRDefault="00520F36" w:rsidP="00573D63">
            <w:pPr>
              <w:pStyle w:val="Headingb"/>
            </w:pPr>
            <w:r w:rsidRPr="001D5A5D">
              <w:t>Suite à donner</w:t>
            </w:r>
          </w:p>
          <w:p w:rsidR="00520F36" w:rsidRPr="001D5A5D" w:rsidRDefault="005A400C" w:rsidP="00573D63">
            <w:r>
              <w:rPr>
                <w:color w:val="000000"/>
              </w:rPr>
              <w:t xml:space="preserve">Le Conseil est invité à </w:t>
            </w:r>
            <w:r w:rsidRPr="005A400C">
              <w:rPr>
                <w:b/>
                <w:bCs/>
                <w:color w:val="000000"/>
              </w:rPr>
              <w:t>prendre note</w:t>
            </w:r>
            <w:r>
              <w:rPr>
                <w:color w:val="000000"/>
              </w:rPr>
              <w:t xml:space="preserve"> du présent rapport.</w:t>
            </w:r>
          </w:p>
          <w:p w:rsidR="00520F36" w:rsidRPr="001D5A5D" w:rsidRDefault="00520F36" w:rsidP="00573D6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1D5A5D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520F36" w:rsidRPr="001D5A5D" w:rsidRDefault="00520F36" w:rsidP="00573D63">
            <w:pPr>
              <w:pStyle w:val="Headingb"/>
            </w:pPr>
            <w:r w:rsidRPr="001D5A5D">
              <w:t>Références</w:t>
            </w:r>
          </w:p>
          <w:bookmarkStart w:id="8" w:name="lt_pId019"/>
          <w:p w:rsidR="00520F36" w:rsidRPr="005A400C" w:rsidRDefault="005A400C" w:rsidP="00BE67AE">
            <w:pPr>
              <w:spacing w:before="0" w:after="120"/>
              <w:contextualSpacing/>
              <w:rPr>
                <w:i/>
                <w:iCs/>
                <w:lang w:val="fr-CH"/>
              </w:rPr>
            </w:pPr>
            <w:r>
              <w:fldChar w:fldCharType="begin"/>
            </w:r>
            <w:r w:rsidRPr="00573D63">
              <w:instrText xml:space="preserve"> HYPERLINK "https://www.itu.int/en/council/CWG-SFP/Documents/resolution71.docx" </w:instrText>
            </w:r>
            <w:r>
              <w:fldChar w:fldCharType="separate"/>
            </w:r>
            <w:r w:rsidRPr="00573D63">
              <w:rPr>
                <w:rStyle w:val="Hyperlink"/>
                <w:rFonts w:cstheme="minorHAnsi"/>
                <w:i/>
              </w:rPr>
              <w:t>Résolution 71</w:t>
            </w:r>
            <w:r>
              <w:fldChar w:fldCharType="end"/>
            </w:r>
            <w:r w:rsidRPr="00573D63">
              <w:rPr>
                <w:rFonts w:cstheme="minorHAnsi"/>
                <w:i/>
                <w:iCs/>
              </w:rPr>
              <w:t xml:space="preserve"> (Rév. Busan, 2014), </w:t>
            </w:r>
            <w:hyperlink r:id="rId9" w:history="1">
              <w:r w:rsidRPr="00573D63">
                <w:rPr>
                  <w:rStyle w:val="Hyperlink"/>
                  <w:i/>
                  <w:iCs/>
                </w:rPr>
                <w:t>Résolution 72</w:t>
              </w:r>
              <w:r w:rsidRPr="00573D63">
                <w:rPr>
                  <w:rFonts w:cstheme="minorHAnsi"/>
                  <w:i/>
                  <w:iCs/>
                </w:rPr>
                <w:t xml:space="preserve"> (Rév. </w:t>
              </w:r>
              <w:r w:rsidRPr="005A400C">
                <w:rPr>
                  <w:rFonts w:cstheme="minorHAnsi"/>
                  <w:i/>
                  <w:iCs/>
                  <w:lang w:val="fr-CH"/>
                </w:rPr>
                <w:t>Busan, 2014)</w:t>
              </w:r>
            </w:hyperlink>
            <w:r w:rsidRPr="005A400C">
              <w:rPr>
                <w:i/>
                <w:lang w:val="fr-CH"/>
              </w:rPr>
              <w:t xml:space="preserve">; </w:t>
            </w:r>
            <w:hyperlink r:id="rId10" w:history="1">
              <w:r w:rsidR="00BE67AE">
                <w:rPr>
                  <w:rStyle w:val="Hyperlink"/>
                  <w:i/>
                  <w:lang w:val="fr-CH"/>
                </w:rPr>
                <w:t>Résolution 151</w:t>
              </w:r>
              <w:hyperlink r:id="rId11" w:history="1">
                <w:r w:rsidR="00BE67AE">
                  <w:rPr>
                    <w:rFonts w:cstheme="minorHAnsi"/>
                    <w:i/>
                    <w:iCs/>
                    <w:lang w:val="fr-CH"/>
                  </w:rPr>
                  <w:t xml:space="preserve"> (</w:t>
                </w:r>
                <w:r w:rsidRPr="005A400C">
                  <w:rPr>
                    <w:rFonts w:cstheme="minorHAnsi"/>
                    <w:i/>
                    <w:iCs/>
                    <w:lang w:val="fr-CH"/>
                  </w:rPr>
                  <w:t>Rév. Busan, 2014)</w:t>
                </w:r>
              </w:hyperlink>
            </w:hyperlink>
            <w:r w:rsidR="00BE67AE">
              <w:rPr>
                <w:rFonts w:cstheme="minorHAnsi"/>
                <w:i/>
                <w:iCs/>
                <w:lang w:val="fr-CH"/>
              </w:rPr>
              <w:t>,</w:t>
            </w:r>
            <w:r w:rsidRPr="005A400C">
              <w:rPr>
                <w:rFonts w:cstheme="minorHAnsi"/>
                <w:i/>
                <w:iCs/>
                <w:sz w:val="28"/>
                <w:szCs w:val="28"/>
                <w:lang w:val="fr-CH"/>
              </w:rPr>
              <w:t xml:space="preserve"> </w:t>
            </w:r>
            <w:hyperlink r:id="rId12" w:history="1">
              <w:r w:rsidRPr="005A400C">
                <w:rPr>
                  <w:rStyle w:val="Hyperlink"/>
                  <w:i/>
                  <w:lang w:val="fr-CH"/>
                </w:rPr>
                <w:t>Résolution 1384</w:t>
              </w:r>
            </w:hyperlink>
            <w:r>
              <w:t xml:space="preserve"> </w:t>
            </w:r>
            <w:r w:rsidRPr="005A400C">
              <w:rPr>
                <w:i/>
                <w:iCs/>
              </w:rPr>
              <w:t>du Conseil</w:t>
            </w:r>
            <w:r w:rsidRPr="005A400C">
              <w:rPr>
                <w:i/>
                <w:lang w:val="fr-CH"/>
              </w:rPr>
              <w:t xml:space="preserve"> (2017)</w:t>
            </w:r>
            <w:r w:rsidR="00BE67AE">
              <w:rPr>
                <w:i/>
                <w:lang w:val="fr-CH"/>
              </w:rPr>
              <w:t>,</w:t>
            </w:r>
            <w:r w:rsidRPr="005A400C">
              <w:rPr>
                <w:lang w:val="fr-CH"/>
              </w:rPr>
              <w:t xml:space="preserve"> </w:t>
            </w:r>
            <w:hyperlink r:id="rId13" w:history="1"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R</w:t>
              </w:r>
              <w:r>
                <w:rPr>
                  <w:rStyle w:val="Hyperlink"/>
                  <w:rFonts w:cstheme="minorHAnsi"/>
                  <w:i/>
                  <w:iCs/>
                  <w:lang w:val="fr-CH"/>
                </w:rPr>
                <w:t>é</w:t>
              </w:r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solution</w:t>
              </w:r>
              <w:r w:rsidR="00BE67AE">
                <w:rPr>
                  <w:rStyle w:val="Hyperlink"/>
                  <w:rFonts w:cstheme="minorHAnsi"/>
                  <w:i/>
                  <w:iCs/>
                  <w:lang w:val="fr-CH"/>
                </w:rPr>
                <w:t> </w:t>
              </w:r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1333</w:t>
              </w:r>
            </w:hyperlink>
            <w:r w:rsidRPr="005A400C">
              <w:rPr>
                <w:rFonts w:cstheme="minorHAnsi"/>
                <w:i/>
                <w:iCs/>
                <w:lang w:val="fr-CH"/>
              </w:rPr>
              <w:t xml:space="preserve"> </w:t>
            </w:r>
            <w:r>
              <w:rPr>
                <w:rFonts w:cstheme="minorHAnsi"/>
                <w:i/>
                <w:iCs/>
                <w:lang w:val="fr-CH"/>
              </w:rPr>
              <w:t xml:space="preserve">du Conseil </w:t>
            </w:r>
            <w:r w:rsidRPr="005A400C">
              <w:rPr>
                <w:rFonts w:cstheme="minorHAnsi"/>
                <w:i/>
                <w:iCs/>
                <w:lang w:val="fr-CH"/>
              </w:rPr>
              <w:t>(</w:t>
            </w:r>
            <w:r>
              <w:rPr>
                <w:rFonts w:cstheme="minorHAnsi"/>
                <w:i/>
                <w:iCs/>
                <w:lang w:val="fr-CH"/>
              </w:rPr>
              <w:t xml:space="preserve">révisée en </w:t>
            </w:r>
            <w:r w:rsidRPr="005A400C">
              <w:rPr>
                <w:rFonts w:cstheme="minorHAnsi"/>
                <w:i/>
                <w:iCs/>
                <w:lang w:val="fr-CH"/>
              </w:rPr>
              <w:t xml:space="preserve">2016), </w:t>
            </w:r>
            <w:r>
              <w:rPr>
                <w:rFonts w:cstheme="minorHAnsi"/>
                <w:i/>
                <w:iCs/>
                <w:lang w:val="fr-CH"/>
              </w:rPr>
              <w:t>documents du Conseil</w:t>
            </w:r>
            <w:r w:rsidRPr="005A400C">
              <w:rPr>
                <w:rFonts w:cstheme="minorHAnsi"/>
                <w:i/>
                <w:iCs/>
                <w:lang w:val="fr-CH"/>
              </w:rPr>
              <w:t xml:space="preserve">: </w:t>
            </w:r>
            <w:hyperlink r:id="rId14" w:history="1"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C17/75</w:t>
              </w:r>
            </w:hyperlink>
            <w:r w:rsidRPr="005A400C">
              <w:rPr>
                <w:rFonts w:cstheme="minorHAnsi"/>
                <w:i/>
                <w:iCs/>
                <w:lang w:val="fr-CH"/>
              </w:rPr>
              <w:t xml:space="preserve">, </w:t>
            </w:r>
            <w:hyperlink r:id="rId15" w:history="1"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C17/35</w:t>
              </w:r>
            </w:hyperlink>
            <w:r w:rsidRPr="005A400C">
              <w:rPr>
                <w:rFonts w:cstheme="minorHAnsi"/>
                <w:i/>
                <w:iCs/>
                <w:lang w:val="fr-CH"/>
              </w:rPr>
              <w:t xml:space="preserve">, </w:t>
            </w:r>
            <w:hyperlink r:id="rId16" w:history="1"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C17/39</w:t>
              </w:r>
            </w:hyperlink>
            <w:r w:rsidRPr="005A400C">
              <w:rPr>
                <w:rFonts w:cstheme="minorHAnsi"/>
                <w:i/>
                <w:iCs/>
                <w:lang w:val="fr-CH"/>
              </w:rPr>
              <w:t xml:space="preserve"> </w:t>
            </w:r>
            <w:r>
              <w:rPr>
                <w:rFonts w:cstheme="minorHAnsi"/>
                <w:i/>
                <w:iCs/>
                <w:lang w:val="fr-CH"/>
              </w:rPr>
              <w:t>et</w:t>
            </w:r>
            <w:r w:rsidRPr="005A400C">
              <w:rPr>
                <w:rFonts w:cstheme="minorHAnsi"/>
                <w:i/>
                <w:iCs/>
                <w:lang w:val="fr-CH"/>
              </w:rPr>
              <w:t xml:space="preserve"> </w:t>
            </w:r>
            <w:hyperlink r:id="rId17" w:history="1"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>C17/111</w:t>
              </w:r>
            </w:hyperlink>
            <w:r w:rsidRPr="005A400C">
              <w:rPr>
                <w:rStyle w:val="Hyperlink"/>
                <w:rFonts w:cstheme="minorHAnsi"/>
                <w:i/>
                <w:iCs/>
                <w:lang w:val="fr-CH"/>
              </w:rPr>
              <w:t xml:space="preserve">; </w:t>
            </w:r>
            <w:hyperlink r:id="rId18" w:history="1">
              <w:r w:rsidRPr="005A400C">
                <w:rPr>
                  <w:rStyle w:val="Hyperlink"/>
                  <w:rFonts w:cstheme="minorHAnsi"/>
                  <w:i/>
                  <w:iCs/>
                  <w:lang w:val="fr-CH"/>
                </w:rPr>
                <w:t xml:space="preserve">Document </w:t>
              </w:r>
              <w:r w:rsidRPr="005A400C">
                <w:rPr>
                  <w:rStyle w:val="Hyperlink"/>
                  <w:rFonts w:cstheme="minorHAnsi"/>
                  <w:bCs/>
                  <w:i/>
                  <w:iCs/>
                  <w:lang w:val="fr-CH"/>
                </w:rPr>
                <w:t>TDAG17-22/</w:t>
              </w:r>
              <w:bookmarkStart w:id="9" w:name="DocNo1"/>
              <w:bookmarkEnd w:id="9"/>
              <w:r w:rsidRPr="005A400C">
                <w:rPr>
                  <w:rStyle w:val="Hyperlink"/>
                  <w:rFonts w:cstheme="minorHAnsi"/>
                  <w:bCs/>
                  <w:i/>
                  <w:iCs/>
                  <w:lang w:val="fr-CH"/>
                </w:rPr>
                <w:t>7</w:t>
              </w:r>
            </w:hyperlink>
            <w:bookmarkEnd w:id="8"/>
            <w:r>
              <w:t xml:space="preserve"> </w:t>
            </w:r>
            <w:r w:rsidRPr="005A400C">
              <w:rPr>
                <w:i/>
                <w:iCs/>
              </w:rPr>
              <w:t>du GCDT</w:t>
            </w:r>
          </w:p>
        </w:tc>
      </w:tr>
    </w:tbl>
    <w:p w:rsidR="00904C8E" w:rsidRPr="00573D63" w:rsidRDefault="00573D63" w:rsidP="001D49F1">
      <w:pPr>
        <w:pStyle w:val="Heading1"/>
        <w:spacing w:before="360"/>
        <w:rPr>
          <w:sz w:val="24"/>
          <w:szCs w:val="18"/>
        </w:rPr>
      </w:pPr>
      <w:bookmarkStart w:id="10" w:name="lt_pId020"/>
      <w:r w:rsidRPr="00573D63">
        <w:rPr>
          <w:sz w:val="24"/>
          <w:szCs w:val="18"/>
        </w:rPr>
        <w:t>1</w:t>
      </w:r>
      <w:r w:rsidRPr="00573D63">
        <w:rPr>
          <w:sz w:val="24"/>
          <w:szCs w:val="18"/>
        </w:rPr>
        <w:tab/>
      </w:r>
      <w:r w:rsidR="00904C8E" w:rsidRPr="00573D63">
        <w:rPr>
          <w:sz w:val="24"/>
          <w:szCs w:val="18"/>
        </w:rPr>
        <w:t>Introduction</w:t>
      </w:r>
      <w:bookmarkEnd w:id="10"/>
    </w:p>
    <w:p w:rsidR="00904C8E" w:rsidRDefault="00573D63" w:rsidP="000E45F8">
      <w:pPr>
        <w:rPr>
          <w:b/>
        </w:rPr>
      </w:pPr>
      <w:r>
        <w:t>1.1</w:t>
      </w:r>
      <w:r>
        <w:tab/>
      </w:r>
      <w:r w:rsidR="00904C8E">
        <w:t xml:space="preserve">Pendant la troisième séance plénière </w:t>
      </w:r>
      <w:r w:rsidR="00525978">
        <w:t>de sa session de 2017, le Conseil de l</w:t>
      </w:r>
      <w:r w:rsidR="004A67B4">
        <w:t>'</w:t>
      </w:r>
      <w:r w:rsidR="00525978">
        <w:t xml:space="preserve">UIT a adopté la </w:t>
      </w:r>
      <w:hyperlink r:id="rId19" w:history="1">
        <w:r w:rsidR="000E45F8" w:rsidRPr="000E45F8">
          <w:rPr>
            <w:rStyle w:val="Hyperlink"/>
            <w:rFonts w:asciiTheme="minorHAnsi" w:hAnsiTheme="minorHAnsi" w:cstheme="minorBidi"/>
            <w:szCs w:val="24"/>
          </w:rPr>
          <w:t>R</w:t>
        </w:r>
        <w:r w:rsidR="000E45F8">
          <w:rPr>
            <w:rStyle w:val="Hyperlink"/>
            <w:rFonts w:asciiTheme="minorHAnsi" w:hAnsiTheme="minorHAnsi" w:cstheme="minorBidi"/>
            <w:szCs w:val="24"/>
          </w:rPr>
          <w:t>é</w:t>
        </w:r>
        <w:r w:rsidR="000E45F8" w:rsidRPr="000E45F8">
          <w:rPr>
            <w:rStyle w:val="Hyperlink"/>
            <w:rFonts w:asciiTheme="minorHAnsi" w:hAnsiTheme="minorHAnsi" w:cstheme="minorBidi"/>
            <w:szCs w:val="24"/>
          </w:rPr>
          <w:t>solution 1384</w:t>
        </w:r>
      </w:hyperlink>
      <w:r w:rsidR="00525978">
        <w:t xml:space="preserve">, qui établit le </w:t>
      </w:r>
      <w:r w:rsidR="00525978" w:rsidRPr="00525978">
        <w:t xml:space="preserve">Groupe de travail </w:t>
      </w:r>
      <w:r>
        <w:t xml:space="preserve">du Conseil </w:t>
      </w:r>
      <w:r w:rsidR="00525978" w:rsidRPr="00525978">
        <w:t>chargé d</w:t>
      </w:r>
      <w:r w:rsidR="004A67B4">
        <w:t>'</w:t>
      </w:r>
      <w:r w:rsidR="00525978" w:rsidRPr="00525978">
        <w:t>élaborer le projet de Plan stratégique et le projet de Plan financier de l</w:t>
      </w:r>
      <w:r w:rsidR="004A67B4">
        <w:t>'</w:t>
      </w:r>
      <w:r w:rsidR="00525978" w:rsidRPr="00525978">
        <w:t>Union pour la période 2020-2023 (GTC-SFP)</w:t>
      </w:r>
      <w:r w:rsidR="00525978">
        <w:t xml:space="preserve">. La Résolution </w:t>
      </w:r>
      <w:r w:rsidR="0078075D">
        <w:t>contient</w:t>
      </w:r>
      <w:r w:rsidR="00525978">
        <w:t xml:space="preserve"> le mandat du</w:t>
      </w:r>
      <w:r>
        <w:t xml:space="preserve"> Groupe</w:t>
      </w:r>
      <w:r w:rsidR="00525978">
        <w:t xml:space="preserve"> GTC-SFP. Ce Groupe de travail est ouvert à la participation de tous les Etats Membres et, lorsqu</w:t>
      </w:r>
      <w:r w:rsidR="004A67B4">
        <w:t>'</w:t>
      </w:r>
      <w:r w:rsidR="00525978">
        <w:t>il sera question du plan stratégique, il sera également ouvert à la participation de l</w:t>
      </w:r>
      <w:r w:rsidR="004A67B4">
        <w:t>'</w:t>
      </w:r>
      <w:r w:rsidR="00525978">
        <w:t>ensemble des Membres des Secteurs.</w:t>
      </w:r>
    </w:p>
    <w:p w:rsidR="00525978" w:rsidRPr="00573D63" w:rsidRDefault="00573D63" w:rsidP="001D49F1">
      <w:pPr>
        <w:pStyle w:val="Heading1"/>
        <w:spacing w:before="360"/>
        <w:rPr>
          <w:sz w:val="24"/>
          <w:szCs w:val="18"/>
        </w:rPr>
      </w:pPr>
      <w:r w:rsidRPr="00573D63">
        <w:rPr>
          <w:sz w:val="24"/>
          <w:szCs w:val="18"/>
        </w:rPr>
        <w:t>2</w:t>
      </w:r>
      <w:r w:rsidRPr="00573D63">
        <w:rPr>
          <w:sz w:val="24"/>
          <w:szCs w:val="18"/>
        </w:rPr>
        <w:tab/>
      </w:r>
      <w:r w:rsidR="00525978" w:rsidRPr="00573D63">
        <w:rPr>
          <w:sz w:val="24"/>
          <w:szCs w:val="18"/>
        </w:rPr>
        <w:t>Allocution de bienvenue</w:t>
      </w:r>
    </w:p>
    <w:p w:rsidR="00694EFF" w:rsidRDefault="00573D63" w:rsidP="00F00BFD">
      <w:r>
        <w:t>2.1</w:t>
      </w:r>
      <w:r>
        <w:tab/>
      </w:r>
      <w:r w:rsidR="00694EFF">
        <w:t>Le Président a souhaité la bienvenue aux participants et a souligné l</w:t>
      </w:r>
      <w:r w:rsidR="004A67B4">
        <w:t>'</w:t>
      </w:r>
      <w:r w:rsidR="00694EFF">
        <w:t>importance du plan stratégique et du plan financier pour l</w:t>
      </w:r>
      <w:r w:rsidR="004A67B4">
        <w:t>'</w:t>
      </w:r>
      <w:r w:rsidR="00694EFF">
        <w:t xml:space="preserve">Union. Le Président a rappelé aux participants </w:t>
      </w:r>
      <w:r w:rsidR="006D73EE">
        <w:t>que l</w:t>
      </w:r>
      <w:r w:rsidR="004A67B4">
        <w:t>'</w:t>
      </w:r>
      <w:r w:rsidR="006D73EE">
        <w:t xml:space="preserve">objectif du </w:t>
      </w:r>
      <w:r>
        <w:t xml:space="preserve">Groupe </w:t>
      </w:r>
      <w:r w:rsidR="006D73EE">
        <w:t>GTC-SFP est de produire les projets de plan qui seront examinés par le Conseil à sa session de 2018, et de les transmettre à la Conférence de plénipotentiaires de 2018 pour qu</w:t>
      </w:r>
      <w:r w:rsidR="004A67B4">
        <w:t>'</w:t>
      </w:r>
      <w:r w:rsidR="006D73EE">
        <w:t>elle les adopte. Le Président a exprimé le souhait que les travaux de ce Groupe de travail du Conseil, ainsi que le processus dans son ensemble, soient le</w:t>
      </w:r>
      <w:r>
        <w:t>s</w:t>
      </w:r>
      <w:r w:rsidR="006D73EE">
        <w:t xml:space="preserve"> plus ouverts, tra</w:t>
      </w:r>
      <w:r>
        <w:t>nsparents et inclusifs possible</w:t>
      </w:r>
      <w:r w:rsidR="006D73EE">
        <w:t>.</w:t>
      </w:r>
    </w:p>
    <w:p w:rsidR="006D73EE" w:rsidRDefault="00573D63" w:rsidP="00573D63">
      <w:r>
        <w:t>2.2</w:t>
      </w:r>
      <w:r>
        <w:tab/>
      </w:r>
      <w:r w:rsidR="006D73EE">
        <w:t>Le Secrétaire général a souhaité la bienvenue aux participants; il a félicité le Prés</w:t>
      </w:r>
      <w:r w:rsidR="00A261A4">
        <w:t xml:space="preserve">ident pour sa nomination, et </w:t>
      </w:r>
      <w:r w:rsidR="006D73EE">
        <w:t>a souligné l</w:t>
      </w:r>
      <w:r w:rsidR="004A67B4">
        <w:t>'</w:t>
      </w:r>
      <w:r w:rsidR="006D73EE">
        <w:t xml:space="preserve">importance des travaux réalisés par le </w:t>
      </w:r>
      <w:r>
        <w:t xml:space="preserve">Groupe </w:t>
      </w:r>
      <w:r w:rsidR="006D73EE">
        <w:t>GTC-SFP pour l</w:t>
      </w:r>
      <w:r w:rsidR="004A67B4">
        <w:t>'</w:t>
      </w:r>
      <w:r w:rsidR="006D73EE">
        <w:t>Union.</w:t>
      </w:r>
    </w:p>
    <w:p w:rsidR="006D73EE" w:rsidRDefault="00573D63" w:rsidP="00F00BFD">
      <w:r>
        <w:t>2.3</w:t>
      </w:r>
      <w:r>
        <w:tab/>
      </w:r>
      <w:r w:rsidR="006D73EE" w:rsidRPr="00573D63">
        <w:rPr>
          <w:spacing w:val="-2"/>
        </w:rPr>
        <w:t>Le Groupe de travail du Conseil a été informé du fait qu</w:t>
      </w:r>
      <w:r w:rsidR="004A67B4">
        <w:rPr>
          <w:spacing w:val="-2"/>
        </w:rPr>
        <w:t>'</w:t>
      </w:r>
      <w:r w:rsidR="006D73EE" w:rsidRPr="00573D63">
        <w:rPr>
          <w:spacing w:val="-2"/>
        </w:rPr>
        <w:t xml:space="preserve">un Groupe intersectoriel a été mis en place au sein du Secrétariat, sous la direction du Directeur du </w:t>
      </w:r>
      <w:r w:rsidRPr="00573D63">
        <w:rPr>
          <w:spacing w:val="-2"/>
        </w:rPr>
        <w:t>Bureau des radiocommunications,</w:t>
      </w:r>
      <w:r w:rsidR="006D73EE">
        <w:t xml:space="preserve"> M. François Rancy, en vue de coordonner la contribution du Secrétariat </w:t>
      </w:r>
      <w:r w:rsidR="00F00BFD">
        <w:t xml:space="preserve">aux travaux du </w:t>
      </w:r>
      <w:r>
        <w:t>Groupe</w:t>
      </w:r>
      <w:r w:rsidR="00F00BFD">
        <w:t> </w:t>
      </w:r>
      <w:r w:rsidR="006D73EE">
        <w:t>GTC-SFP.</w:t>
      </w:r>
    </w:p>
    <w:p w:rsidR="006D73EE" w:rsidRDefault="001D49F1" w:rsidP="001D49F1">
      <w:r>
        <w:t>2.4</w:t>
      </w:r>
      <w:r>
        <w:tab/>
      </w:r>
      <w:r w:rsidR="006D73EE">
        <w:t xml:space="preserve">Le choix des Vice-Présidents du </w:t>
      </w:r>
      <w:r>
        <w:t xml:space="preserve">Groupe </w:t>
      </w:r>
      <w:r w:rsidR="006D73EE">
        <w:t>GTC-SFP devrait être effectué au cours d</w:t>
      </w:r>
      <w:r w:rsidR="004A67B4">
        <w:t>'</w:t>
      </w:r>
      <w:r w:rsidR="006D73EE">
        <w:t xml:space="preserve">une </w:t>
      </w:r>
      <w:r w:rsidR="000722A0">
        <w:t xml:space="preserve">séance plénière </w:t>
      </w:r>
      <w:r w:rsidR="006D73EE">
        <w:t xml:space="preserve">ultérieure </w:t>
      </w:r>
      <w:r w:rsidR="000722A0">
        <w:t>de la session de 2017 du Conseil.</w:t>
      </w:r>
    </w:p>
    <w:p w:rsidR="000722A0" w:rsidRPr="001D49F1" w:rsidRDefault="001D49F1" w:rsidP="001D49F1">
      <w:pPr>
        <w:pStyle w:val="Heading1"/>
        <w:spacing w:before="360"/>
        <w:rPr>
          <w:bCs/>
          <w:sz w:val="24"/>
          <w:szCs w:val="24"/>
        </w:rPr>
      </w:pPr>
      <w:r w:rsidRPr="001D49F1">
        <w:rPr>
          <w:bCs/>
          <w:sz w:val="24"/>
          <w:szCs w:val="24"/>
        </w:rPr>
        <w:t>3</w:t>
      </w:r>
      <w:r w:rsidRPr="001D49F1">
        <w:rPr>
          <w:bCs/>
          <w:sz w:val="24"/>
          <w:szCs w:val="24"/>
        </w:rPr>
        <w:tab/>
      </w:r>
      <w:r w:rsidR="000722A0" w:rsidRPr="001D49F1">
        <w:rPr>
          <w:bCs/>
          <w:sz w:val="24"/>
          <w:szCs w:val="24"/>
        </w:rPr>
        <w:t>Adoption de l</w:t>
      </w:r>
      <w:r w:rsidR="004A67B4">
        <w:rPr>
          <w:bCs/>
          <w:sz w:val="24"/>
          <w:szCs w:val="24"/>
        </w:rPr>
        <w:t>'</w:t>
      </w:r>
      <w:r w:rsidR="000722A0" w:rsidRPr="001D49F1">
        <w:rPr>
          <w:bCs/>
          <w:sz w:val="24"/>
          <w:szCs w:val="24"/>
        </w:rPr>
        <w:t>ordre du jour (</w:t>
      </w:r>
      <w:hyperlink r:id="rId20" w:history="1">
        <w:r w:rsidR="000722A0" w:rsidRPr="001D49F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CWG SFP/01</w:t>
        </w:r>
      </w:hyperlink>
      <w:r w:rsidR="000722A0" w:rsidRPr="001D49F1">
        <w:rPr>
          <w:rFonts w:asciiTheme="minorHAnsi" w:hAnsiTheme="minorHAnsi" w:cstheme="minorHAnsi"/>
          <w:bCs/>
          <w:sz w:val="24"/>
          <w:szCs w:val="24"/>
        </w:rPr>
        <w:t>)</w:t>
      </w:r>
    </w:p>
    <w:p w:rsidR="000722A0" w:rsidRPr="000722A0" w:rsidRDefault="001D49F1" w:rsidP="001D49F1">
      <w:r>
        <w:t>3.1</w:t>
      </w:r>
      <w:r>
        <w:tab/>
      </w:r>
      <w:r w:rsidR="000722A0">
        <w:t>L</w:t>
      </w:r>
      <w:r w:rsidR="004A67B4">
        <w:t>'</w:t>
      </w:r>
      <w:r w:rsidR="000722A0">
        <w:t>ordre du jour (</w:t>
      </w:r>
      <w:r w:rsidR="000722A0" w:rsidRPr="000722A0">
        <w:rPr>
          <w:lang w:val="fr-CH"/>
        </w:rPr>
        <w:t>CWG SFP/01) a été adopté sans objections.</w:t>
      </w:r>
    </w:p>
    <w:p w:rsidR="000722A0" w:rsidRPr="00C3054C" w:rsidRDefault="00C3054C" w:rsidP="00F00BFD">
      <w:pPr>
        <w:pStyle w:val="Heading1"/>
        <w:spacing w:before="360"/>
        <w:rPr>
          <w:sz w:val="24"/>
          <w:szCs w:val="24"/>
        </w:rPr>
      </w:pPr>
      <w:r w:rsidRPr="00C3054C">
        <w:rPr>
          <w:rFonts w:asciiTheme="minorHAnsi" w:hAnsiTheme="minorHAnsi" w:cstheme="minorBidi"/>
          <w:sz w:val="24"/>
          <w:szCs w:val="24"/>
          <w:lang w:val="fr-CH"/>
        </w:rPr>
        <w:t>4</w:t>
      </w:r>
      <w:r w:rsidRPr="00C3054C">
        <w:rPr>
          <w:rFonts w:asciiTheme="minorHAnsi" w:hAnsiTheme="minorHAnsi" w:cstheme="minorBidi"/>
          <w:sz w:val="24"/>
          <w:szCs w:val="24"/>
          <w:lang w:val="fr-CH"/>
        </w:rPr>
        <w:tab/>
      </w:r>
      <w:r w:rsidR="000722A0" w:rsidRPr="00C3054C">
        <w:rPr>
          <w:rFonts w:asciiTheme="minorHAnsi" w:hAnsiTheme="minorHAnsi" w:cstheme="minorBidi"/>
          <w:bCs/>
          <w:sz w:val="24"/>
          <w:szCs w:val="24"/>
          <w:lang w:val="fr-CH"/>
        </w:rPr>
        <w:t xml:space="preserve">Aperçu de la </w:t>
      </w:r>
      <w:r w:rsidR="000722A0" w:rsidRPr="00C3054C">
        <w:rPr>
          <w:rFonts w:cstheme="minorHAnsi"/>
          <w:bCs/>
          <w:sz w:val="24"/>
          <w:szCs w:val="24"/>
          <w:lang w:val="fr-CH"/>
        </w:rPr>
        <w:t>Résolution 1384 (</w:t>
      </w:r>
      <w:r w:rsidR="00F00BFD">
        <w:rPr>
          <w:rFonts w:cstheme="minorHAnsi"/>
          <w:bCs/>
          <w:sz w:val="24"/>
          <w:szCs w:val="24"/>
          <w:lang w:val="fr-CH"/>
        </w:rPr>
        <w:t xml:space="preserve">session de 2017 du </w:t>
      </w:r>
      <w:r w:rsidR="000722A0" w:rsidRPr="00C3054C">
        <w:rPr>
          <w:rFonts w:cstheme="minorHAnsi"/>
          <w:bCs/>
          <w:sz w:val="24"/>
          <w:szCs w:val="24"/>
          <w:lang w:val="fr-CH"/>
        </w:rPr>
        <w:t>Conseil) (</w:t>
      </w:r>
      <w:hyperlink r:id="rId21" w:history="1">
        <w:r w:rsidR="000722A0" w:rsidRPr="00C3054C">
          <w:rPr>
            <w:rStyle w:val="Hyperlink"/>
            <w:sz w:val="24"/>
            <w:szCs w:val="24"/>
            <w:lang w:val="fr-CH"/>
          </w:rPr>
          <w:t>CWG-SFP-INF/1/1</w:t>
        </w:r>
      </w:hyperlink>
      <w:r w:rsidR="000722A0" w:rsidRPr="00C3054C">
        <w:rPr>
          <w:rFonts w:cstheme="minorHAnsi"/>
          <w:bCs/>
          <w:sz w:val="24"/>
          <w:szCs w:val="24"/>
          <w:lang w:val="fr-CH"/>
        </w:rPr>
        <w:t>)</w:t>
      </w:r>
    </w:p>
    <w:p w:rsidR="000722A0" w:rsidRPr="000722A0" w:rsidRDefault="00C3054C" w:rsidP="00F00BFD">
      <w:r>
        <w:rPr>
          <w:lang w:val="fr-CH"/>
        </w:rPr>
        <w:t>4.1</w:t>
      </w:r>
      <w:r>
        <w:rPr>
          <w:lang w:val="fr-CH"/>
        </w:rPr>
        <w:tab/>
      </w:r>
      <w:r w:rsidR="000722A0">
        <w:rPr>
          <w:lang w:val="fr-CH"/>
        </w:rPr>
        <w:t xml:space="preserve">Le Président a présenté la Résolution 1384 (Conseil 2017), établissant le </w:t>
      </w:r>
      <w:r>
        <w:rPr>
          <w:lang w:val="fr-CH"/>
        </w:rPr>
        <w:t xml:space="preserve">Groupe </w:t>
      </w:r>
      <w:r w:rsidR="00805BB9">
        <w:rPr>
          <w:lang w:val="fr-CH"/>
        </w:rPr>
        <w:t>GTC-SFP. Les membres du G</w:t>
      </w:r>
      <w:r w:rsidR="000722A0">
        <w:rPr>
          <w:lang w:val="fr-CH"/>
        </w:rPr>
        <w:t xml:space="preserve">roupe sont convenus de préciser, dans le Rapport du Président, le fait que les projets de plan seraient, en premier </w:t>
      </w:r>
      <w:r>
        <w:rPr>
          <w:lang w:val="fr-CH"/>
        </w:rPr>
        <w:t xml:space="preserve">lieu, présentés et approuvés en avril </w:t>
      </w:r>
      <w:r w:rsidR="000722A0">
        <w:rPr>
          <w:lang w:val="fr-CH"/>
        </w:rPr>
        <w:t>2018 par le Conseil</w:t>
      </w:r>
      <w:r>
        <w:rPr>
          <w:lang w:val="fr-CH"/>
        </w:rPr>
        <w:t>,</w:t>
      </w:r>
      <w:r w:rsidR="000722A0">
        <w:rPr>
          <w:lang w:val="fr-CH"/>
        </w:rPr>
        <w:t xml:space="preserve"> à sa session ordinaire.</w:t>
      </w:r>
    </w:p>
    <w:p w:rsidR="000722A0" w:rsidRPr="00232043" w:rsidRDefault="00232043" w:rsidP="00232043">
      <w:pPr>
        <w:pStyle w:val="Heading1"/>
        <w:spacing w:before="360"/>
        <w:rPr>
          <w:b w:val="0"/>
          <w:bCs/>
          <w:sz w:val="24"/>
          <w:szCs w:val="24"/>
        </w:rPr>
      </w:pPr>
      <w:r w:rsidRPr="00232043">
        <w:rPr>
          <w:bCs/>
          <w:sz w:val="24"/>
          <w:szCs w:val="24"/>
        </w:rPr>
        <w:t>5</w:t>
      </w:r>
      <w:r w:rsidRPr="00232043">
        <w:rPr>
          <w:bCs/>
          <w:sz w:val="24"/>
          <w:szCs w:val="24"/>
        </w:rPr>
        <w:tab/>
      </w:r>
      <w:r w:rsidR="000722A0" w:rsidRPr="00232043">
        <w:rPr>
          <w:bCs/>
          <w:sz w:val="24"/>
          <w:szCs w:val="24"/>
        </w:rPr>
        <w:t>Présentation du processus proposé en vue de l</w:t>
      </w:r>
      <w:r w:rsidR="004A67B4">
        <w:rPr>
          <w:bCs/>
          <w:sz w:val="24"/>
          <w:szCs w:val="24"/>
        </w:rPr>
        <w:t>'</w:t>
      </w:r>
      <w:r w:rsidR="000722A0" w:rsidRPr="00232043">
        <w:rPr>
          <w:bCs/>
          <w:sz w:val="24"/>
          <w:szCs w:val="24"/>
        </w:rPr>
        <w:t xml:space="preserve">élaboration du plan stratégique et du plan financier </w:t>
      </w:r>
      <w:r>
        <w:rPr>
          <w:bCs/>
          <w:sz w:val="24"/>
          <w:szCs w:val="24"/>
        </w:rPr>
        <w:t>de l</w:t>
      </w:r>
      <w:r w:rsidR="004A67B4">
        <w:rPr>
          <w:bCs/>
          <w:sz w:val="24"/>
          <w:szCs w:val="24"/>
        </w:rPr>
        <w:t>'</w:t>
      </w:r>
      <w:r>
        <w:rPr>
          <w:bCs/>
          <w:sz w:val="24"/>
          <w:szCs w:val="24"/>
        </w:rPr>
        <w:t xml:space="preserve">UIT </w:t>
      </w:r>
      <w:r w:rsidR="000722A0" w:rsidRPr="00232043">
        <w:rPr>
          <w:bCs/>
          <w:sz w:val="24"/>
          <w:szCs w:val="24"/>
        </w:rPr>
        <w:t>pour la période 2020-2023 (</w:t>
      </w:r>
      <w:hyperlink r:id="rId22" w:history="1">
        <w:r w:rsidR="000722A0" w:rsidRPr="00232043">
          <w:rPr>
            <w:rStyle w:val="Hyperlink"/>
            <w:rFonts w:cstheme="minorHAnsi"/>
            <w:bCs/>
            <w:sz w:val="24"/>
            <w:szCs w:val="24"/>
          </w:rPr>
          <w:t>CWG SFP/02</w:t>
        </w:r>
      </w:hyperlink>
      <w:r w:rsidR="000722A0" w:rsidRPr="00232043">
        <w:rPr>
          <w:rFonts w:cstheme="minorHAnsi"/>
          <w:bCs/>
          <w:sz w:val="24"/>
          <w:szCs w:val="24"/>
        </w:rPr>
        <w:t>)</w:t>
      </w:r>
    </w:p>
    <w:p w:rsidR="000722A0" w:rsidRPr="00CF5DD0" w:rsidRDefault="00232043" w:rsidP="00232043">
      <w:r>
        <w:t>5.1</w:t>
      </w:r>
      <w:r>
        <w:tab/>
      </w:r>
      <w:r w:rsidR="000722A0">
        <w:t>Un membre du Secrétariat (le Chef de la Division SPM/CSD)</w:t>
      </w:r>
      <w:r w:rsidR="00CF5DD0">
        <w:t xml:space="preserve"> a présenté le processus et le calendrier proposés pour l</w:t>
      </w:r>
      <w:r w:rsidR="004A67B4">
        <w:t>'</w:t>
      </w:r>
      <w:r w:rsidR="00CF5DD0">
        <w:t>élaboratio</w:t>
      </w:r>
      <w:r>
        <w:t xml:space="preserve">n des plans. Cette présentation comportait </w:t>
      </w:r>
      <w:r w:rsidR="00CF5DD0">
        <w:t xml:space="preserve">notamment </w:t>
      </w:r>
      <w:r w:rsidR="009569C2">
        <w:t xml:space="preserve">les </w:t>
      </w:r>
      <w:r w:rsidR="00CF5DD0">
        <w:t>éléments suivants:</w:t>
      </w:r>
    </w:p>
    <w:p w:rsidR="00CF5DD0" w:rsidRPr="00CF5DD0" w:rsidRDefault="00232043" w:rsidP="00232043">
      <w:pPr>
        <w:pStyle w:val="enumlev1"/>
      </w:pPr>
      <w:r>
        <w:t>•</w:t>
      </w:r>
      <w:r>
        <w:tab/>
      </w:r>
      <w:r w:rsidR="001E5BE5">
        <w:t>u</w:t>
      </w:r>
      <w:r w:rsidR="00CF5DD0">
        <w:t xml:space="preserve">ne introduction </w:t>
      </w:r>
      <w:r>
        <w:t>relative au</w:t>
      </w:r>
      <w:r w:rsidR="00CF5DD0">
        <w:t xml:space="preserve"> cadre stratégique actuel pour la période 2016-2019, précisant les nouveaux éléments introduits, et les leçons tirées de sa mise en œuvre;</w:t>
      </w:r>
    </w:p>
    <w:p w:rsidR="00CF5DD0" w:rsidRPr="00CF5DD0" w:rsidRDefault="00232043" w:rsidP="00805BB9">
      <w:pPr>
        <w:pStyle w:val="enumlev1"/>
      </w:pPr>
      <w:r>
        <w:t>•</w:t>
      </w:r>
      <w:r>
        <w:tab/>
      </w:r>
      <w:r w:rsidR="001E5BE5">
        <w:t>u</w:t>
      </w:r>
      <w:r w:rsidR="00CF5DD0">
        <w:t>ne description du processus à suivre dans le cadre de la préparation du projet de plan financier</w:t>
      </w:r>
      <w:r w:rsidR="00805BB9">
        <w:t>;</w:t>
      </w:r>
      <w:r w:rsidR="00CF5DD0">
        <w:t xml:space="preserve"> et</w:t>
      </w:r>
    </w:p>
    <w:p w:rsidR="00CF5DD0" w:rsidRPr="00CF5DD0" w:rsidRDefault="00232043" w:rsidP="00232043">
      <w:pPr>
        <w:pStyle w:val="enumlev1"/>
      </w:pPr>
      <w:r>
        <w:t>•</w:t>
      </w:r>
      <w:r>
        <w:tab/>
      </w:r>
      <w:r w:rsidR="001E5BE5">
        <w:t>u</w:t>
      </w:r>
      <w:r w:rsidR="00CF5DD0">
        <w:t xml:space="preserve">ne </w:t>
      </w:r>
      <w:r>
        <w:t xml:space="preserve">énumération </w:t>
      </w:r>
      <w:r w:rsidR="00CF5DD0">
        <w:t xml:space="preserve">des </w:t>
      </w:r>
      <w:r>
        <w:t xml:space="preserve">principaux facteurs </w:t>
      </w:r>
      <w:r w:rsidR="00CF5DD0">
        <w:t>dont il conviendrait de tenir compte dans l</w:t>
      </w:r>
      <w:r w:rsidR="004A67B4">
        <w:t>'</w:t>
      </w:r>
      <w:r w:rsidR="00CF5DD0">
        <w:t>élaboration du plan stratégique.</w:t>
      </w:r>
    </w:p>
    <w:p w:rsidR="00CF5DD0" w:rsidRPr="00CF5DD0" w:rsidRDefault="00232043" w:rsidP="00232043">
      <w:r>
        <w:t>5.2</w:t>
      </w:r>
      <w:r>
        <w:tab/>
        <w:t>Les membres du G</w:t>
      </w:r>
      <w:r w:rsidR="00CF5DD0">
        <w:t>roupe ont pris note des dernières tendances en matière de technologie, ainsi que du Programme à l</w:t>
      </w:r>
      <w:r w:rsidR="004A67B4">
        <w:t>'</w:t>
      </w:r>
      <w:r w:rsidR="00CF5DD0">
        <w:t>horizon 2030, y compris des objectifs et des cibles de développement durable, et de la nécessité d</w:t>
      </w:r>
      <w:r w:rsidR="004A67B4">
        <w:t>'</w:t>
      </w:r>
      <w:r w:rsidR="00CF5DD0">
        <w:t>en tenir pleinement compte dans l</w:t>
      </w:r>
      <w:r w:rsidR="004A67B4">
        <w:t>'</w:t>
      </w:r>
      <w:r w:rsidR="00CF5DD0">
        <w:t>élaboration du plan stratégique.</w:t>
      </w:r>
    </w:p>
    <w:p w:rsidR="005B1C85" w:rsidRDefault="00232043" w:rsidP="00232043">
      <w:r>
        <w:t>5.3</w:t>
      </w:r>
      <w:r>
        <w:tab/>
      </w:r>
      <w:r w:rsidR="00805BB9">
        <w:rPr>
          <w:spacing w:val="-2"/>
        </w:rPr>
        <w:t>Les membres du G</w:t>
      </w:r>
      <w:r w:rsidR="005B1C85" w:rsidRPr="00232043">
        <w:rPr>
          <w:spacing w:val="-2"/>
        </w:rPr>
        <w:t>roupe sont convenus du calendrier de réunions du</w:t>
      </w:r>
      <w:r w:rsidRPr="00232043">
        <w:rPr>
          <w:spacing w:val="-2"/>
        </w:rPr>
        <w:t xml:space="preserve"> Groupe</w:t>
      </w:r>
      <w:r w:rsidR="005B1C85" w:rsidRPr="00232043">
        <w:rPr>
          <w:spacing w:val="-2"/>
        </w:rPr>
        <w:t xml:space="preserve"> GTC-SFP suivant:</w:t>
      </w:r>
    </w:p>
    <w:p w:rsidR="00AE66E5" w:rsidRDefault="00232043" w:rsidP="00232043">
      <w:pPr>
        <w:pStyle w:val="enumlev1"/>
      </w:pPr>
      <w:r>
        <w:t>•</w:t>
      </w:r>
      <w:r>
        <w:tab/>
      </w:r>
      <w:r w:rsidR="00AE66E5">
        <w:t>2</w:t>
      </w:r>
      <w:r w:rsidR="00AE66E5" w:rsidRPr="00232043">
        <w:t>ème</w:t>
      </w:r>
      <w:r w:rsidR="00AE66E5">
        <w:t xml:space="preserve"> réunion: réunion de deux jours </w:t>
      </w:r>
      <w:r w:rsidR="00375B9E">
        <w:t>dans le cadre de</w:t>
      </w:r>
      <w:r w:rsidR="00AE66E5">
        <w:t xml:space="preserve"> </w:t>
      </w:r>
      <w:r w:rsidR="00AE66E5">
        <w:rPr>
          <w:color w:val="000000"/>
        </w:rPr>
        <w:t>la série de réunions des Groupes de travail du Conseil</w:t>
      </w:r>
      <w:r w:rsidR="00AE66E5">
        <w:t xml:space="preserve"> organisée en septembre 2017;</w:t>
      </w:r>
    </w:p>
    <w:p w:rsidR="00AE66E5" w:rsidRDefault="00232043" w:rsidP="00232043">
      <w:pPr>
        <w:pStyle w:val="enumlev1"/>
      </w:pPr>
      <w:r>
        <w:t>•</w:t>
      </w:r>
      <w:r>
        <w:tab/>
      </w:r>
      <w:r w:rsidR="00AE66E5">
        <w:t>3</w:t>
      </w:r>
      <w:r w:rsidR="00AE66E5" w:rsidRPr="00232043">
        <w:t>ème</w:t>
      </w:r>
      <w:r w:rsidR="00AE66E5">
        <w:t xml:space="preserve"> réunion: réunion de deux jours </w:t>
      </w:r>
      <w:r w:rsidR="00375B9E">
        <w:t>dans le cadre de</w:t>
      </w:r>
      <w:r w:rsidR="00375B9E">
        <w:rPr>
          <w:color w:val="000000"/>
        </w:rPr>
        <w:t xml:space="preserve"> </w:t>
      </w:r>
      <w:r w:rsidR="00AE66E5">
        <w:rPr>
          <w:color w:val="000000"/>
        </w:rPr>
        <w:t>la série de réunions des Groupes de travail du Conseil</w:t>
      </w:r>
      <w:r w:rsidR="00AE66E5">
        <w:t xml:space="preserve"> organisée en janvier / février 2018;</w:t>
      </w:r>
    </w:p>
    <w:p w:rsidR="00AE66E5" w:rsidRDefault="00232043" w:rsidP="00232043">
      <w:pPr>
        <w:pStyle w:val="enumlev1"/>
      </w:pPr>
      <w:r>
        <w:t>•</w:t>
      </w:r>
      <w:r>
        <w:tab/>
      </w:r>
      <w:r w:rsidR="00AE66E5">
        <w:t>4</w:t>
      </w:r>
      <w:r w:rsidR="00AE66E5" w:rsidRPr="00232043">
        <w:t>ème</w:t>
      </w:r>
      <w:r w:rsidR="00AE66E5">
        <w:t xml:space="preserve"> réunion: réunion d</w:t>
      </w:r>
      <w:r w:rsidR="004A67B4">
        <w:t>'</w:t>
      </w:r>
      <w:r w:rsidR="00AE66E5">
        <w:t>un jour ou deux organisée avant la session de 2018 du Conseil.</w:t>
      </w:r>
    </w:p>
    <w:p w:rsidR="00AE66E5" w:rsidRDefault="00074AA2" w:rsidP="00074AA2">
      <w:r>
        <w:t>5.4</w:t>
      </w:r>
      <w:r>
        <w:tab/>
      </w:r>
      <w:r w:rsidR="00AE66E5">
        <w:t>Les membres du Groupe sont convenus de la nécessité de disposer, pour l</w:t>
      </w:r>
      <w:r w:rsidR="004A67B4">
        <w:t>'</w:t>
      </w:r>
      <w:r w:rsidR="00AE66E5">
        <w:t xml:space="preserve">ensemble des réunions du </w:t>
      </w:r>
      <w:r>
        <w:t xml:space="preserve">Groupe </w:t>
      </w:r>
      <w:r w:rsidR="00AE66E5">
        <w:t>GTC-SFP, de services d</w:t>
      </w:r>
      <w:r w:rsidR="004A67B4">
        <w:t>'</w:t>
      </w:r>
      <w:r w:rsidR="00AE66E5">
        <w:t>interprétation et de traduction dans les six langues officielles de l</w:t>
      </w:r>
      <w:r w:rsidR="004A67B4">
        <w:t>'</w:t>
      </w:r>
      <w:r w:rsidR="00AE66E5">
        <w:t>Union, ainsi que de mécanismes de participation à distance efficaces.</w:t>
      </w:r>
    </w:p>
    <w:p w:rsidR="00AE66E5" w:rsidRPr="00277AE3" w:rsidRDefault="00277AE3" w:rsidP="00277AE3">
      <w:pPr>
        <w:pStyle w:val="Heading1"/>
        <w:spacing w:before="360"/>
        <w:rPr>
          <w:sz w:val="24"/>
          <w:szCs w:val="24"/>
        </w:rPr>
      </w:pPr>
      <w:r w:rsidRPr="00277AE3">
        <w:rPr>
          <w:sz w:val="24"/>
          <w:szCs w:val="24"/>
        </w:rPr>
        <w:t>6</w:t>
      </w:r>
      <w:r w:rsidRPr="00277AE3">
        <w:rPr>
          <w:sz w:val="24"/>
          <w:szCs w:val="24"/>
        </w:rPr>
        <w:tab/>
      </w:r>
      <w:r w:rsidR="00AE66E5" w:rsidRPr="00277AE3">
        <w:rPr>
          <w:sz w:val="24"/>
          <w:szCs w:val="24"/>
        </w:rPr>
        <w:t>Examen du plan stratégique de l</w:t>
      </w:r>
      <w:r w:rsidR="004A67B4">
        <w:rPr>
          <w:sz w:val="24"/>
          <w:szCs w:val="24"/>
        </w:rPr>
        <w:t>'</w:t>
      </w:r>
      <w:r w:rsidR="00AE66E5" w:rsidRPr="00277AE3">
        <w:rPr>
          <w:sz w:val="24"/>
          <w:szCs w:val="24"/>
        </w:rPr>
        <w:t xml:space="preserve">UIT pour la période 2016-2019, Rés. 71, 72, 151, 191, 200 </w:t>
      </w:r>
      <w:r w:rsidR="00AE66E5" w:rsidRPr="00277AE3">
        <w:rPr>
          <w:rFonts w:cstheme="minorHAnsi"/>
          <w:sz w:val="24"/>
          <w:szCs w:val="24"/>
          <w:lang w:val="fr-CH"/>
        </w:rPr>
        <w:t>(</w:t>
      </w:r>
      <w:hyperlink r:id="rId23" w:history="1">
        <w:r w:rsidR="00AE66E5" w:rsidRPr="00277AE3">
          <w:rPr>
            <w:rStyle w:val="Hyperlink"/>
            <w:bCs/>
            <w:sz w:val="24"/>
            <w:szCs w:val="24"/>
            <w:lang w:val="fr-CH"/>
          </w:rPr>
          <w:t>CWG-SFP-INF/1/2</w:t>
        </w:r>
      </w:hyperlink>
      <w:r w:rsidR="00AE66E5" w:rsidRPr="00277AE3">
        <w:rPr>
          <w:rStyle w:val="Hyperlink"/>
          <w:bCs/>
          <w:color w:val="auto"/>
          <w:sz w:val="24"/>
          <w:szCs w:val="24"/>
          <w:u w:val="none"/>
          <w:lang w:val="fr-CH"/>
        </w:rPr>
        <w:t>) et de la structure du plan stratégique pour la période 2020-2023</w:t>
      </w:r>
      <w:r>
        <w:rPr>
          <w:rStyle w:val="Hyperlink"/>
          <w:bCs/>
          <w:color w:val="auto"/>
          <w:sz w:val="24"/>
          <w:szCs w:val="24"/>
          <w:u w:val="none"/>
          <w:lang w:val="fr-CH"/>
        </w:rPr>
        <w:t xml:space="preserve"> </w:t>
      </w:r>
      <w:r w:rsidR="00AE66E5" w:rsidRPr="00277AE3">
        <w:rPr>
          <w:rStyle w:val="Hyperlink"/>
          <w:bCs/>
          <w:sz w:val="24"/>
          <w:szCs w:val="24"/>
          <w:lang w:val="fr-CH"/>
        </w:rPr>
        <w:t>(</w:t>
      </w:r>
      <w:hyperlink r:id="rId24" w:history="1">
        <w:r>
          <w:rPr>
            <w:rStyle w:val="Hyperlink"/>
            <w:bCs/>
            <w:sz w:val="24"/>
            <w:szCs w:val="24"/>
            <w:lang w:val="fr-CH"/>
          </w:rPr>
          <w:t>CWG</w:t>
        </w:r>
        <w:r>
          <w:rPr>
            <w:rStyle w:val="Hyperlink"/>
            <w:bCs/>
            <w:sz w:val="24"/>
            <w:szCs w:val="24"/>
            <w:lang w:val="fr-CH"/>
          </w:rPr>
          <w:noBreakHyphen/>
        </w:r>
        <w:r w:rsidR="00AE66E5" w:rsidRPr="00277AE3">
          <w:rPr>
            <w:rStyle w:val="Hyperlink"/>
            <w:bCs/>
            <w:sz w:val="24"/>
            <w:szCs w:val="24"/>
            <w:lang w:val="fr-CH"/>
          </w:rPr>
          <w:t>SFP-1/3</w:t>
        </w:r>
      </w:hyperlink>
      <w:r w:rsidR="00AE66E5" w:rsidRPr="00277AE3">
        <w:rPr>
          <w:rStyle w:val="Hyperlink"/>
          <w:bCs/>
          <w:sz w:val="24"/>
          <w:szCs w:val="24"/>
          <w:lang w:val="fr-CH"/>
        </w:rPr>
        <w:t>)</w:t>
      </w:r>
    </w:p>
    <w:p w:rsidR="00AE66E5" w:rsidRPr="00240CB5" w:rsidRDefault="00277AE3" w:rsidP="00277AE3">
      <w:r>
        <w:t>6.1</w:t>
      </w:r>
      <w:r>
        <w:tab/>
      </w:r>
      <w:r w:rsidR="00240CB5">
        <w:t>Les membres du Groupe sont convenus d</w:t>
      </w:r>
      <w:r w:rsidR="004A67B4">
        <w:t>'</w:t>
      </w:r>
      <w:r w:rsidR="00240CB5">
        <w:t xml:space="preserve">intégrer les versions révisées des Résolutions </w:t>
      </w:r>
      <w:r w:rsidR="00240CB5" w:rsidRPr="00240CB5">
        <w:rPr>
          <w:lang w:val="fr-CH"/>
        </w:rPr>
        <w:t xml:space="preserve">71, 72, 151, 191, </w:t>
      </w:r>
      <w:r w:rsidR="00240CB5">
        <w:rPr>
          <w:lang w:val="fr-CH"/>
        </w:rPr>
        <w:t xml:space="preserve">et </w:t>
      </w:r>
      <w:r w:rsidR="00240CB5" w:rsidRPr="00240CB5">
        <w:rPr>
          <w:lang w:val="fr-CH"/>
        </w:rPr>
        <w:t>200</w:t>
      </w:r>
      <w:r w:rsidR="00240CB5">
        <w:rPr>
          <w:lang w:val="fr-CH"/>
        </w:rPr>
        <w:t xml:space="preserve"> de la Conférence de plénipotentiaires aux travaux du </w:t>
      </w:r>
      <w:r>
        <w:rPr>
          <w:lang w:val="fr-CH"/>
        </w:rPr>
        <w:t xml:space="preserve">Groupe </w:t>
      </w:r>
      <w:r w:rsidR="00240CB5">
        <w:rPr>
          <w:lang w:val="fr-CH"/>
        </w:rPr>
        <w:t xml:space="preserve">GTC-SFP, en vue de les </w:t>
      </w:r>
      <w:r>
        <w:rPr>
          <w:lang w:val="fr-CH"/>
        </w:rPr>
        <w:t>harmoniser avec le</w:t>
      </w:r>
      <w:r w:rsidR="00240CB5">
        <w:rPr>
          <w:lang w:val="fr-CH"/>
        </w:rPr>
        <w:t xml:space="preserve"> nouveau plan stratégique.</w:t>
      </w:r>
    </w:p>
    <w:p w:rsidR="00240CB5" w:rsidRPr="00F02C9F" w:rsidRDefault="00277AE3" w:rsidP="00277AE3">
      <w:r>
        <w:t>6.2</w:t>
      </w:r>
      <w:r>
        <w:tab/>
      </w:r>
      <w:r w:rsidR="00240CB5">
        <w:t xml:space="preserve">La structure proposée pour le plan stratégique pour la période 2020-2023 a été approuvée, et il a été décidé </w:t>
      </w:r>
      <w:r w:rsidR="00F02C9F">
        <w:t>de faire figurer l</w:t>
      </w:r>
      <w:r>
        <w:t>e</w:t>
      </w:r>
      <w:r w:rsidR="00F02C9F">
        <w:t xml:space="preserve"> plan comme Annexe 1 de</w:t>
      </w:r>
      <w:r>
        <w:t xml:space="preserve"> la Résolution 71, tandis que l</w:t>
      </w:r>
      <w:r w:rsidR="004A67B4">
        <w:t>'</w:t>
      </w:r>
      <w:r w:rsidR="00F02C9F">
        <w:t>Annexe 2 comporterait l</w:t>
      </w:r>
      <w:r w:rsidR="004A67B4">
        <w:t>'</w:t>
      </w:r>
      <w:r w:rsidR="00F02C9F">
        <w:t>analyse générale.</w:t>
      </w:r>
    </w:p>
    <w:p w:rsidR="00F02C9F" w:rsidRPr="00277AE3" w:rsidRDefault="00277AE3" w:rsidP="00277AE3">
      <w:pPr>
        <w:pStyle w:val="Heading1"/>
        <w:spacing w:before="360"/>
        <w:rPr>
          <w:rStyle w:val="Hyperlink"/>
          <w:b w:val="0"/>
          <w:bCs/>
          <w:color w:val="auto"/>
          <w:sz w:val="24"/>
          <w:szCs w:val="24"/>
          <w:u w:val="none"/>
        </w:rPr>
      </w:pPr>
      <w:r w:rsidRPr="00277AE3">
        <w:rPr>
          <w:bCs/>
          <w:sz w:val="24"/>
          <w:szCs w:val="24"/>
        </w:rPr>
        <w:t>7</w:t>
      </w:r>
      <w:r w:rsidRPr="00277AE3">
        <w:rPr>
          <w:bCs/>
          <w:sz w:val="24"/>
          <w:szCs w:val="24"/>
        </w:rPr>
        <w:tab/>
      </w:r>
      <w:r w:rsidR="00F02C9F" w:rsidRPr="00277AE3">
        <w:rPr>
          <w:bCs/>
          <w:sz w:val="24"/>
          <w:szCs w:val="24"/>
        </w:rPr>
        <w:t xml:space="preserve">Contribution du GCR </w:t>
      </w:r>
      <w:r w:rsidR="00F02C9F" w:rsidRPr="00277AE3">
        <w:rPr>
          <w:rFonts w:cstheme="minorHAnsi"/>
          <w:bCs/>
          <w:sz w:val="24"/>
          <w:szCs w:val="24"/>
          <w:lang w:val="fr-CH"/>
        </w:rPr>
        <w:t>(</w:t>
      </w:r>
      <w:hyperlink r:id="rId25" w:history="1">
        <w:r w:rsidR="00F02C9F" w:rsidRPr="00277AE3">
          <w:rPr>
            <w:rStyle w:val="Hyperlink"/>
            <w:bCs/>
            <w:sz w:val="24"/>
            <w:szCs w:val="24"/>
            <w:lang w:val="fr-CH"/>
          </w:rPr>
          <w:t>CWG-SFP-INF/1/3</w:t>
        </w:r>
      </w:hyperlink>
      <w:r w:rsidR="00F02C9F" w:rsidRPr="00277AE3">
        <w:rPr>
          <w:rStyle w:val="Hyperlink"/>
          <w:bCs/>
          <w:sz w:val="24"/>
          <w:szCs w:val="24"/>
          <w:lang w:val="fr-CH"/>
        </w:rPr>
        <w:t>)</w:t>
      </w:r>
    </w:p>
    <w:p w:rsidR="00F02C9F" w:rsidRDefault="00A03768" w:rsidP="00A03768">
      <w:r>
        <w:t>7.1</w:t>
      </w:r>
      <w:r>
        <w:tab/>
      </w:r>
      <w:r w:rsidR="00F02C9F">
        <w:t>Le Directeur du Bureau des radiocommunications (BR) a présenté la contribution du GCR (Document C17/111) à la session de 2017 du Conseil</w:t>
      </w:r>
      <w:r w:rsidR="00292969">
        <w:t>, en demandant qu</w:t>
      </w:r>
      <w:r w:rsidR="004A67B4">
        <w:t>'</w:t>
      </w:r>
      <w:r w:rsidR="00292969">
        <w:t>il soit tenu compte des aspects suivants: distinction entre les objectifs du Secteur de l</w:t>
      </w:r>
      <w:r w:rsidR="004A67B4">
        <w:t>'</w:t>
      </w:r>
      <w:r w:rsidR="00292969">
        <w:t>UIT-R et ceux du Bureau, et fiabilité de l</w:t>
      </w:r>
      <w:r w:rsidR="004A67B4">
        <w:t>'</w:t>
      </w:r>
      <w:r w:rsidR="00292969">
        <w:t>origine des données utilisées pour les indicateurs.</w:t>
      </w:r>
    </w:p>
    <w:p w:rsidR="00573D63" w:rsidRPr="00CD2992" w:rsidRDefault="00573D63" w:rsidP="00A03768">
      <w:pPr>
        <w:snapToGrid w:val="0"/>
        <w:spacing w:after="120"/>
        <w:jc w:val="both"/>
        <w:rPr>
          <w:rFonts w:cstheme="minorHAnsi"/>
          <w:szCs w:val="24"/>
        </w:rPr>
      </w:pPr>
      <w:r w:rsidRPr="00CD2992">
        <w:rPr>
          <w:rFonts w:cstheme="minorHAnsi"/>
          <w:szCs w:val="24"/>
        </w:rPr>
        <w:t>7.2</w:t>
      </w:r>
      <w:r w:rsidRPr="00CD2992">
        <w:rPr>
          <w:rFonts w:cstheme="minorHAnsi"/>
          <w:szCs w:val="24"/>
        </w:rPr>
        <w:tab/>
        <w:t>Il a été proposé que le GCR crée un groupe de travail par correspondance pour examiner les contributions de l</w:t>
      </w:r>
      <w:r w:rsidR="004A67B4">
        <w:rPr>
          <w:rFonts w:cstheme="minorHAnsi"/>
          <w:szCs w:val="24"/>
        </w:rPr>
        <w:t>'</w:t>
      </w:r>
      <w:r w:rsidRPr="00CD2992">
        <w:rPr>
          <w:rFonts w:cstheme="minorHAnsi"/>
          <w:szCs w:val="24"/>
        </w:rPr>
        <w:t>UIT-R au Plan stratégique de l</w:t>
      </w:r>
      <w:r w:rsidR="004A67B4">
        <w:rPr>
          <w:rFonts w:cstheme="minorHAnsi"/>
          <w:szCs w:val="24"/>
        </w:rPr>
        <w:t>'</w:t>
      </w:r>
      <w:r w:rsidRPr="00CD2992">
        <w:rPr>
          <w:rFonts w:cstheme="minorHAnsi"/>
          <w:szCs w:val="24"/>
        </w:rPr>
        <w:t xml:space="preserve">Union. Le Secrétariat transmettrait cette proposition au Président du GCR et fournirait un appui pour la création du </w:t>
      </w:r>
      <w:r w:rsidR="00B34790">
        <w:rPr>
          <w:rFonts w:cstheme="minorHAnsi"/>
          <w:szCs w:val="24"/>
        </w:rPr>
        <w:t>G</w:t>
      </w:r>
      <w:r w:rsidRPr="00CD2992">
        <w:rPr>
          <w:rFonts w:cstheme="minorHAnsi"/>
          <w:szCs w:val="24"/>
        </w:rPr>
        <w:t>roupe.</w:t>
      </w:r>
    </w:p>
    <w:p w:rsidR="00573D63" w:rsidRPr="00CD2992" w:rsidRDefault="00573D63" w:rsidP="00805BB9">
      <w:pPr>
        <w:snapToGrid w:val="0"/>
        <w:spacing w:after="120"/>
        <w:jc w:val="both"/>
        <w:rPr>
          <w:rFonts w:cstheme="minorHAnsi"/>
          <w:szCs w:val="24"/>
        </w:rPr>
      </w:pPr>
      <w:r w:rsidRPr="00CD2992">
        <w:rPr>
          <w:rFonts w:cstheme="minorHAnsi"/>
          <w:szCs w:val="24"/>
        </w:rPr>
        <w:t>7.3</w:t>
      </w:r>
      <w:r w:rsidRPr="00CD2992">
        <w:rPr>
          <w:rFonts w:cstheme="minorHAnsi"/>
          <w:szCs w:val="24"/>
        </w:rPr>
        <w:tab/>
        <w:t>Il est ressorti des discussions qu</w:t>
      </w:r>
      <w:r w:rsidR="004A67B4">
        <w:rPr>
          <w:rFonts w:cstheme="minorHAnsi"/>
          <w:szCs w:val="24"/>
        </w:rPr>
        <w:t>'</w:t>
      </w:r>
      <w:r w:rsidRPr="00CD2992">
        <w:rPr>
          <w:rFonts w:cstheme="minorHAnsi"/>
          <w:szCs w:val="24"/>
        </w:rPr>
        <w:t>il était difficile d</w:t>
      </w:r>
      <w:r w:rsidR="004A67B4">
        <w:rPr>
          <w:rFonts w:cstheme="minorHAnsi"/>
          <w:szCs w:val="24"/>
        </w:rPr>
        <w:t>'</w:t>
      </w:r>
      <w:r w:rsidRPr="00CD2992">
        <w:rPr>
          <w:rFonts w:cstheme="minorHAnsi"/>
          <w:szCs w:val="24"/>
        </w:rPr>
        <w:t>établir</w:t>
      </w:r>
      <w:r w:rsidR="00A03768">
        <w:rPr>
          <w:rFonts w:cstheme="minorHAnsi"/>
          <w:szCs w:val="24"/>
        </w:rPr>
        <w:t xml:space="preserve"> une correspondance parfaite entre</w:t>
      </w:r>
      <w:r w:rsidRPr="00CD2992">
        <w:rPr>
          <w:rFonts w:cstheme="minorHAnsi"/>
          <w:szCs w:val="24"/>
        </w:rPr>
        <w:t xml:space="preserve"> le plan stratégique et</w:t>
      </w:r>
      <w:r w:rsidR="00A03768">
        <w:rPr>
          <w:rFonts w:cstheme="minorHAnsi"/>
          <w:szCs w:val="24"/>
        </w:rPr>
        <w:t xml:space="preserve"> les plans</w:t>
      </w:r>
      <w:r w:rsidRPr="00CD2992">
        <w:rPr>
          <w:rFonts w:cstheme="minorHAnsi"/>
          <w:szCs w:val="24"/>
        </w:rPr>
        <w:t xml:space="preserve"> opérationnels, les activités des bureaux étant différentes de celles des </w:t>
      </w:r>
      <w:r w:rsidR="00A03768">
        <w:rPr>
          <w:rFonts w:cstheme="minorHAnsi"/>
          <w:szCs w:val="24"/>
        </w:rPr>
        <w:t>S</w:t>
      </w:r>
      <w:r w:rsidRPr="00CD2992">
        <w:rPr>
          <w:rFonts w:cstheme="minorHAnsi"/>
          <w:szCs w:val="24"/>
        </w:rPr>
        <w:t>ecteurs, et qu</w:t>
      </w:r>
      <w:r w:rsidR="004A67B4">
        <w:rPr>
          <w:rFonts w:cstheme="minorHAnsi"/>
          <w:szCs w:val="24"/>
        </w:rPr>
        <w:t>'</w:t>
      </w:r>
      <w:r w:rsidRPr="00CD2992">
        <w:rPr>
          <w:rFonts w:cstheme="minorHAnsi"/>
          <w:szCs w:val="24"/>
        </w:rPr>
        <w:t xml:space="preserve">il était nécessaire de revoir les indicateurs de performance existants, en particulier ceux </w:t>
      </w:r>
      <w:r w:rsidR="00A03768">
        <w:rPr>
          <w:rFonts w:cstheme="minorHAnsi"/>
          <w:szCs w:val="24"/>
        </w:rPr>
        <w:t>relatifs</w:t>
      </w:r>
      <w:r w:rsidRPr="00CD2992">
        <w:rPr>
          <w:rFonts w:cstheme="minorHAnsi"/>
          <w:szCs w:val="24"/>
        </w:rPr>
        <w:t xml:space="preserve"> </w:t>
      </w:r>
      <w:r w:rsidR="00805BB9">
        <w:rPr>
          <w:rFonts w:cstheme="minorHAnsi"/>
          <w:szCs w:val="24"/>
        </w:rPr>
        <w:t>au</w:t>
      </w:r>
      <w:r w:rsidRPr="00CD2992">
        <w:rPr>
          <w:rFonts w:cstheme="minorHAnsi"/>
          <w:szCs w:val="24"/>
        </w:rPr>
        <w:t xml:space="preserve"> Règlement des radiocommunications.</w:t>
      </w:r>
    </w:p>
    <w:p w:rsidR="00573D63" w:rsidRPr="002D7FC6" w:rsidRDefault="002D7FC6" w:rsidP="002D7FC6">
      <w:pPr>
        <w:pStyle w:val="Heading1"/>
        <w:spacing w:before="360"/>
        <w:rPr>
          <w:rFonts w:cstheme="minorHAnsi"/>
          <w:b w:val="0"/>
          <w:bCs/>
          <w:sz w:val="24"/>
          <w:szCs w:val="24"/>
        </w:rPr>
      </w:pPr>
      <w:r w:rsidRPr="002D7FC6">
        <w:rPr>
          <w:rFonts w:cstheme="minorHAnsi"/>
          <w:bCs/>
          <w:sz w:val="24"/>
          <w:szCs w:val="24"/>
        </w:rPr>
        <w:t>8</w:t>
      </w:r>
      <w:r w:rsidRPr="002D7FC6">
        <w:rPr>
          <w:rFonts w:cstheme="minorHAnsi"/>
          <w:bCs/>
          <w:sz w:val="24"/>
          <w:szCs w:val="24"/>
        </w:rPr>
        <w:tab/>
      </w:r>
      <w:r w:rsidR="00573D63" w:rsidRPr="002D7FC6">
        <w:rPr>
          <w:rFonts w:cstheme="minorHAnsi"/>
          <w:bCs/>
          <w:sz w:val="24"/>
          <w:szCs w:val="24"/>
        </w:rPr>
        <w:t>Contribution du GCDT</w:t>
      </w:r>
    </w:p>
    <w:p w:rsidR="00573D63" w:rsidRPr="00CD2992" w:rsidRDefault="00573D63" w:rsidP="002D7FC6">
      <w:r w:rsidRPr="00CD2992">
        <w:t>8.1</w:t>
      </w:r>
      <w:r w:rsidRPr="00CD2992">
        <w:tab/>
        <w:t>Le Président du Groupe de travail par correspondance du GCDT sur le Plan stratégique, le Plan opérationnel et la Déclaration, M. Fabio Bigi, a expliqué le processus de préparation de la CMDT-17 en cours à l</w:t>
      </w:r>
      <w:r w:rsidR="004A67B4">
        <w:t>'</w:t>
      </w:r>
      <w:r w:rsidRPr="00CD2992">
        <w:t xml:space="preserve">UIT-D (document </w:t>
      </w:r>
      <w:hyperlink r:id="rId26" w:history="1">
        <w:r w:rsidRPr="00CD2992">
          <w:rPr>
            <w:rStyle w:val="Hyperlink"/>
            <w:rFonts w:cstheme="minorHAnsi"/>
            <w:szCs w:val="24"/>
          </w:rPr>
          <w:t>CWG-SFP-INF/1/4</w:t>
        </w:r>
      </w:hyperlink>
      <w:r w:rsidRPr="00CD2992">
        <w:t xml:space="preserve">). </w:t>
      </w:r>
    </w:p>
    <w:p w:rsidR="00573D63" w:rsidRPr="002D7FC6" w:rsidRDefault="002D7FC6" w:rsidP="002D7FC6">
      <w:pPr>
        <w:pStyle w:val="Heading1"/>
        <w:spacing w:before="360"/>
        <w:rPr>
          <w:rFonts w:cstheme="minorHAnsi"/>
          <w:b w:val="0"/>
          <w:bCs/>
          <w:sz w:val="24"/>
          <w:szCs w:val="24"/>
        </w:rPr>
      </w:pPr>
      <w:r w:rsidRPr="002D7FC6">
        <w:rPr>
          <w:rFonts w:cstheme="minorHAnsi"/>
          <w:bCs/>
          <w:sz w:val="24"/>
          <w:szCs w:val="24"/>
        </w:rPr>
        <w:t>9</w:t>
      </w:r>
      <w:r w:rsidRPr="002D7FC6">
        <w:rPr>
          <w:rFonts w:cstheme="minorHAnsi"/>
          <w:bCs/>
          <w:sz w:val="24"/>
          <w:szCs w:val="24"/>
        </w:rPr>
        <w:tab/>
      </w:r>
      <w:r w:rsidR="00573D63" w:rsidRPr="002D7FC6">
        <w:rPr>
          <w:rFonts w:cstheme="minorHAnsi"/>
          <w:bCs/>
          <w:sz w:val="24"/>
          <w:szCs w:val="24"/>
        </w:rPr>
        <w:t>Contribution du GCNT</w:t>
      </w:r>
    </w:p>
    <w:p w:rsidR="00573D63" w:rsidRPr="00CD2992" w:rsidRDefault="00573D63" w:rsidP="002D7FC6">
      <w:pPr>
        <w:snapToGrid w:val="0"/>
        <w:spacing w:after="120"/>
        <w:jc w:val="both"/>
        <w:rPr>
          <w:rFonts w:cstheme="minorHAnsi"/>
          <w:szCs w:val="24"/>
        </w:rPr>
      </w:pPr>
      <w:r w:rsidRPr="00CD2992">
        <w:rPr>
          <w:rFonts w:cstheme="minorHAnsi"/>
          <w:szCs w:val="24"/>
        </w:rPr>
        <w:t>9.1</w:t>
      </w:r>
      <w:r w:rsidRPr="00CD2992">
        <w:rPr>
          <w:rFonts w:cstheme="minorHAnsi"/>
          <w:szCs w:val="24"/>
        </w:rPr>
        <w:tab/>
        <w:t>Le Président du GCNT, M. Bruce Gracie, a informé le</w:t>
      </w:r>
      <w:r w:rsidR="002D7FC6">
        <w:rPr>
          <w:rFonts w:cstheme="minorHAnsi"/>
          <w:szCs w:val="24"/>
        </w:rPr>
        <w:t>s participants</w:t>
      </w:r>
      <w:r w:rsidRPr="00CD2992">
        <w:rPr>
          <w:rFonts w:cstheme="minorHAnsi"/>
          <w:szCs w:val="24"/>
        </w:rPr>
        <w:t xml:space="preserve"> des mécanismes</w:t>
      </w:r>
      <w:r w:rsidR="002D7FC6">
        <w:rPr>
          <w:rFonts w:cstheme="minorHAnsi"/>
          <w:szCs w:val="24"/>
        </w:rPr>
        <w:t xml:space="preserve"> existants pour contribuer</w:t>
      </w:r>
      <w:r w:rsidRPr="00CD2992">
        <w:rPr>
          <w:rFonts w:cstheme="minorHAnsi"/>
          <w:szCs w:val="24"/>
        </w:rPr>
        <w:t xml:space="preserve"> aux travaux du Groupe et fait part de sa volonté de </w:t>
      </w:r>
      <w:r w:rsidR="002D7FC6">
        <w:rPr>
          <w:rFonts w:cstheme="minorHAnsi"/>
          <w:szCs w:val="24"/>
        </w:rPr>
        <w:t>renforcer la</w:t>
      </w:r>
      <w:r w:rsidRPr="00CD2992">
        <w:rPr>
          <w:rFonts w:cstheme="minorHAnsi"/>
          <w:szCs w:val="24"/>
        </w:rPr>
        <w:t xml:space="preserve"> collaboration. Il a proposé que les initiatives menées dans le cadre de la stratégie de normalisation du GCNT soient prises en compt</w:t>
      </w:r>
      <w:r w:rsidR="002D7FC6">
        <w:rPr>
          <w:rFonts w:cstheme="minorHAnsi"/>
          <w:szCs w:val="24"/>
        </w:rPr>
        <w:t>e dans les travaux du Groupe GTC</w:t>
      </w:r>
      <w:r w:rsidRPr="00CD2992">
        <w:rPr>
          <w:rFonts w:cstheme="minorHAnsi"/>
          <w:szCs w:val="24"/>
        </w:rPr>
        <w:t>-SFP. Il a informé les participants que le Président du Groupe de travail par correspondance du GCNT était M. Victor Martínez Vanegas (Mexique).</w:t>
      </w:r>
    </w:p>
    <w:p w:rsidR="00573D63" w:rsidRPr="00CD2992" w:rsidRDefault="00573D63" w:rsidP="00FF6E7C">
      <w:pPr>
        <w:snapToGrid w:val="0"/>
        <w:spacing w:after="120"/>
        <w:jc w:val="both"/>
        <w:rPr>
          <w:rFonts w:cstheme="minorHAnsi"/>
          <w:szCs w:val="24"/>
        </w:rPr>
      </w:pPr>
      <w:r w:rsidRPr="00CD2992">
        <w:rPr>
          <w:rFonts w:cstheme="minorHAnsi"/>
          <w:szCs w:val="24"/>
        </w:rPr>
        <w:t>9.2</w:t>
      </w:r>
      <w:r w:rsidRPr="00CD2992">
        <w:rPr>
          <w:rFonts w:cstheme="minorHAnsi"/>
          <w:szCs w:val="24"/>
        </w:rPr>
        <w:tab/>
        <w:t>Le</w:t>
      </w:r>
      <w:r w:rsidR="00FF6E7C">
        <w:rPr>
          <w:rFonts w:cstheme="minorHAnsi"/>
          <w:szCs w:val="24"/>
        </w:rPr>
        <w:t>s membres du</w:t>
      </w:r>
      <w:r w:rsidRPr="00CD2992">
        <w:rPr>
          <w:rFonts w:cstheme="minorHAnsi"/>
          <w:szCs w:val="24"/>
        </w:rPr>
        <w:t xml:space="preserve"> Groupe </w:t>
      </w:r>
      <w:r w:rsidR="00FF6E7C">
        <w:rPr>
          <w:rFonts w:cstheme="minorHAnsi"/>
          <w:szCs w:val="24"/>
        </w:rPr>
        <w:t xml:space="preserve">sont </w:t>
      </w:r>
      <w:r w:rsidRPr="00CD2992">
        <w:rPr>
          <w:rFonts w:cstheme="minorHAnsi"/>
          <w:szCs w:val="24"/>
        </w:rPr>
        <w:t>convenu</w:t>
      </w:r>
      <w:r w:rsidR="00FF6E7C">
        <w:rPr>
          <w:rFonts w:cstheme="minorHAnsi"/>
          <w:szCs w:val="24"/>
        </w:rPr>
        <w:t>s</w:t>
      </w:r>
      <w:r w:rsidRPr="00CD2992">
        <w:rPr>
          <w:rFonts w:cstheme="minorHAnsi"/>
          <w:szCs w:val="24"/>
        </w:rPr>
        <w:t xml:space="preserve"> qu</w:t>
      </w:r>
      <w:r w:rsidR="004A67B4">
        <w:rPr>
          <w:rFonts w:cstheme="minorHAnsi"/>
          <w:szCs w:val="24"/>
        </w:rPr>
        <w:t>'</w:t>
      </w:r>
      <w:r w:rsidRPr="00CD2992">
        <w:rPr>
          <w:rFonts w:cstheme="minorHAnsi"/>
          <w:szCs w:val="24"/>
        </w:rPr>
        <w:t xml:space="preserve">une collaboration étroite et dynamique était nécessaire entre le Groupe </w:t>
      </w:r>
      <w:r w:rsidR="00FF6E7C">
        <w:rPr>
          <w:rFonts w:cstheme="minorHAnsi"/>
          <w:szCs w:val="24"/>
        </w:rPr>
        <w:t>GTC</w:t>
      </w:r>
      <w:r w:rsidRPr="00CD2992">
        <w:rPr>
          <w:rFonts w:cstheme="minorHAnsi"/>
          <w:szCs w:val="24"/>
        </w:rPr>
        <w:t xml:space="preserve">-SFP, le groupe </w:t>
      </w:r>
      <w:r w:rsidR="00FF6E7C">
        <w:rPr>
          <w:rFonts w:cstheme="minorHAnsi"/>
          <w:szCs w:val="24"/>
        </w:rPr>
        <w:t xml:space="preserve">créé au sein du </w:t>
      </w:r>
      <w:r w:rsidRPr="00CD2992">
        <w:rPr>
          <w:rFonts w:cstheme="minorHAnsi"/>
          <w:szCs w:val="24"/>
        </w:rPr>
        <w:t xml:space="preserve">Secrétariat et </w:t>
      </w:r>
      <w:r w:rsidR="00FF6E7C">
        <w:rPr>
          <w:rFonts w:cstheme="minorHAnsi"/>
          <w:szCs w:val="24"/>
        </w:rPr>
        <w:t xml:space="preserve">tous les </w:t>
      </w:r>
      <w:r w:rsidRPr="00CD2992">
        <w:rPr>
          <w:rFonts w:cstheme="minorHAnsi"/>
          <w:szCs w:val="24"/>
        </w:rPr>
        <w:t>groupes consultatifs et groupes de travail par correspondance d</w:t>
      </w:r>
      <w:r w:rsidR="00FF6E7C">
        <w:rPr>
          <w:rFonts w:cstheme="minorHAnsi"/>
          <w:szCs w:val="24"/>
        </w:rPr>
        <w:t>es</w:t>
      </w:r>
      <w:r w:rsidRPr="00CD2992">
        <w:rPr>
          <w:rFonts w:cstheme="minorHAnsi"/>
          <w:szCs w:val="24"/>
        </w:rPr>
        <w:t xml:space="preserve"> Secteur</w:t>
      </w:r>
      <w:r w:rsidR="00FF6E7C">
        <w:rPr>
          <w:rFonts w:cstheme="minorHAnsi"/>
          <w:szCs w:val="24"/>
        </w:rPr>
        <w:t>s</w:t>
      </w:r>
      <w:r w:rsidRPr="00CD2992">
        <w:rPr>
          <w:rFonts w:cstheme="minorHAnsi"/>
          <w:szCs w:val="24"/>
        </w:rPr>
        <w:t>.</w:t>
      </w:r>
    </w:p>
    <w:p w:rsidR="00573D63" w:rsidRPr="00F577D3" w:rsidRDefault="00573D63" w:rsidP="00235271">
      <w:pPr>
        <w:snapToGrid w:val="0"/>
        <w:spacing w:after="120"/>
        <w:jc w:val="both"/>
        <w:rPr>
          <w:rFonts w:cstheme="minorHAnsi"/>
          <w:spacing w:val="-2"/>
          <w:szCs w:val="24"/>
        </w:rPr>
      </w:pPr>
      <w:r w:rsidRPr="00CD2992">
        <w:rPr>
          <w:rFonts w:cstheme="minorHAnsi"/>
          <w:szCs w:val="24"/>
        </w:rPr>
        <w:t>9.3</w:t>
      </w:r>
      <w:r w:rsidRPr="00CD2992">
        <w:rPr>
          <w:rFonts w:cstheme="minorHAnsi"/>
          <w:szCs w:val="24"/>
        </w:rPr>
        <w:tab/>
        <w:t>Le Président a rappelé aux participants que le projet de Plan stratégique et le projet de Plan financier seraient élaborés au bout du compte par le Secrétariat à partir des contributions des membres, des consultations publiques,</w:t>
      </w:r>
      <w:r w:rsidR="00235271">
        <w:rPr>
          <w:rFonts w:cstheme="minorHAnsi"/>
          <w:szCs w:val="24"/>
        </w:rPr>
        <w:t xml:space="preserve"> et des travaux</w:t>
      </w:r>
      <w:r w:rsidRPr="00CD2992">
        <w:rPr>
          <w:rFonts w:cstheme="minorHAnsi"/>
          <w:szCs w:val="24"/>
        </w:rPr>
        <w:t xml:space="preserve"> du Groupe </w:t>
      </w:r>
      <w:r w:rsidR="00235271">
        <w:rPr>
          <w:rFonts w:cstheme="minorHAnsi"/>
          <w:szCs w:val="24"/>
        </w:rPr>
        <w:t>GTC</w:t>
      </w:r>
      <w:r w:rsidRPr="00CD2992">
        <w:rPr>
          <w:rFonts w:cstheme="minorHAnsi"/>
          <w:szCs w:val="24"/>
        </w:rPr>
        <w:t xml:space="preserve">-SFP et des groupes </w:t>
      </w:r>
      <w:r w:rsidRPr="00F577D3">
        <w:rPr>
          <w:rFonts w:cstheme="minorHAnsi"/>
          <w:spacing w:val="-2"/>
          <w:szCs w:val="24"/>
        </w:rPr>
        <w:t>consultatifs d</w:t>
      </w:r>
      <w:r w:rsidR="00235271" w:rsidRPr="00F577D3">
        <w:rPr>
          <w:rFonts w:cstheme="minorHAnsi"/>
          <w:spacing w:val="-2"/>
          <w:szCs w:val="24"/>
        </w:rPr>
        <w:t>es</w:t>
      </w:r>
      <w:r w:rsidRPr="00F577D3">
        <w:rPr>
          <w:rFonts w:cstheme="minorHAnsi"/>
          <w:spacing w:val="-2"/>
          <w:szCs w:val="24"/>
        </w:rPr>
        <w:t xml:space="preserve"> Secteur</w:t>
      </w:r>
      <w:r w:rsidR="00235271" w:rsidRPr="00F577D3">
        <w:rPr>
          <w:rFonts w:cstheme="minorHAnsi"/>
          <w:spacing w:val="-2"/>
          <w:szCs w:val="24"/>
        </w:rPr>
        <w:t>s</w:t>
      </w:r>
      <w:r w:rsidRPr="00F577D3">
        <w:rPr>
          <w:rFonts w:cstheme="minorHAnsi"/>
          <w:spacing w:val="-2"/>
          <w:szCs w:val="24"/>
        </w:rPr>
        <w:t>, et a donc demandé aux participants d</w:t>
      </w:r>
      <w:r w:rsidR="004A67B4">
        <w:rPr>
          <w:rFonts w:cstheme="minorHAnsi"/>
          <w:spacing w:val="-2"/>
          <w:szCs w:val="24"/>
        </w:rPr>
        <w:t>'</w:t>
      </w:r>
      <w:r w:rsidRPr="00F577D3">
        <w:rPr>
          <w:rFonts w:cstheme="minorHAnsi"/>
          <w:spacing w:val="-2"/>
          <w:szCs w:val="24"/>
        </w:rPr>
        <w:t xml:space="preserve">utiliser tous les moyens à leur disposition pour faire en sorte que leurs propositions soient prises en </w:t>
      </w:r>
      <w:r w:rsidR="00235271" w:rsidRPr="00F577D3">
        <w:rPr>
          <w:rFonts w:cstheme="minorHAnsi"/>
          <w:spacing w:val="-2"/>
          <w:szCs w:val="24"/>
        </w:rPr>
        <w:t>compte dans les projets de plan</w:t>
      </w:r>
      <w:r w:rsidRPr="00F577D3">
        <w:rPr>
          <w:rFonts w:cstheme="minorHAnsi"/>
          <w:spacing w:val="-2"/>
          <w:szCs w:val="24"/>
        </w:rPr>
        <w:t>.</w:t>
      </w:r>
    </w:p>
    <w:p w:rsidR="00573D63" w:rsidRPr="00EE0E04" w:rsidRDefault="00EE0E04" w:rsidP="00EE0E04">
      <w:pPr>
        <w:pStyle w:val="Heading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</w:t>
      </w:r>
      <w:r>
        <w:rPr>
          <w:rFonts w:cstheme="minorHAnsi"/>
          <w:bCs/>
          <w:sz w:val="24"/>
          <w:szCs w:val="24"/>
        </w:rPr>
        <w:tab/>
      </w:r>
      <w:r w:rsidR="00573D63" w:rsidRPr="00EE0E04">
        <w:rPr>
          <w:rFonts w:cstheme="minorHAnsi"/>
          <w:bCs/>
          <w:sz w:val="24"/>
          <w:szCs w:val="24"/>
        </w:rPr>
        <w:t xml:space="preserve">Thème de la première consultation publique du Groupe </w:t>
      </w:r>
      <w:r>
        <w:rPr>
          <w:rFonts w:cstheme="minorHAnsi"/>
          <w:bCs/>
          <w:sz w:val="24"/>
          <w:szCs w:val="24"/>
        </w:rPr>
        <w:t>GTC</w:t>
      </w:r>
      <w:r w:rsidR="00573D63" w:rsidRPr="00EE0E04">
        <w:rPr>
          <w:rFonts w:cstheme="minorHAnsi"/>
          <w:bCs/>
          <w:sz w:val="24"/>
          <w:szCs w:val="24"/>
        </w:rPr>
        <w:t>-SFP (</w:t>
      </w:r>
      <w:hyperlink r:id="rId27" w:history="1">
        <w:r w:rsidR="00573D63" w:rsidRPr="00EE0E04">
          <w:rPr>
            <w:rStyle w:val="Hyperlink"/>
            <w:sz w:val="24"/>
            <w:szCs w:val="24"/>
          </w:rPr>
          <w:t>CWG-SFP-1/4</w:t>
        </w:r>
      </w:hyperlink>
      <w:r w:rsidR="00573D63" w:rsidRPr="00EE0E04">
        <w:rPr>
          <w:rStyle w:val="Hyperlink"/>
          <w:sz w:val="24"/>
          <w:szCs w:val="24"/>
        </w:rPr>
        <w:t>)</w:t>
      </w:r>
    </w:p>
    <w:p w:rsidR="00573D63" w:rsidRPr="00CD2992" w:rsidRDefault="00EE0E04" w:rsidP="00805BB9">
      <w:r>
        <w:t>10.1</w:t>
      </w:r>
      <w:r>
        <w:tab/>
      </w:r>
      <w:r w:rsidR="00573D63" w:rsidRPr="00CD2992">
        <w:t xml:space="preserve">Le Secrétariat a proposé un ensemble de questions à poser lors de la première </w:t>
      </w:r>
      <w:r w:rsidR="00805BB9">
        <w:t>consultation publique, qui sera</w:t>
      </w:r>
      <w:r w:rsidR="00573D63" w:rsidRPr="00CD2992">
        <w:t xml:space="preserve"> ouverte de la session de 2017 du Conseil à la fin du mois de juin. </w:t>
      </w:r>
    </w:p>
    <w:p w:rsidR="00573D63" w:rsidRPr="00CD2992" w:rsidRDefault="00EE0E04" w:rsidP="00EE0E04">
      <w:r>
        <w:t>10.2</w:t>
      </w:r>
      <w:r>
        <w:tab/>
      </w:r>
      <w:r w:rsidR="00573D63" w:rsidRPr="00CD2992">
        <w:t xml:space="preserve">Le Groupe est convenu de </w:t>
      </w:r>
      <w:r>
        <w:t>prévoir</w:t>
      </w:r>
      <w:r w:rsidR="00573D63" w:rsidRPr="00CD2992">
        <w:t xml:space="preserve"> au moins 30 jours </w:t>
      </w:r>
      <w:r>
        <w:t xml:space="preserve">pour </w:t>
      </w:r>
      <w:r w:rsidR="00573D63" w:rsidRPr="00CD2992">
        <w:t xml:space="preserve">chacune des trois consultations publiques </w:t>
      </w:r>
      <w:r>
        <w:t>qu</w:t>
      </w:r>
      <w:r w:rsidR="004A67B4">
        <w:t>'</w:t>
      </w:r>
      <w:r>
        <w:t>il organisera</w:t>
      </w:r>
      <w:r w:rsidR="00573D63" w:rsidRPr="00CD2992">
        <w:t xml:space="preserve"> après sa première, sa deuxième et sa troisième réunion.</w:t>
      </w:r>
    </w:p>
    <w:p w:rsidR="00573D63" w:rsidRPr="00CD2992" w:rsidRDefault="00004BFC" w:rsidP="00004BFC">
      <w:r>
        <w:t>10.3</w:t>
      </w:r>
      <w:r>
        <w:tab/>
      </w:r>
      <w:r w:rsidR="00573D63" w:rsidRPr="00CD2992">
        <w:t>Le</w:t>
      </w:r>
      <w:r>
        <w:t>s membres du</w:t>
      </w:r>
      <w:r w:rsidR="00573D63" w:rsidRPr="00CD2992">
        <w:t xml:space="preserve"> Groupe </w:t>
      </w:r>
      <w:r>
        <w:t>ont</w:t>
      </w:r>
      <w:r w:rsidR="00573D63" w:rsidRPr="00CD2992">
        <w:t xml:space="preserve"> demandé au Président </w:t>
      </w:r>
      <w:r>
        <w:t>de prendre l</w:t>
      </w:r>
      <w:r w:rsidR="004A67B4">
        <w:t>'</w:t>
      </w:r>
      <w:r>
        <w:t xml:space="preserve">avis de </w:t>
      </w:r>
      <w:r w:rsidR="00573D63" w:rsidRPr="00CD2992">
        <w:t>toutes les parties intéressées et de mettre au point la version finale des questions.</w:t>
      </w:r>
    </w:p>
    <w:p w:rsidR="00573D63" w:rsidRPr="00CD2992" w:rsidRDefault="00004BFC" w:rsidP="00805BB9">
      <w:r>
        <w:t>10.4</w:t>
      </w:r>
      <w:r>
        <w:tab/>
        <w:t>A l</w:t>
      </w:r>
      <w:r w:rsidR="004A67B4">
        <w:t>'</w:t>
      </w:r>
      <w:r>
        <w:t xml:space="preserve">issue des </w:t>
      </w:r>
      <w:r w:rsidR="00805BB9">
        <w:t>consultations</w:t>
      </w:r>
      <w:r w:rsidR="00573D63" w:rsidRPr="00CD2992">
        <w:t xml:space="preserve">, le Président </w:t>
      </w:r>
      <w:r>
        <w:t xml:space="preserve">propose que </w:t>
      </w:r>
      <w:r w:rsidR="00573D63" w:rsidRPr="00CD2992">
        <w:t xml:space="preserve">la Résolution 71 </w:t>
      </w:r>
      <w:r>
        <w:t>soit le</w:t>
      </w:r>
      <w:r w:rsidR="00573D63" w:rsidRPr="00CD2992">
        <w:t xml:space="preserve"> document de référence pour la première consultation publique, et </w:t>
      </w:r>
      <w:r>
        <w:t>que</w:t>
      </w:r>
      <w:r w:rsidR="00573D63" w:rsidRPr="00CD2992">
        <w:t xml:space="preserve"> les questions</w:t>
      </w:r>
      <w:r>
        <w:t xml:space="preserve"> posées soient les</w:t>
      </w:r>
      <w:r w:rsidR="00573D63" w:rsidRPr="00CD2992">
        <w:t xml:space="preserve"> suivantes:</w:t>
      </w:r>
    </w:p>
    <w:p w:rsidR="00573D63" w:rsidRPr="00004BFC" w:rsidRDefault="00004BFC" w:rsidP="00004BFC">
      <w:pPr>
        <w:pStyle w:val="enumlev1"/>
        <w:rPr>
          <w:i/>
          <w:iCs/>
        </w:rPr>
      </w:pPr>
      <w:r w:rsidRPr="00004BFC">
        <w:t>•</w:t>
      </w:r>
      <w:r>
        <w:rPr>
          <w:i/>
          <w:iCs/>
        </w:rPr>
        <w:tab/>
      </w:r>
      <w:r w:rsidR="00573D63" w:rsidRPr="00004BFC">
        <w:rPr>
          <w:i/>
          <w:iCs/>
        </w:rPr>
        <w:t>Quelles devraient être les priorités stratégiques essentielle</w:t>
      </w:r>
      <w:r>
        <w:rPr>
          <w:i/>
          <w:iCs/>
        </w:rPr>
        <w:t>s de l</w:t>
      </w:r>
      <w:r w:rsidR="004A67B4">
        <w:rPr>
          <w:i/>
          <w:iCs/>
        </w:rPr>
        <w:t>'</w:t>
      </w:r>
      <w:r>
        <w:rPr>
          <w:i/>
          <w:iCs/>
        </w:rPr>
        <w:t>UIT pour la période 2020</w:t>
      </w:r>
      <w:r>
        <w:rPr>
          <w:i/>
          <w:iCs/>
        </w:rPr>
        <w:noBreakHyphen/>
      </w:r>
      <w:r w:rsidR="00573D63" w:rsidRPr="00004BFC">
        <w:rPr>
          <w:i/>
          <w:iCs/>
        </w:rPr>
        <w:t>2023, compte tenu du Programme de développement durable à l</w:t>
      </w:r>
      <w:r w:rsidR="004A67B4">
        <w:rPr>
          <w:i/>
          <w:iCs/>
        </w:rPr>
        <w:t>'</w:t>
      </w:r>
      <w:r w:rsidR="00573D63" w:rsidRPr="00004BFC">
        <w:rPr>
          <w:i/>
          <w:iCs/>
        </w:rPr>
        <w:t>horizon 2030 et des Objectifs de développement durable</w:t>
      </w:r>
      <w:r>
        <w:rPr>
          <w:i/>
          <w:iCs/>
        </w:rPr>
        <w:t xml:space="preserve"> définis par l</w:t>
      </w:r>
      <w:r w:rsidRPr="00004BFC">
        <w:rPr>
          <w:i/>
          <w:iCs/>
        </w:rPr>
        <w:t>es Nations Unies</w:t>
      </w:r>
      <w:r w:rsidR="00573D63" w:rsidRPr="00004BFC">
        <w:rPr>
          <w:i/>
          <w:iCs/>
        </w:rPr>
        <w:t>?</w:t>
      </w:r>
    </w:p>
    <w:p w:rsidR="00573D63" w:rsidRPr="00004BFC" w:rsidRDefault="00004BFC" w:rsidP="00004BFC">
      <w:pPr>
        <w:pStyle w:val="enumlev1"/>
        <w:rPr>
          <w:i/>
          <w:iCs/>
        </w:rPr>
      </w:pPr>
      <w:r w:rsidRPr="00004BFC">
        <w:t>•</w:t>
      </w:r>
      <w:r>
        <w:tab/>
      </w:r>
      <w:r w:rsidR="00573D63" w:rsidRPr="00004BFC">
        <w:rPr>
          <w:i/>
          <w:iCs/>
        </w:rPr>
        <w:t>Quelles sont les principales tendances en matière de technologie que l</w:t>
      </w:r>
      <w:r w:rsidR="004A67B4">
        <w:rPr>
          <w:i/>
          <w:iCs/>
        </w:rPr>
        <w:t>'</w:t>
      </w:r>
      <w:r w:rsidR="00573D63" w:rsidRPr="00004BFC">
        <w:rPr>
          <w:i/>
          <w:iCs/>
        </w:rPr>
        <w:t>UIT devrait prendre en considération pour planifier sa stratégie?</w:t>
      </w:r>
    </w:p>
    <w:p w:rsidR="00573D63" w:rsidRPr="00004BFC" w:rsidRDefault="00004BFC" w:rsidP="00004BFC">
      <w:pPr>
        <w:pStyle w:val="enumlev1"/>
        <w:rPr>
          <w:i/>
          <w:iCs/>
        </w:rPr>
      </w:pPr>
      <w:r w:rsidRPr="00004BFC">
        <w:t>•</w:t>
      </w:r>
      <w:r>
        <w:tab/>
      </w:r>
      <w:r w:rsidR="00573D63" w:rsidRPr="00004BFC">
        <w:rPr>
          <w:i/>
          <w:iCs/>
        </w:rPr>
        <w:t>Quels sont selon vous les trois plus grands défis que l</w:t>
      </w:r>
      <w:r w:rsidR="004A67B4">
        <w:rPr>
          <w:i/>
          <w:iCs/>
        </w:rPr>
        <w:t>'</w:t>
      </w:r>
      <w:r w:rsidR="00573D63" w:rsidRPr="00004BFC">
        <w:rPr>
          <w:i/>
          <w:iCs/>
        </w:rPr>
        <w:t xml:space="preserve">UIT devra relever et les trois réalisations majeures </w:t>
      </w:r>
      <w:r>
        <w:rPr>
          <w:i/>
          <w:iCs/>
        </w:rPr>
        <w:t>auxquelles</w:t>
      </w:r>
      <w:r w:rsidR="00573D63" w:rsidRPr="00004BFC">
        <w:rPr>
          <w:i/>
          <w:iCs/>
        </w:rPr>
        <w:t xml:space="preserve"> vous aimeriez que l</w:t>
      </w:r>
      <w:r w:rsidR="004A67B4">
        <w:rPr>
          <w:i/>
          <w:iCs/>
        </w:rPr>
        <w:t>'</w:t>
      </w:r>
      <w:r w:rsidR="00573D63" w:rsidRPr="00004BFC">
        <w:rPr>
          <w:i/>
          <w:iCs/>
        </w:rPr>
        <w:t xml:space="preserve">Union </w:t>
      </w:r>
      <w:r>
        <w:rPr>
          <w:i/>
          <w:iCs/>
        </w:rPr>
        <w:t>parvienne</w:t>
      </w:r>
      <w:r w:rsidR="00573D63" w:rsidRPr="00004BFC">
        <w:rPr>
          <w:i/>
          <w:iCs/>
        </w:rPr>
        <w:t xml:space="preserve"> pendant la période 2020-2023?</w:t>
      </w:r>
    </w:p>
    <w:p w:rsidR="00573D63" w:rsidRPr="00CD2992" w:rsidRDefault="00004BFC" w:rsidP="00004BFC">
      <w:pPr>
        <w:pStyle w:val="enumlev1"/>
      </w:pPr>
      <w:r w:rsidRPr="00004BFC">
        <w:t>•</w:t>
      </w:r>
      <w:r>
        <w:tab/>
      </w:r>
      <w:r w:rsidR="00573D63" w:rsidRPr="00004BFC">
        <w:rPr>
          <w:i/>
          <w:iCs/>
        </w:rPr>
        <w:t>Avez-vous d</w:t>
      </w:r>
      <w:r w:rsidR="004A67B4">
        <w:rPr>
          <w:i/>
          <w:iCs/>
        </w:rPr>
        <w:t>'</w:t>
      </w:r>
      <w:r w:rsidR="00573D63" w:rsidRPr="00004BFC">
        <w:rPr>
          <w:i/>
          <w:iCs/>
        </w:rPr>
        <w:t>autres</w:t>
      </w:r>
      <w:r w:rsidR="00573D63" w:rsidRPr="00B34790">
        <w:rPr>
          <w:i/>
          <w:iCs/>
        </w:rPr>
        <w:t xml:space="preserve"> remarques ou commentaires à formuler?</w:t>
      </w:r>
    </w:p>
    <w:p w:rsidR="00573D63" w:rsidRPr="00805BB9" w:rsidRDefault="00805BB9" w:rsidP="00805BB9">
      <w:pPr>
        <w:pStyle w:val="Heading1"/>
        <w:spacing w:before="360"/>
        <w:rPr>
          <w:sz w:val="24"/>
          <w:szCs w:val="24"/>
        </w:rPr>
      </w:pPr>
      <w:r>
        <w:rPr>
          <w:sz w:val="24"/>
          <w:szCs w:val="24"/>
        </w:rPr>
        <w:t>1</w:t>
      </w:r>
      <w:r w:rsidR="00B34790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573D63" w:rsidRPr="00805BB9">
        <w:rPr>
          <w:sz w:val="24"/>
          <w:szCs w:val="24"/>
        </w:rPr>
        <w:t xml:space="preserve">Prochaine réunion </w:t>
      </w:r>
    </w:p>
    <w:p w:rsidR="00573D63" w:rsidRPr="00CD2992" w:rsidRDefault="00573D63" w:rsidP="00805BB9">
      <w:pPr>
        <w:rPr>
          <w:b/>
          <w:bCs/>
        </w:rPr>
      </w:pPr>
      <w:r w:rsidRPr="00CD2992">
        <w:t>11.1</w:t>
      </w:r>
      <w:r w:rsidRPr="00CD2992">
        <w:tab/>
        <w:t xml:space="preserve">La prochaine </w:t>
      </w:r>
      <w:r w:rsidR="00004BFC">
        <w:t>réunion du Groupe GTC</w:t>
      </w:r>
      <w:r w:rsidRPr="00CD2992">
        <w:t>-SFP se tiendra pendant la p</w:t>
      </w:r>
      <w:r w:rsidR="00004BFC">
        <w:t>rochaine série de réunions des G</w:t>
      </w:r>
      <w:r w:rsidRPr="00CD2992">
        <w:t>roupes de travail du Conseil, en septembre 2017.</w:t>
      </w:r>
    </w:p>
    <w:p w:rsidR="00004BFC" w:rsidRDefault="00004BFC" w:rsidP="0032202E">
      <w:pPr>
        <w:pStyle w:val="Reasons"/>
      </w:pPr>
    </w:p>
    <w:p w:rsidR="00BE67AE" w:rsidRDefault="00BE67AE" w:rsidP="0032202E">
      <w:pPr>
        <w:pStyle w:val="Reasons"/>
      </w:pPr>
    </w:p>
    <w:p w:rsidR="00004BFC" w:rsidRDefault="00004BFC">
      <w:pPr>
        <w:jc w:val="center"/>
      </w:pPr>
      <w:r>
        <w:t>______________</w:t>
      </w:r>
    </w:p>
    <w:sectPr w:rsidR="00004BFC" w:rsidSect="00B03D90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B0" w:rsidRDefault="00AC3BB0">
      <w:r>
        <w:separator/>
      </w:r>
    </w:p>
  </w:endnote>
  <w:endnote w:type="continuationSeparator" w:id="0">
    <w:p w:rsidR="00AC3BB0" w:rsidRDefault="00AC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345643" w:rsidRDefault="00ED4DDF">
    <w:pPr>
      <w:pStyle w:val="Footer"/>
      <w:rPr>
        <w:lang w:val="it-IT"/>
      </w:rPr>
    </w:pPr>
    <w:r>
      <w:fldChar w:fldCharType="begin"/>
    </w:r>
    <w:r w:rsidRPr="00345643">
      <w:rPr>
        <w:lang w:val="it-IT"/>
      </w:rPr>
      <w:instrText xml:space="preserve"> FILENAME \p \* MERGEFORMAT </w:instrText>
    </w:r>
    <w:r>
      <w:fldChar w:fldCharType="separate"/>
    </w:r>
    <w:r w:rsidR="001D5A5D" w:rsidRPr="00345643">
      <w:rPr>
        <w:lang w:val="it-IT"/>
      </w:rPr>
      <w:t>P:\FRA\SG\CONSEIL\C17\000\004F.docx</w:t>
    </w:r>
    <w:r>
      <w:fldChar w:fldCharType="end"/>
    </w:r>
    <w:r w:rsidR="001A6508" w:rsidRPr="00345643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63B7E">
      <w:t>16.08.17</w:t>
    </w:r>
    <w:r w:rsidR="002F1B76">
      <w:fldChar w:fldCharType="end"/>
    </w:r>
    <w:r w:rsidR="001A6508" w:rsidRPr="00345643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D5A5D">
      <w:t>10.05.17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43" w:rsidRPr="00345643" w:rsidRDefault="00345643" w:rsidP="00B03D90">
    <w:pPr>
      <w:pStyle w:val="Footer"/>
      <w:rPr>
        <w:lang w:val="it-IT"/>
      </w:rPr>
    </w:pPr>
    <w:r>
      <w:fldChar w:fldCharType="begin"/>
    </w:r>
    <w:r w:rsidRPr="00345643">
      <w:rPr>
        <w:lang w:val="it-IT"/>
      </w:rPr>
      <w:instrText xml:space="preserve"> FILENAME \p \* MERGEFORMAT </w:instrText>
    </w:r>
    <w:r>
      <w:fldChar w:fldCharType="separate"/>
    </w:r>
    <w:r w:rsidR="00074AA2">
      <w:rPr>
        <w:lang w:val="it-IT"/>
      </w:rPr>
      <w:t>P:\FRA\SG\CONSEIL\C17\100\123F.docx</w:t>
    </w:r>
    <w:r>
      <w:fldChar w:fldCharType="end"/>
    </w:r>
    <w:r w:rsidR="00292969">
      <w:rPr>
        <w:lang w:val="it-IT"/>
      </w:rPr>
      <w:t xml:space="preserve"> (419278)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B0" w:rsidRDefault="00AC3BB0">
      <w:r>
        <w:t>____________________</w:t>
      </w:r>
    </w:p>
  </w:footnote>
  <w:footnote w:type="continuationSeparator" w:id="0">
    <w:p w:rsidR="00AC3BB0" w:rsidRDefault="00AC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t>2</w:t>
    </w:r>
    <w:r w:rsidR="00C27A7C"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63B7E">
      <w:rPr>
        <w:noProof/>
      </w:rPr>
      <w:t>5</w:t>
    </w:r>
    <w:r>
      <w:fldChar w:fldCharType="end"/>
    </w:r>
  </w:p>
  <w:p w:rsidR="00732045" w:rsidRDefault="00345643" w:rsidP="00074AA2">
    <w:pPr>
      <w:pStyle w:val="Header"/>
    </w:pPr>
    <w:r>
      <w:t>C17/</w:t>
    </w:r>
    <w:r w:rsidR="00074AA2">
      <w:t>123</w:t>
    </w:r>
    <w:r w:rsidR="00732045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45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9E5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C5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E0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42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B07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EE99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FC2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4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380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31D"/>
    <w:multiLevelType w:val="multilevel"/>
    <w:tmpl w:val="C8D2A03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B73"/>
    <w:multiLevelType w:val="hybridMultilevel"/>
    <w:tmpl w:val="7346BD06"/>
    <w:lvl w:ilvl="0" w:tplc="E13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2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4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A9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49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83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2F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E4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ED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70C8"/>
    <w:multiLevelType w:val="multilevel"/>
    <w:tmpl w:val="1F10FE6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6A95"/>
    <w:multiLevelType w:val="hybridMultilevel"/>
    <w:tmpl w:val="95B6D95E"/>
    <w:lvl w:ilvl="0" w:tplc="3BE8C5EC">
      <w:start w:val="2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34421"/>
    <w:multiLevelType w:val="multilevel"/>
    <w:tmpl w:val="C8D2A03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0"/>
  </w:num>
  <w:num w:numId="5">
    <w:abstractNumId w:val="10"/>
  </w:num>
  <w:num w:numId="6">
    <w:abstractNumId w:val="16"/>
  </w:num>
  <w:num w:numId="7">
    <w:abstractNumId w:val="18"/>
  </w:num>
  <w:num w:numId="8">
    <w:abstractNumId w:val="15"/>
  </w:num>
  <w:num w:numId="9">
    <w:abstractNumId w:val="17"/>
  </w:num>
  <w:num w:numId="10">
    <w:abstractNumId w:val="11"/>
  </w:num>
  <w:num w:numId="11">
    <w:abstractNumId w:val="21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B0"/>
    <w:rsid w:val="0000236B"/>
    <w:rsid w:val="00004BFC"/>
    <w:rsid w:val="000370FF"/>
    <w:rsid w:val="000722A0"/>
    <w:rsid w:val="00074AA2"/>
    <w:rsid w:val="000D0D0A"/>
    <w:rsid w:val="000E45F8"/>
    <w:rsid w:val="00103163"/>
    <w:rsid w:val="00115D93"/>
    <w:rsid w:val="001247A8"/>
    <w:rsid w:val="001378C0"/>
    <w:rsid w:val="0018694A"/>
    <w:rsid w:val="001A3287"/>
    <w:rsid w:val="001A6508"/>
    <w:rsid w:val="001D49F1"/>
    <w:rsid w:val="001D4C31"/>
    <w:rsid w:val="001D5A5D"/>
    <w:rsid w:val="001E4D21"/>
    <w:rsid w:val="001E5BE5"/>
    <w:rsid w:val="00205EF4"/>
    <w:rsid w:val="00207CD1"/>
    <w:rsid w:val="002224C6"/>
    <w:rsid w:val="00232043"/>
    <w:rsid w:val="00235271"/>
    <w:rsid w:val="00240CB5"/>
    <w:rsid w:val="002477A2"/>
    <w:rsid w:val="00263A51"/>
    <w:rsid w:val="00267E02"/>
    <w:rsid w:val="00277AE3"/>
    <w:rsid w:val="00292969"/>
    <w:rsid w:val="002A3A6E"/>
    <w:rsid w:val="002A3EC1"/>
    <w:rsid w:val="002A5D44"/>
    <w:rsid w:val="002D7FC6"/>
    <w:rsid w:val="002E0BC4"/>
    <w:rsid w:val="002E3C1E"/>
    <w:rsid w:val="002E3E71"/>
    <w:rsid w:val="002F1B76"/>
    <w:rsid w:val="00345643"/>
    <w:rsid w:val="00355FF5"/>
    <w:rsid w:val="00361350"/>
    <w:rsid w:val="00375B9E"/>
    <w:rsid w:val="003A33F1"/>
    <w:rsid w:val="003F484F"/>
    <w:rsid w:val="004038CB"/>
    <w:rsid w:val="0040546F"/>
    <w:rsid w:val="0042404A"/>
    <w:rsid w:val="0044618F"/>
    <w:rsid w:val="00464550"/>
    <w:rsid w:val="0046769A"/>
    <w:rsid w:val="00475FB3"/>
    <w:rsid w:val="004A67B4"/>
    <w:rsid w:val="004C37A9"/>
    <w:rsid w:val="004F259E"/>
    <w:rsid w:val="00511F1D"/>
    <w:rsid w:val="00520F36"/>
    <w:rsid w:val="0052410C"/>
    <w:rsid w:val="00525978"/>
    <w:rsid w:val="00532A42"/>
    <w:rsid w:val="00540615"/>
    <w:rsid w:val="00540A6D"/>
    <w:rsid w:val="00542718"/>
    <w:rsid w:val="00545DD1"/>
    <w:rsid w:val="00563B7E"/>
    <w:rsid w:val="00571EEA"/>
    <w:rsid w:val="00573D63"/>
    <w:rsid w:val="00575417"/>
    <w:rsid w:val="005768E1"/>
    <w:rsid w:val="005A400C"/>
    <w:rsid w:val="005B1C85"/>
    <w:rsid w:val="005C3890"/>
    <w:rsid w:val="005F7BFE"/>
    <w:rsid w:val="00600017"/>
    <w:rsid w:val="006235CA"/>
    <w:rsid w:val="006433AB"/>
    <w:rsid w:val="006643AB"/>
    <w:rsid w:val="00673C33"/>
    <w:rsid w:val="00694EFF"/>
    <w:rsid w:val="006D73EE"/>
    <w:rsid w:val="006F6E8E"/>
    <w:rsid w:val="007210CD"/>
    <w:rsid w:val="00730450"/>
    <w:rsid w:val="00732045"/>
    <w:rsid w:val="007369DB"/>
    <w:rsid w:val="0078075D"/>
    <w:rsid w:val="007956C2"/>
    <w:rsid w:val="007A187E"/>
    <w:rsid w:val="007C72C2"/>
    <w:rsid w:val="007D4436"/>
    <w:rsid w:val="007D708B"/>
    <w:rsid w:val="007F257A"/>
    <w:rsid w:val="007F3665"/>
    <w:rsid w:val="00800037"/>
    <w:rsid w:val="00805BB9"/>
    <w:rsid w:val="00840924"/>
    <w:rsid w:val="00861D73"/>
    <w:rsid w:val="008A4E87"/>
    <w:rsid w:val="008D76E6"/>
    <w:rsid w:val="00904C8E"/>
    <w:rsid w:val="0092392D"/>
    <w:rsid w:val="0093234A"/>
    <w:rsid w:val="009569C2"/>
    <w:rsid w:val="009C307F"/>
    <w:rsid w:val="00A03768"/>
    <w:rsid w:val="00A136EF"/>
    <w:rsid w:val="00A2113E"/>
    <w:rsid w:val="00A23A51"/>
    <w:rsid w:val="00A24607"/>
    <w:rsid w:val="00A25CD3"/>
    <w:rsid w:val="00A261A4"/>
    <w:rsid w:val="00A82767"/>
    <w:rsid w:val="00A97329"/>
    <w:rsid w:val="00A974D2"/>
    <w:rsid w:val="00AA332F"/>
    <w:rsid w:val="00AA7BBB"/>
    <w:rsid w:val="00AB64A8"/>
    <w:rsid w:val="00AC0266"/>
    <w:rsid w:val="00AC3BB0"/>
    <w:rsid w:val="00AD24EC"/>
    <w:rsid w:val="00AE66E5"/>
    <w:rsid w:val="00B03D90"/>
    <w:rsid w:val="00B309F9"/>
    <w:rsid w:val="00B32B60"/>
    <w:rsid w:val="00B34790"/>
    <w:rsid w:val="00B61619"/>
    <w:rsid w:val="00BB4545"/>
    <w:rsid w:val="00BD2970"/>
    <w:rsid w:val="00BD5873"/>
    <w:rsid w:val="00BE67AE"/>
    <w:rsid w:val="00C04BE3"/>
    <w:rsid w:val="00C25D29"/>
    <w:rsid w:val="00C27A7C"/>
    <w:rsid w:val="00C3054C"/>
    <w:rsid w:val="00CA08ED"/>
    <w:rsid w:val="00CB5FC6"/>
    <w:rsid w:val="00CF183B"/>
    <w:rsid w:val="00CF5DD0"/>
    <w:rsid w:val="00D375CD"/>
    <w:rsid w:val="00D553A2"/>
    <w:rsid w:val="00D774D3"/>
    <w:rsid w:val="00D904E8"/>
    <w:rsid w:val="00DA08C3"/>
    <w:rsid w:val="00DB5A3E"/>
    <w:rsid w:val="00DC22AA"/>
    <w:rsid w:val="00DC3CE1"/>
    <w:rsid w:val="00DF74DD"/>
    <w:rsid w:val="00E25AD0"/>
    <w:rsid w:val="00E66885"/>
    <w:rsid w:val="00EB6350"/>
    <w:rsid w:val="00ED4DDF"/>
    <w:rsid w:val="00EE0E04"/>
    <w:rsid w:val="00F00BFD"/>
    <w:rsid w:val="00F02C9F"/>
    <w:rsid w:val="00F15B57"/>
    <w:rsid w:val="00F427DB"/>
    <w:rsid w:val="00F577D3"/>
    <w:rsid w:val="00FA5EB1"/>
    <w:rsid w:val="00FA7439"/>
    <w:rsid w:val="00FC2A06"/>
    <w:rsid w:val="00FC4EC0"/>
    <w:rsid w:val="00FF018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BC07DC6-2B7A-417D-90B3-C2A2C54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qFormat/>
    <w:rsid w:val="006433AB"/>
    <w:pPr>
      <w:ind w:left="720"/>
      <w:contextualSpacing/>
    </w:pPr>
  </w:style>
  <w:style w:type="paragraph" w:customStyle="1" w:styleId="NormalJustified">
    <w:name w:val="Normal + Justified"/>
    <w:aliases w:val="Before:  8 pt,Line spacing:  Double"/>
    <w:basedOn w:val="Normal"/>
    <w:rsid w:val="002E3C1E"/>
    <w:pPr>
      <w:spacing w:before="160" w:line="480" w:lineRule="auto"/>
      <w:jc w:val="both"/>
    </w:pPr>
  </w:style>
  <w:style w:type="paragraph" w:customStyle="1" w:styleId="Heading10">
    <w:name w:val="Heading 1 +"/>
    <w:basedOn w:val="Heading1"/>
    <w:rsid w:val="00673C33"/>
    <w:rPr>
      <w:bCs/>
      <w:sz w:val="24"/>
      <w:szCs w:val="18"/>
    </w:rPr>
  </w:style>
  <w:style w:type="paragraph" w:styleId="BodyText">
    <w:name w:val="Body Text"/>
    <w:basedOn w:val="Normal"/>
    <w:link w:val="BodyTextChar"/>
    <w:rsid w:val="00904C8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="Arial" w:eastAsiaTheme="minorEastAsia" w:hAnsi="Arial" w:cs="Arial"/>
      <w:color w:val="333399"/>
      <w:sz w:val="22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904C8E"/>
    <w:rPr>
      <w:rFonts w:ascii="Arial" w:eastAsiaTheme="minorEastAsia" w:hAnsi="Arial" w:cs="Arial"/>
      <w:color w:val="333399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134/en" TargetMode="External"/><Relationship Id="rId18" Type="http://schemas.openxmlformats.org/officeDocument/2006/relationships/hyperlink" Target="https://www.itu.int/md/D14-TDAG22-C-0007/en" TargetMode="External"/><Relationship Id="rId26" Type="http://schemas.openxmlformats.org/officeDocument/2006/relationships/hyperlink" Target="https://www.itu.int/md/S17-CLCWGSPF1-INF-0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7-CLCWGSPF1-INF-000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17-CL-C-0111/en" TargetMode="External"/><Relationship Id="rId25" Type="http://schemas.openxmlformats.org/officeDocument/2006/relationships/hyperlink" Target="https://www.itu.int/md/S17-CLCWGSPF1-INF-000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17-CL-C-0039" TargetMode="External"/><Relationship Id="rId20" Type="http://schemas.openxmlformats.org/officeDocument/2006/relationships/hyperlink" Target="https://www.itu.int/md/S17-CLCWGSPF1-C-0001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CWG-SFP/Documents/resolution72.docx" TargetMode="External"/><Relationship Id="rId24" Type="http://schemas.openxmlformats.org/officeDocument/2006/relationships/hyperlink" Target="https://www.itu.int/md/S17-CLCWGSPF1-C-0003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35/en" TargetMode="External"/><Relationship Id="rId23" Type="http://schemas.openxmlformats.org/officeDocument/2006/relationships/hyperlink" Target="https://www.itu.int/md/S17-CLCWGSPF1-INF-000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council/CWG-SFP/Documents/resolution151.docx" TargetMode="External"/><Relationship Id="rId19" Type="http://schemas.openxmlformats.org/officeDocument/2006/relationships/hyperlink" Target="https://www.itu.int/md/S17-CL-C-0117/fr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CWG-SFP/Documents/resolution72.docx" TargetMode="External"/><Relationship Id="rId14" Type="http://schemas.openxmlformats.org/officeDocument/2006/relationships/hyperlink" Target="https://www.itu.int/md/S17-CL-C-0075/en" TargetMode="External"/><Relationship Id="rId22" Type="http://schemas.openxmlformats.org/officeDocument/2006/relationships/hyperlink" Target="https://www.itu.int/md/S17-CLCWGSPF1-C-0002/en" TargetMode="External"/><Relationship Id="rId27" Type="http://schemas.openxmlformats.org/officeDocument/2006/relationships/hyperlink" Target="https://www.itu.int/md/S17-CLCWGSPF1-C-0004" TargetMode="Externa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B1EE-B630-46DB-A0EF-2A9400AD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7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11506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CWG-SFP</cp:keywords>
  <dc:description/>
  <cp:lastModifiedBy>Janin</cp:lastModifiedBy>
  <cp:revision>7</cp:revision>
  <cp:lastPrinted>2017-05-10T13:45:00Z</cp:lastPrinted>
  <dcterms:created xsi:type="dcterms:W3CDTF">2017-08-16T07:46:00Z</dcterms:created>
  <dcterms:modified xsi:type="dcterms:W3CDTF">2017-08-16T08:04:00Z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