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5476DB" w:rsidRPr="005476DB" w:rsidTr="00636FBA">
        <w:tc>
          <w:tcPr>
            <w:tcW w:w="6487" w:type="dxa"/>
            <w:vAlign w:val="center"/>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before="0"/>
              <w:textAlignment w:val="auto"/>
              <w:rPr>
                <w:rFonts w:ascii="Calibri" w:eastAsia="Calibri" w:hAnsi="Calibri" w:cs="Calibri"/>
                <w:color w:val="000000"/>
                <w:szCs w:val="24"/>
              </w:rPr>
            </w:pPr>
            <w:r w:rsidRPr="005476DB">
              <w:rPr>
                <w:rFonts w:ascii="Calibri" w:eastAsia="Calibri" w:hAnsi="Calibri" w:cs="Calibri"/>
                <w:b/>
                <w:bCs/>
                <w:color w:val="000000"/>
                <w:position w:val="6"/>
                <w:sz w:val="30"/>
                <w:szCs w:val="30"/>
              </w:rPr>
              <w:t xml:space="preserve">Council Working Group </w:t>
            </w:r>
            <w:r w:rsidR="00027EFA">
              <w:rPr>
                <w:rFonts w:ascii="Calibri" w:eastAsia="Calibri" w:hAnsi="Calibri" w:cs="Calibri"/>
                <w:b/>
                <w:bCs/>
                <w:color w:val="000000"/>
                <w:position w:val="6"/>
                <w:sz w:val="30"/>
                <w:szCs w:val="30"/>
              </w:rPr>
              <w:t xml:space="preserve">for </w:t>
            </w:r>
            <w:r w:rsidR="00027EFA">
              <w:rPr>
                <w:rFonts w:ascii="Calibri" w:eastAsia="Calibri" w:hAnsi="Calibri" w:cs="Calibri"/>
                <w:b/>
                <w:bCs/>
                <w:color w:val="000000"/>
                <w:position w:val="6"/>
                <w:sz w:val="30"/>
                <w:szCs w:val="30"/>
              </w:rPr>
              <w:br/>
              <w:t xml:space="preserve">Strategic and Financial Plans for </w:t>
            </w:r>
            <w:r w:rsidR="00027EFA">
              <w:rPr>
                <w:rFonts w:ascii="Calibri" w:eastAsia="Calibri" w:hAnsi="Calibri" w:cs="Calibri"/>
                <w:b/>
                <w:bCs/>
                <w:color w:val="000000"/>
                <w:position w:val="6"/>
                <w:sz w:val="30"/>
                <w:szCs w:val="30"/>
              </w:rPr>
              <w:br/>
              <w:t>2020-2023 (CWG-SFP)</w:t>
            </w:r>
          </w:p>
        </w:tc>
        <w:tc>
          <w:tcPr>
            <w:tcW w:w="3544" w:type="dxa"/>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bookmarkStart w:id="0" w:name="h.30j0zll" w:colFirst="0" w:colLast="0"/>
            <w:bookmarkEnd w:id="0"/>
            <w:r w:rsidRPr="005476DB">
              <w:rPr>
                <w:rFonts w:ascii="Calibri" w:eastAsia="Calibri" w:hAnsi="Calibri" w:cs="Calibri"/>
                <w:noProof/>
                <w:color w:val="000000"/>
                <w:szCs w:val="24"/>
                <w:lang w:val="en-US" w:eastAsia="zh-CN"/>
              </w:rPr>
              <w:drawing>
                <wp:inline distT="0" distB="0" distL="0" distR="0" wp14:anchorId="43598FB1" wp14:editId="5DEA5AC8">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760220" cy="746760"/>
                          </a:xfrm>
                          <a:prstGeom prst="rect">
                            <a:avLst/>
                          </a:prstGeom>
                          <a:ln/>
                        </pic:spPr>
                      </pic:pic>
                    </a:graphicData>
                  </a:graphic>
                </wp:inline>
              </w:drawing>
            </w:r>
          </w:p>
        </w:tc>
      </w:tr>
      <w:tr w:rsidR="005476DB" w:rsidRPr="005476DB" w:rsidTr="00636FBA">
        <w:tc>
          <w:tcPr>
            <w:tcW w:w="6487" w:type="dxa"/>
            <w:tcBorders>
              <w:bottom w:val="single" w:sz="12" w:space="0" w:color="000000"/>
            </w:tcBorders>
          </w:tcPr>
          <w:p w:rsidR="005476DB" w:rsidRPr="005476DB" w:rsidRDefault="00027EFA"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r>
              <w:rPr>
                <w:rFonts w:ascii="Calibri" w:eastAsia="Calibri" w:hAnsi="Calibri" w:cs="Calibri"/>
                <w:b/>
                <w:color w:val="000000"/>
                <w:szCs w:val="24"/>
                <w:lang w:val="en-US"/>
              </w:rPr>
              <w:t>First</w:t>
            </w:r>
            <w:r w:rsidR="00D25DBB" w:rsidRPr="00D25DBB">
              <w:rPr>
                <w:rFonts w:ascii="Calibri" w:eastAsia="Calibri" w:hAnsi="Calibri" w:cs="Calibri"/>
                <w:b/>
                <w:color w:val="000000"/>
                <w:szCs w:val="24"/>
                <w:lang w:val="en-US"/>
              </w:rPr>
              <w:t xml:space="preserve"> meeting – Geneva, </w:t>
            </w:r>
            <w:r>
              <w:rPr>
                <w:rFonts w:ascii="Calibri" w:eastAsia="Calibri" w:hAnsi="Calibri" w:cs="Calibri"/>
                <w:b/>
                <w:color w:val="000000"/>
                <w:szCs w:val="24"/>
                <w:lang w:val="en-US"/>
              </w:rPr>
              <w:t>23 May 2017</w:t>
            </w:r>
          </w:p>
        </w:tc>
        <w:tc>
          <w:tcPr>
            <w:tcW w:w="3544" w:type="dxa"/>
            <w:tcBorders>
              <w:bottom w:val="single" w:sz="12" w:space="0" w:color="000000"/>
            </w:tcBorders>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r>
      <w:tr w:rsidR="005476DB" w:rsidRPr="005476DB" w:rsidTr="00636FBA">
        <w:tc>
          <w:tcPr>
            <w:tcW w:w="6487" w:type="dxa"/>
            <w:tcBorders>
              <w:top w:val="single" w:sz="12" w:space="0" w:color="000000"/>
            </w:tcBorders>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c>
          <w:tcPr>
            <w:tcW w:w="3544" w:type="dxa"/>
            <w:tcBorders>
              <w:top w:val="single" w:sz="12" w:space="0" w:color="000000"/>
            </w:tcBorders>
          </w:tcPr>
          <w:p w:rsidR="005476DB" w:rsidRPr="005476DB" w:rsidRDefault="005476DB" w:rsidP="002B59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r>
      <w:tr w:rsidR="005476DB" w:rsidRPr="005476DB" w:rsidTr="00636FBA">
        <w:trPr>
          <w:trHeight w:val="20"/>
        </w:trPr>
        <w:tc>
          <w:tcPr>
            <w:tcW w:w="6487" w:type="dxa"/>
            <w:vMerge w:val="restart"/>
          </w:tcPr>
          <w:p w:rsidR="005476DB" w:rsidRPr="005476DB" w:rsidRDefault="005476DB" w:rsidP="002B5980">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c>
          <w:tcPr>
            <w:tcW w:w="3544" w:type="dxa"/>
          </w:tcPr>
          <w:p w:rsidR="005476DB" w:rsidRPr="005476DB" w:rsidRDefault="005476DB" w:rsidP="004B591A">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r w:rsidRPr="005476DB">
              <w:rPr>
                <w:rFonts w:ascii="Calibri" w:eastAsia="Calibri" w:hAnsi="Calibri" w:cs="Calibri"/>
                <w:b/>
                <w:color w:val="000000"/>
                <w:szCs w:val="24"/>
              </w:rPr>
              <w:t xml:space="preserve">Document </w:t>
            </w:r>
            <w:r w:rsidR="00027EFA">
              <w:rPr>
                <w:rFonts w:ascii="Calibri" w:eastAsia="Calibri" w:hAnsi="Calibri" w:cs="Calibri"/>
                <w:b/>
                <w:color w:val="000000"/>
                <w:szCs w:val="24"/>
                <w:lang w:val="de-CH"/>
              </w:rPr>
              <w:t>CWG-SFP-1</w:t>
            </w:r>
            <w:r w:rsidR="004B591A">
              <w:rPr>
                <w:rFonts w:ascii="Calibri" w:eastAsia="Calibri" w:hAnsi="Calibri" w:cs="Calibri"/>
                <w:b/>
                <w:color w:val="000000"/>
                <w:szCs w:val="24"/>
                <w:lang w:val="de-CH"/>
              </w:rPr>
              <w:t>/INF-1</w:t>
            </w:r>
            <w:r w:rsidR="00D25DBB">
              <w:rPr>
                <w:rFonts w:ascii="Calibri" w:eastAsia="Calibri" w:hAnsi="Calibri" w:cs="Calibri"/>
                <w:b/>
                <w:color w:val="000000"/>
                <w:szCs w:val="24"/>
                <w:lang w:val="de-CH"/>
              </w:rPr>
              <w:t>-E</w:t>
            </w:r>
          </w:p>
        </w:tc>
      </w:tr>
      <w:tr w:rsidR="005476DB" w:rsidRPr="005476DB" w:rsidTr="00636FBA">
        <w:trPr>
          <w:trHeight w:val="20"/>
        </w:trPr>
        <w:tc>
          <w:tcPr>
            <w:tcW w:w="6487" w:type="dxa"/>
            <w:vMerge/>
          </w:tcPr>
          <w:p w:rsidR="005476DB" w:rsidRPr="005476DB" w:rsidRDefault="005476DB" w:rsidP="002B5980">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c>
          <w:tcPr>
            <w:tcW w:w="3544" w:type="dxa"/>
          </w:tcPr>
          <w:p w:rsidR="005476DB" w:rsidRPr="005476DB" w:rsidRDefault="002E3C64" w:rsidP="002B5980">
            <w:pPr>
              <w:tabs>
                <w:tab w:val="clear" w:pos="794"/>
                <w:tab w:val="clear" w:pos="1191"/>
                <w:tab w:val="clear" w:pos="1588"/>
                <w:tab w:val="clear" w:pos="1985"/>
                <w:tab w:val="left" w:pos="567"/>
                <w:tab w:val="left" w:pos="993"/>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r>
              <w:rPr>
                <w:rFonts w:ascii="Calibri" w:eastAsia="Calibri" w:hAnsi="Calibri" w:cs="Calibri"/>
                <w:b/>
                <w:color w:val="000000"/>
                <w:szCs w:val="24"/>
              </w:rPr>
              <w:t>22</w:t>
            </w:r>
            <w:bookmarkStart w:id="1" w:name="_GoBack"/>
            <w:bookmarkEnd w:id="1"/>
            <w:r w:rsidR="00027EFA">
              <w:rPr>
                <w:rFonts w:ascii="Calibri" w:eastAsia="Calibri" w:hAnsi="Calibri" w:cs="Calibri"/>
                <w:b/>
                <w:color w:val="000000"/>
                <w:szCs w:val="24"/>
              </w:rPr>
              <w:t xml:space="preserve"> May</w:t>
            </w:r>
            <w:r w:rsidR="001411CE">
              <w:rPr>
                <w:rFonts w:ascii="Calibri" w:eastAsia="Calibri" w:hAnsi="Calibri" w:cs="Calibri"/>
                <w:b/>
                <w:color w:val="000000"/>
                <w:szCs w:val="24"/>
              </w:rPr>
              <w:t xml:space="preserve"> </w:t>
            </w:r>
            <w:r w:rsidR="005476DB">
              <w:rPr>
                <w:rFonts w:ascii="Calibri" w:eastAsia="Calibri" w:hAnsi="Calibri" w:cs="Calibri"/>
                <w:b/>
                <w:color w:val="000000"/>
                <w:szCs w:val="24"/>
              </w:rPr>
              <w:t>201</w:t>
            </w:r>
            <w:r w:rsidR="001411CE">
              <w:rPr>
                <w:rFonts w:ascii="Calibri" w:eastAsia="Calibri" w:hAnsi="Calibri" w:cs="Calibri"/>
                <w:b/>
                <w:color w:val="000000"/>
                <w:szCs w:val="24"/>
              </w:rPr>
              <w:t>7</w:t>
            </w:r>
          </w:p>
        </w:tc>
      </w:tr>
      <w:tr w:rsidR="005476DB" w:rsidRPr="005476DB" w:rsidTr="00636FBA">
        <w:trPr>
          <w:trHeight w:val="20"/>
        </w:trPr>
        <w:tc>
          <w:tcPr>
            <w:tcW w:w="6487" w:type="dxa"/>
            <w:vMerge/>
          </w:tcPr>
          <w:p w:rsidR="005476DB" w:rsidRPr="005476DB" w:rsidRDefault="005476DB" w:rsidP="002B5980">
            <w:pPr>
              <w:tabs>
                <w:tab w:val="clear" w:pos="794"/>
                <w:tab w:val="clear" w:pos="1191"/>
                <w:tab w:val="clear" w:pos="1588"/>
                <w:tab w:val="clear" w:pos="1985"/>
                <w:tab w:val="left" w:pos="567"/>
                <w:tab w:val="left" w:pos="851"/>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p>
        </w:tc>
        <w:tc>
          <w:tcPr>
            <w:tcW w:w="3544" w:type="dxa"/>
          </w:tcPr>
          <w:p w:rsidR="005476DB" w:rsidRPr="005476DB" w:rsidRDefault="005476DB" w:rsidP="002B5980">
            <w:pPr>
              <w:tabs>
                <w:tab w:val="clear" w:pos="794"/>
                <w:tab w:val="clear" w:pos="1191"/>
                <w:tab w:val="clear" w:pos="1588"/>
                <w:tab w:val="clear" w:pos="1985"/>
                <w:tab w:val="left" w:pos="567"/>
                <w:tab w:val="left" w:pos="993"/>
                <w:tab w:val="left" w:pos="1134"/>
                <w:tab w:val="left" w:pos="1701"/>
                <w:tab w:val="left" w:pos="2268"/>
                <w:tab w:val="left" w:pos="2835"/>
              </w:tabs>
              <w:overflowPunct/>
              <w:autoSpaceDE/>
              <w:autoSpaceDN/>
              <w:adjustRightInd/>
              <w:spacing w:before="0"/>
              <w:textAlignment w:val="auto"/>
              <w:rPr>
                <w:rFonts w:ascii="Calibri" w:eastAsia="Calibri" w:hAnsi="Calibri" w:cs="Calibri"/>
                <w:color w:val="000000"/>
                <w:szCs w:val="24"/>
              </w:rPr>
            </w:pPr>
            <w:r w:rsidRPr="005476DB">
              <w:rPr>
                <w:rFonts w:ascii="Calibri" w:eastAsia="Calibri" w:hAnsi="Calibri" w:cs="Calibri"/>
                <w:b/>
                <w:color w:val="000000"/>
                <w:szCs w:val="24"/>
              </w:rPr>
              <w:t>English only</w:t>
            </w:r>
          </w:p>
        </w:tc>
      </w:tr>
    </w:tbl>
    <w:p w:rsidR="008A6FA7" w:rsidRDefault="004B591A" w:rsidP="008A6FA7">
      <w:pPr>
        <w:spacing w:before="600"/>
        <w:jc w:val="center"/>
        <w:rPr>
          <w:rFonts w:asciiTheme="minorHAnsi" w:hAnsiTheme="minorHAnsi"/>
          <w:bCs/>
          <w:sz w:val="28"/>
          <w:szCs w:val="28"/>
        </w:rPr>
      </w:pPr>
      <w:r>
        <w:rPr>
          <w:rFonts w:asciiTheme="minorHAnsi" w:hAnsiTheme="minorHAnsi"/>
          <w:bCs/>
          <w:sz w:val="28"/>
          <w:szCs w:val="28"/>
        </w:rPr>
        <w:t>RESOLUTION 1384</w:t>
      </w:r>
    </w:p>
    <w:p w:rsidR="004B591A" w:rsidRPr="004B591A" w:rsidRDefault="004B591A" w:rsidP="004B591A">
      <w:pPr>
        <w:pStyle w:val="Restitle"/>
        <w:rPr>
          <w:rFonts w:asciiTheme="minorHAnsi" w:hAnsiTheme="minorHAnsi" w:cstheme="minorHAnsi"/>
          <w:caps/>
          <w:lang w:val="en-US"/>
        </w:rPr>
      </w:pPr>
      <w:r w:rsidRPr="004B591A">
        <w:rPr>
          <w:rFonts w:asciiTheme="minorHAnsi" w:hAnsiTheme="minorHAnsi" w:cstheme="minorHAnsi"/>
          <w:lang w:val="en-US"/>
        </w:rPr>
        <w:t>Establishment of the Council Working Group</w:t>
      </w:r>
      <w:r w:rsidRPr="004B591A">
        <w:rPr>
          <w:rFonts w:asciiTheme="minorHAnsi" w:hAnsiTheme="minorHAnsi" w:cstheme="minorHAnsi"/>
          <w:lang w:val="en-US"/>
        </w:rPr>
        <w:br/>
        <w:t>for Strategic and Financial Plans for 2020-2023</w:t>
      </w:r>
    </w:p>
    <w:p w:rsidR="008A6FA7" w:rsidRPr="004B591A" w:rsidRDefault="004B591A" w:rsidP="006F4E6B">
      <w:pPr>
        <w:spacing w:before="1440"/>
        <w:rPr>
          <w:rFonts w:asciiTheme="minorHAnsi" w:hAnsiTheme="minorHAnsi"/>
          <w:bCs/>
          <w:szCs w:val="24"/>
        </w:rPr>
      </w:pPr>
      <w:r w:rsidRPr="004B591A">
        <w:rPr>
          <w:rFonts w:asciiTheme="minorHAnsi" w:hAnsiTheme="minorHAnsi"/>
          <w:bCs/>
          <w:szCs w:val="24"/>
        </w:rPr>
        <w:t>Please find below</w:t>
      </w:r>
      <w:r w:rsidR="00C672BF">
        <w:rPr>
          <w:rFonts w:asciiTheme="minorHAnsi" w:hAnsiTheme="minorHAnsi"/>
          <w:bCs/>
          <w:szCs w:val="24"/>
        </w:rPr>
        <w:t xml:space="preserve"> </w:t>
      </w:r>
      <w:r w:rsidR="006F4E6B">
        <w:rPr>
          <w:rFonts w:asciiTheme="minorHAnsi" w:hAnsiTheme="minorHAnsi"/>
          <w:bCs/>
          <w:szCs w:val="24"/>
        </w:rPr>
        <w:t>the text of</w:t>
      </w:r>
      <w:r w:rsidRPr="004B591A">
        <w:rPr>
          <w:rFonts w:asciiTheme="minorHAnsi" w:hAnsiTheme="minorHAnsi"/>
          <w:bCs/>
          <w:szCs w:val="24"/>
        </w:rPr>
        <w:t xml:space="preserve"> </w:t>
      </w:r>
      <w:r w:rsidRPr="004B591A">
        <w:rPr>
          <w:rFonts w:asciiTheme="minorHAnsi" w:hAnsiTheme="minorHAnsi"/>
          <w:b/>
          <w:szCs w:val="24"/>
        </w:rPr>
        <w:t>Resolution 1384</w:t>
      </w:r>
      <w:r w:rsidRPr="004B591A">
        <w:rPr>
          <w:rFonts w:asciiTheme="minorHAnsi" w:hAnsiTheme="minorHAnsi"/>
          <w:bCs/>
          <w:szCs w:val="24"/>
        </w:rPr>
        <w:t xml:space="preserve">, which is also available at the following link: </w:t>
      </w:r>
      <w:hyperlink r:id="rId12" w:history="1">
        <w:r w:rsidRPr="004B591A">
          <w:rPr>
            <w:rStyle w:val="Hyperlink"/>
            <w:rFonts w:asciiTheme="minorHAnsi" w:hAnsiTheme="minorHAnsi"/>
            <w:bCs/>
            <w:szCs w:val="24"/>
          </w:rPr>
          <w:t>https://www.itu.int/md/S17-CL-C-0117/en</w:t>
        </w:r>
      </w:hyperlink>
      <w:r w:rsidRPr="004B591A">
        <w:rPr>
          <w:rFonts w:asciiTheme="minorHAnsi" w:hAnsiTheme="minorHAnsi"/>
          <w:bCs/>
          <w:szCs w:val="24"/>
        </w:rPr>
        <w:t xml:space="preserve"> </w:t>
      </w:r>
    </w:p>
    <w:p w:rsidR="004B591A" w:rsidRDefault="004B591A">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4B591A" w:rsidRPr="004B591A" w:rsidRDefault="004B591A" w:rsidP="004B591A">
      <w:pPr>
        <w:pStyle w:val="ResNo"/>
        <w:rPr>
          <w:rFonts w:asciiTheme="minorHAnsi" w:hAnsiTheme="minorHAnsi"/>
        </w:rPr>
      </w:pPr>
      <w:r w:rsidRPr="004B591A">
        <w:rPr>
          <w:rFonts w:asciiTheme="minorHAnsi" w:hAnsiTheme="minorHAnsi"/>
        </w:rPr>
        <w:lastRenderedPageBreak/>
        <w:t>ReSOLUTION 1384</w:t>
      </w:r>
    </w:p>
    <w:p w:rsidR="004B591A" w:rsidRPr="004B591A" w:rsidRDefault="004B591A" w:rsidP="004B591A">
      <w:pPr>
        <w:pStyle w:val="Restitle"/>
        <w:rPr>
          <w:rFonts w:asciiTheme="minorHAnsi" w:hAnsiTheme="minorHAnsi" w:cstheme="minorHAnsi"/>
          <w:caps/>
          <w:lang w:val="en-US"/>
        </w:rPr>
      </w:pPr>
      <w:r w:rsidRPr="004B591A">
        <w:rPr>
          <w:rFonts w:asciiTheme="minorHAnsi" w:hAnsiTheme="minorHAnsi" w:cstheme="minorHAnsi"/>
          <w:lang w:val="en-US"/>
        </w:rPr>
        <w:t>Establishment of the Council Working Group</w:t>
      </w:r>
      <w:r w:rsidRPr="004B591A">
        <w:rPr>
          <w:rFonts w:asciiTheme="minorHAnsi" w:hAnsiTheme="minorHAnsi" w:cstheme="minorHAnsi"/>
          <w:lang w:val="en-US"/>
        </w:rPr>
        <w:br/>
        <w:t>for Strategic and Financial Plans for 2020-2023</w:t>
      </w:r>
    </w:p>
    <w:p w:rsidR="004B591A" w:rsidRPr="004B591A" w:rsidRDefault="004B591A" w:rsidP="004B591A">
      <w:pPr>
        <w:pStyle w:val="Normalaftertitle"/>
        <w:snapToGrid w:val="0"/>
        <w:spacing w:before="280"/>
        <w:jc w:val="both"/>
        <w:rPr>
          <w:rFonts w:asciiTheme="minorHAnsi" w:hAnsiTheme="minorHAnsi" w:cstheme="minorHAnsi"/>
          <w:szCs w:val="24"/>
        </w:rPr>
      </w:pPr>
      <w:r w:rsidRPr="004B591A">
        <w:rPr>
          <w:rFonts w:asciiTheme="minorHAnsi" w:hAnsiTheme="minorHAnsi" w:cstheme="minorHAnsi"/>
          <w:szCs w:val="24"/>
        </w:rPr>
        <w:t>The Council,</w:t>
      </w:r>
    </w:p>
    <w:p w:rsidR="004B591A" w:rsidRPr="004B591A" w:rsidRDefault="004B591A" w:rsidP="004B591A">
      <w:pPr>
        <w:pStyle w:val="Call"/>
        <w:keepNext w:val="0"/>
        <w:keepLines w:val="0"/>
        <w:snapToGrid w:val="0"/>
        <w:ind w:left="1134"/>
        <w:jc w:val="both"/>
        <w:rPr>
          <w:rFonts w:asciiTheme="minorHAnsi" w:hAnsiTheme="minorHAnsi" w:cstheme="minorHAnsi"/>
          <w:szCs w:val="24"/>
          <w:lang w:val="en-US"/>
        </w:rPr>
      </w:pPr>
      <w:r w:rsidRPr="004B591A">
        <w:rPr>
          <w:rFonts w:asciiTheme="minorHAnsi" w:hAnsiTheme="minorHAnsi" w:cstheme="minorHAnsi"/>
          <w:szCs w:val="24"/>
          <w:lang w:val="en-US"/>
        </w:rPr>
        <w:t>considering</w:t>
      </w:r>
    </w:p>
    <w:p w:rsidR="004B591A" w:rsidRPr="004B591A" w:rsidRDefault="004B591A" w:rsidP="004B591A">
      <w:pPr>
        <w:tabs>
          <w:tab w:val="left" w:pos="1134"/>
        </w:tabs>
        <w:snapToGrid w:val="0"/>
        <w:jc w:val="both"/>
        <w:rPr>
          <w:rFonts w:asciiTheme="minorHAnsi" w:hAnsiTheme="minorHAnsi" w:cstheme="minorHAnsi"/>
          <w:szCs w:val="24"/>
          <w:lang w:val="en-US"/>
        </w:rPr>
      </w:pPr>
      <w:r w:rsidRPr="004B591A">
        <w:rPr>
          <w:rFonts w:asciiTheme="minorHAnsi" w:hAnsiTheme="minorHAnsi" w:cstheme="minorHAnsi"/>
          <w:szCs w:val="24"/>
          <w:lang w:val="en-US"/>
        </w:rPr>
        <w:t>that No. 74A of the Constitution requires the Secretary-General to provide information necessary for the preparation of a Strategic Plan,</w:t>
      </w:r>
    </w:p>
    <w:p w:rsidR="004B591A" w:rsidRPr="004B591A" w:rsidRDefault="004B591A" w:rsidP="004B591A">
      <w:pPr>
        <w:pStyle w:val="Call"/>
        <w:keepNext w:val="0"/>
        <w:keepLines w:val="0"/>
        <w:snapToGrid w:val="0"/>
        <w:ind w:left="1134"/>
        <w:jc w:val="both"/>
        <w:rPr>
          <w:rFonts w:asciiTheme="minorHAnsi" w:hAnsiTheme="minorHAnsi" w:cstheme="minorHAnsi"/>
          <w:szCs w:val="24"/>
        </w:rPr>
      </w:pPr>
      <w:r w:rsidRPr="004B591A">
        <w:rPr>
          <w:rFonts w:asciiTheme="minorHAnsi" w:hAnsiTheme="minorHAnsi" w:cstheme="minorHAnsi"/>
          <w:szCs w:val="24"/>
        </w:rPr>
        <w:t>considering also</w:t>
      </w:r>
    </w:p>
    <w:p w:rsidR="004B591A" w:rsidRPr="004B591A" w:rsidRDefault="004B591A" w:rsidP="004B591A">
      <w:pPr>
        <w:tabs>
          <w:tab w:val="left" w:pos="1134"/>
        </w:tabs>
        <w:snapToGrid w:val="0"/>
        <w:jc w:val="both"/>
        <w:rPr>
          <w:rFonts w:asciiTheme="minorHAnsi" w:hAnsiTheme="minorHAnsi" w:cstheme="minorHAnsi"/>
          <w:szCs w:val="24"/>
        </w:rPr>
      </w:pPr>
      <w:r w:rsidRPr="004B591A">
        <w:rPr>
          <w:rFonts w:asciiTheme="minorHAnsi" w:hAnsiTheme="minorHAnsi" w:cstheme="minorHAnsi"/>
          <w:szCs w:val="24"/>
        </w:rPr>
        <w:t>a)</w:t>
      </w:r>
      <w:r w:rsidRPr="004B591A">
        <w:rPr>
          <w:rFonts w:asciiTheme="minorHAnsi" w:hAnsiTheme="minorHAnsi" w:cstheme="minorHAnsi"/>
          <w:szCs w:val="24"/>
        </w:rPr>
        <w:tab/>
        <w:t>Article 28 of the Constitution and Article 33 of the Convention pertaining to the finances of the Union;</w:t>
      </w:r>
    </w:p>
    <w:p w:rsidR="004B591A" w:rsidRPr="004B591A" w:rsidRDefault="004B591A" w:rsidP="004B591A">
      <w:pPr>
        <w:tabs>
          <w:tab w:val="left" w:pos="1134"/>
        </w:tabs>
        <w:snapToGrid w:val="0"/>
        <w:jc w:val="both"/>
        <w:rPr>
          <w:rFonts w:asciiTheme="minorHAnsi" w:hAnsiTheme="minorHAnsi" w:cstheme="minorHAnsi"/>
          <w:szCs w:val="24"/>
          <w:lang w:val="en-US"/>
        </w:rPr>
      </w:pPr>
      <w:r w:rsidRPr="004B591A">
        <w:rPr>
          <w:rFonts w:asciiTheme="minorHAnsi" w:hAnsiTheme="minorHAnsi" w:cstheme="minorHAnsi"/>
          <w:szCs w:val="24"/>
          <w:lang w:val="en-US"/>
        </w:rPr>
        <w:t>b)</w:t>
      </w:r>
      <w:r w:rsidRPr="004B591A">
        <w:rPr>
          <w:rFonts w:asciiTheme="minorHAnsi" w:hAnsiTheme="minorHAnsi" w:cstheme="minorHAnsi"/>
          <w:szCs w:val="24"/>
          <w:lang w:val="en-US"/>
        </w:rPr>
        <w:tab/>
        <w:t>that in accordance with No. 62A of the Convention, a coordinated draft new strategic plan should be produced at least four months before the 2018 Plenipotentiary Conference;</w:t>
      </w:r>
    </w:p>
    <w:p w:rsidR="004B591A" w:rsidRPr="004B591A" w:rsidRDefault="004B591A" w:rsidP="004B591A">
      <w:pPr>
        <w:tabs>
          <w:tab w:val="left" w:pos="1134"/>
        </w:tabs>
        <w:snapToGrid w:val="0"/>
        <w:jc w:val="both"/>
        <w:rPr>
          <w:rFonts w:asciiTheme="minorHAnsi" w:hAnsiTheme="minorHAnsi" w:cstheme="minorHAnsi"/>
          <w:szCs w:val="24"/>
          <w:lang w:val="en-US"/>
        </w:rPr>
      </w:pPr>
      <w:r w:rsidRPr="004B591A">
        <w:rPr>
          <w:rFonts w:asciiTheme="minorHAnsi" w:hAnsiTheme="minorHAnsi" w:cstheme="minorHAnsi"/>
          <w:szCs w:val="24"/>
          <w:lang w:val="en-US"/>
        </w:rPr>
        <w:t>c)</w:t>
      </w:r>
      <w:r w:rsidRPr="004B591A">
        <w:rPr>
          <w:rFonts w:asciiTheme="minorHAnsi" w:hAnsiTheme="minorHAnsi" w:cstheme="minorHAnsi"/>
          <w:szCs w:val="24"/>
          <w:lang w:val="en-US"/>
        </w:rPr>
        <w:tab/>
        <w:t>the provisions of Decision 5 (Rev. Busan, 2014) concerning the revenue and expenses for the Union for the period 2016-2019;</w:t>
      </w:r>
    </w:p>
    <w:p w:rsidR="004B591A" w:rsidRPr="004B591A" w:rsidRDefault="004B591A" w:rsidP="004B591A">
      <w:pPr>
        <w:tabs>
          <w:tab w:val="left" w:pos="1134"/>
        </w:tabs>
        <w:snapToGrid w:val="0"/>
        <w:jc w:val="both"/>
        <w:rPr>
          <w:rFonts w:asciiTheme="minorHAnsi" w:hAnsiTheme="minorHAnsi" w:cstheme="minorHAnsi"/>
          <w:szCs w:val="24"/>
          <w:lang w:val="en-US"/>
        </w:rPr>
      </w:pPr>
      <w:r w:rsidRPr="004B591A">
        <w:rPr>
          <w:rFonts w:asciiTheme="minorHAnsi" w:hAnsiTheme="minorHAnsi" w:cstheme="minorHAnsi"/>
          <w:szCs w:val="24"/>
          <w:lang w:val="en-US"/>
        </w:rPr>
        <w:t>d)</w:t>
      </w:r>
      <w:r w:rsidRPr="004B591A">
        <w:rPr>
          <w:rFonts w:asciiTheme="minorHAnsi" w:hAnsiTheme="minorHAnsi" w:cstheme="minorHAnsi"/>
          <w:szCs w:val="24"/>
          <w:lang w:val="en-US"/>
        </w:rPr>
        <w:tab/>
        <w:t>the guiding principles for the creation, management and termination of Council working groups established in Council Resolution 1333 (revised 2016), which include the procedure for the appointment of Chairmen and Vice-Chairmen of Council working groups and the Qualifications of Chairmen and Vice-Chairmen,</w:t>
      </w:r>
    </w:p>
    <w:p w:rsidR="004B591A" w:rsidRPr="004B591A" w:rsidRDefault="004B591A" w:rsidP="004B591A">
      <w:pPr>
        <w:pStyle w:val="Call"/>
        <w:keepNext w:val="0"/>
        <w:keepLines w:val="0"/>
        <w:snapToGrid w:val="0"/>
        <w:ind w:left="1134"/>
        <w:jc w:val="both"/>
        <w:rPr>
          <w:rFonts w:asciiTheme="minorHAnsi" w:hAnsiTheme="minorHAnsi" w:cstheme="minorHAnsi"/>
          <w:szCs w:val="24"/>
        </w:rPr>
      </w:pPr>
      <w:r w:rsidRPr="004B591A">
        <w:rPr>
          <w:rFonts w:asciiTheme="minorHAnsi" w:hAnsiTheme="minorHAnsi" w:cstheme="minorHAnsi"/>
          <w:szCs w:val="24"/>
        </w:rPr>
        <w:t>noting</w:t>
      </w:r>
    </w:p>
    <w:p w:rsidR="004B591A" w:rsidRPr="004B591A" w:rsidRDefault="004B591A" w:rsidP="004B591A">
      <w:pPr>
        <w:tabs>
          <w:tab w:val="left" w:pos="1134"/>
        </w:tabs>
        <w:snapToGrid w:val="0"/>
        <w:jc w:val="both"/>
        <w:rPr>
          <w:rFonts w:asciiTheme="minorHAnsi" w:hAnsiTheme="minorHAnsi" w:cstheme="minorHAnsi"/>
          <w:szCs w:val="24"/>
        </w:rPr>
      </w:pPr>
      <w:r w:rsidRPr="004B591A">
        <w:rPr>
          <w:rFonts w:asciiTheme="minorHAnsi" w:hAnsiTheme="minorHAnsi" w:cstheme="minorHAnsi"/>
          <w:szCs w:val="24"/>
        </w:rPr>
        <w:t>that, in conformity with Resolution 72 (Rev. Busan, 2014), progress in achieving the goals and objectives of ITU can be measured and considerably enhanced through the process of linking strategic, financial and operational plans,</w:t>
      </w:r>
    </w:p>
    <w:p w:rsidR="004B591A" w:rsidRPr="004B591A" w:rsidRDefault="004B591A" w:rsidP="004B591A">
      <w:pPr>
        <w:pStyle w:val="Call"/>
        <w:keepNext w:val="0"/>
        <w:keepLines w:val="0"/>
        <w:snapToGrid w:val="0"/>
        <w:ind w:left="1134"/>
        <w:jc w:val="both"/>
        <w:rPr>
          <w:rFonts w:asciiTheme="minorHAnsi" w:hAnsiTheme="minorHAnsi" w:cstheme="minorHAnsi"/>
          <w:szCs w:val="24"/>
          <w:lang w:val="en-US"/>
        </w:rPr>
      </w:pPr>
      <w:r w:rsidRPr="004B591A">
        <w:rPr>
          <w:rFonts w:asciiTheme="minorHAnsi" w:hAnsiTheme="minorHAnsi" w:cstheme="minorHAnsi"/>
          <w:szCs w:val="24"/>
          <w:lang w:val="en-US"/>
        </w:rPr>
        <w:t>taking into account</w:t>
      </w:r>
    </w:p>
    <w:p w:rsidR="004B591A" w:rsidRPr="004B591A" w:rsidRDefault="004B591A" w:rsidP="004B591A">
      <w:pPr>
        <w:tabs>
          <w:tab w:val="left" w:pos="1134"/>
        </w:tabs>
        <w:snapToGrid w:val="0"/>
        <w:jc w:val="both"/>
        <w:rPr>
          <w:rFonts w:asciiTheme="minorHAnsi" w:hAnsiTheme="minorHAnsi" w:cstheme="minorHAnsi"/>
          <w:szCs w:val="24"/>
          <w:lang w:val="en-US"/>
        </w:rPr>
      </w:pPr>
      <w:r w:rsidRPr="004B591A">
        <w:rPr>
          <w:rFonts w:asciiTheme="minorHAnsi" w:hAnsiTheme="minorHAnsi" w:cstheme="minorHAnsi"/>
          <w:szCs w:val="24"/>
          <w:lang w:val="en-US"/>
        </w:rPr>
        <w:t>the Reports of the Financial management and Human Resources management Group as well as other relevant Council Working Groups, with a view to ensuring that all pertinent issues are taken into account,</w:t>
      </w:r>
    </w:p>
    <w:p w:rsidR="004B591A" w:rsidRPr="004B591A" w:rsidRDefault="004B591A" w:rsidP="004B591A">
      <w:pPr>
        <w:pStyle w:val="Call"/>
        <w:keepLines w:val="0"/>
        <w:snapToGrid w:val="0"/>
        <w:ind w:left="1134"/>
        <w:jc w:val="both"/>
        <w:rPr>
          <w:rFonts w:asciiTheme="minorHAnsi" w:hAnsiTheme="minorHAnsi" w:cstheme="minorHAnsi"/>
          <w:szCs w:val="24"/>
        </w:rPr>
      </w:pPr>
      <w:r w:rsidRPr="004B591A">
        <w:rPr>
          <w:rFonts w:asciiTheme="minorHAnsi" w:hAnsiTheme="minorHAnsi" w:cstheme="minorHAnsi"/>
          <w:szCs w:val="24"/>
        </w:rPr>
        <w:t>resolves</w:t>
      </w:r>
    </w:p>
    <w:p w:rsidR="004B591A" w:rsidRPr="004B591A" w:rsidRDefault="004B591A" w:rsidP="004B591A">
      <w:pPr>
        <w:keepNext/>
        <w:tabs>
          <w:tab w:val="left" w:pos="1134"/>
        </w:tabs>
        <w:snapToGrid w:val="0"/>
        <w:jc w:val="both"/>
        <w:rPr>
          <w:rFonts w:asciiTheme="minorHAnsi" w:hAnsiTheme="minorHAnsi" w:cstheme="minorHAnsi"/>
          <w:szCs w:val="24"/>
        </w:rPr>
      </w:pPr>
      <w:r w:rsidRPr="004B591A">
        <w:rPr>
          <w:rFonts w:asciiTheme="minorHAnsi" w:hAnsiTheme="minorHAnsi" w:cstheme="minorHAnsi"/>
          <w:szCs w:val="24"/>
        </w:rPr>
        <w:t>to establish a Council Working Group to elaborate the draft Strategic and Financial Plans for consideration by the 2018 Session of the Council and presentation by Council to PP-18. The Working Group (</w:t>
      </w:r>
      <w:r w:rsidRPr="004B591A">
        <w:rPr>
          <w:rFonts w:asciiTheme="minorHAnsi" w:hAnsiTheme="minorHAnsi" w:cstheme="minorHAnsi"/>
          <w:iCs/>
          <w:szCs w:val="24"/>
        </w:rPr>
        <w:t>CWG-SFP</w:t>
      </w:r>
      <w:r w:rsidRPr="004B591A">
        <w:rPr>
          <w:rFonts w:asciiTheme="minorHAnsi" w:hAnsiTheme="minorHAnsi" w:cstheme="minorHAnsi"/>
          <w:szCs w:val="24"/>
        </w:rPr>
        <w:t>), open to Member States and, when addressing the draft Strategic Plan, also open to Sector Members, has the following terms of reference:</w:t>
      </w:r>
    </w:p>
    <w:p w:rsidR="004B591A" w:rsidRPr="004B591A" w:rsidRDefault="004B591A" w:rsidP="004B591A">
      <w:pPr>
        <w:tabs>
          <w:tab w:val="left" w:pos="1560"/>
        </w:tabs>
        <w:snapToGrid w:val="0"/>
        <w:ind w:left="1134" w:hanging="425"/>
        <w:jc w:val="both"/>
        <w:rPr>
          <w:rFonts w:asciiTheme="minorHAnsi" w:hAnsiTheme="minorHAnsi" w:cstheme="minorHAnsi"/>
          <w:szCs w:val="24"/>
          <w:lang w:val="en-US"/>
        </w:rPr>
      </w:pPr>
      <w:r w:rsidRPr="004B591A">
        <w:rPr>
          <w:rFonts w:asciiTheme="minorHAnsi" w:hAnsiTheme="minorHAnsi" w:cstheme="minorHAnsi"/>
          <w:szCs w:val="24"/>
          <w:lang w:val="en-US"/>
        </w:rPr>
        <w:t>a)</w:t>
      </w:r>
      <w:r w:rsidRPr="004B591A">
        <w:rPr>
          <w:rFonts w:asciiTheme="minorHAnsi" w:hAnsiTheme="minorHAnsi" w:cstheme="minorHAnsi"/>
          <w:szCs w:val="24"/>
          <w:lang w:val="en-US"/>
        </w:rPr>
        <w:tab/>
        <w:t>to identify, with the assistance of the Secretary-General and the Directors of the Bureaux, sources of information to be used in the development of the draft Plans, and to take into account the discussion of this issue at the 2017 session of the Council;</w:t>
      </w:r>
    </w:p>
    <w:p w:rsidR="004B591A" w:rsidRPr="004B591A" w:rsidRDefault="004B591A" w:rsidP="004B591A">
      <w:pPr>
        <w:tabs>
          <w:tab w:val="left" w:pos="1134"/>
        </w:tabs>
        <w:snapToGrid w:val="0"/>
        <w:ind w:left="1134" w:hanging="425"/>
        <w:jc w:val="both"/>
        <w:rPr>
          <w:rFonts w:asciiTheme="minorHAnsi" w:hAnsiTheme="minorHAnsi" w:cstheme="minorHAnsi"/>
          <w:szCs w:val="24"/>
          <w:lang w:val="en-US"/>
        </w:rPr>
      </w:pPr>
      <w:r w:rsidRPr="004B591A">
        <w:rPr>
          <w:rFonts w:asciiTheme="minorHAnsi" w:hAnsiTheme="minorHAnsi" w:cstheme="minorHAnsi"/>
          <w:szCs w:val="24"/>
          <w:lang w:val="en-US"/>
        </w:rPr>
        <w:t>b)</w:t>
      </w:r>
      <w:r w:rsidRPr="004B591A">
        <w:rPr>
          <w:rFonts w:asciiTheme="minorHAnsi" w:hAnsiTheme="minorHAnsi" w:cstheme="minorHAnsi"/>
          <w:szCs w:val="24"/>
          <w:lang w:val="en-US"/>
        </w:rPr>
        <w:tab/>
        <w:t>to develop drafts of the Strategic and Financial Plans for presentation to the 2018 session of the Council;</w:t>
      </w:r>
    </w:p>
    <w:p w:rsidR="004B591A" w:rsidRPr="004B591A" w:rsidRDefault="004B591A" w:rsidP="004B591A">
      <w:pPr>
        <w:tabs>
          <w:tab w:val="left" w:pos="1134"/>
        </w:tabs>
        <w:snapToGrid w:val="0"/>
        <w:ind w:left="1134" w:hanging="425"/>
        <w:jc w:val="both"/>
        <w:rPr>
          <w:rFonts w:asciiTheme="minorHAnsi" w:hAnsiTheme="minorHAnsi" w:cstheme="minorHAnsi"/>
          <w:szCs w:val="24"/>
          <w:lang w:val="en-US"/>
        </w:rPr>
      </w:pPr>
      <w:r w:rsidRPr="004B591A">
        <w:rPr>
          <w:rFonts w:asciiTheme="minorHAnsi" w:hAnsiTheme="minorHAnsi" w:cstheme="minorHAnsi"/>
          <w:szCs w:val="24"/>
          <w:lang w:val="en-US"/>
        </w:rPr>
        <w:t>c)</w:t>
      </w:r>
      <w:r w:rsidRPr="004B591A">
        <w:rPr>
          <w:rFonts w:asciiTheme="minorHAnsi" w:hAnsiTheme="minorHAnsi" w:cstheme="minorHAnsi"/>
          <w:szCs w:val="24"/>
          <w:lang w:val="en-US"/>
        </w:rPr>
        <w:tab/>
        <w:t>to continue its discussions, if necessary, on the Financial Plan until the extraordinary session of the Council prior to the PP-18;</w:t>
      </w:r>
    </w:p>
    <w:p w:rsidR="004B591A" w:rsidRPr="004B591A" w:rsidRDefault="004B591A" w:rsidP="004B591A">
      <w:pPr>
        <w:tabs>
          <w:tab w:val="left" w:pos="1134"/>
        </w:tabs>
        <w:snapToGrid w:val="0"/>
        <w:ind w:left="1134" w:hanging="425"/>
        <w:jc w:val="both"/>
        <w:rPr>
          <w:rFonts w:asciiTheme="minorHAnsi" w:hAnsiTheme="minorHAnsi" w:cstheme="minorHAnsi"/>
          <w:szCs w:val="24"/>
          <w:lang w:val="en-US"/>
        </w:rPr>
      </w:pPr>
      <w:r w:rsidRPr="004B591A">
        <w:rPr>
          <w:rFonts w:asciiTheme="minorHAnsi" w:hAnsiTheme="minorHAnsi" w:cstheme="minorHAnsi"/>
          <w:szCs w:val="24"/>
          <w:lang w:val="en-US"/>
        </w:rPr>
        <w:t>d)</w:t>
      </w:r>
      <w:r w:rsidRPr="004B591A">
        <w:rPr>
          <w:rFonts w:asciiTheme="minorHAnsi" w:hAnsiTheme="minorHAnsi" w:cstheme="minorHAnsi"/>
          <w:szCs w:val="24"/>
          <w:lang w:val="en-US"/>
        </w:rPr>
        <w:tab/>
        <w:t>to closely coordinate with other Council Working Groups which may work on items related to the draft Strategic and Financial Plans,</w:t>
      </w:r>
    </w:p>
    <w:p w:rsidR="004B591A" w:rsidRPr="004B591A" w:rsidRDefault="004B591A" w:rsidP="004B591A">
      <w:pPr>
        <w:pStyle w:val="Call"/>
        <w:keepNext w:val="0"/>
        <w:keepLines w:val="0"/>
        <w:snapToGrid w:val="0"/>
        <w:ind w:left="1134"/>
        <w:jc w:val="both"/>
        <w:rPr>
          <w:rFonts w:asciiTheme="minorHAnsi" w:hAnsiTheme="minorHAnsi" w:cstheme="minorHAnsi"/>
          <w:szCs w:val="24"/>
          <w:lang w:val="en-US"/>
        </w:rPr>
      </w:pPr>
      <w:r w:rsidRPr="004B591A">
        <w:rPr>
          <w:rFonts w:asciiTheme="minorHAnsi" w:hAnsiTheme="minorHAnsi" w:cstheme="minorHAnsi"/>
          <w:szCs w:val="24"/>
          <w:lang w:val="en-US"/>
        </w:rPr>
        <w:lastRenderedPageBreak/>
        <w:t>instructs the Secretary-General, with support of the Directors of the Bureaux</w:t>
      </w:r>
    </w:p>
    <w:p w:rsidR="004B591A" w:rsidRPr="004B591A" w:rsidRDefault="004B591A" w:rsidP="004B591A">
      <w:pPr>
        <w:tabs>
          <w:tab w:val="left" w:pos="1134"/>
        </w:tabs>
        <w:snapToGrid w:val="0"/>
        <w:jc w:val="both"/>
        <w:rPr>
          <w:rFonts w:asciiTheme="minorHAnsi" w:hAnsiTheme="minorHAnsi" w:cstheme="minorHAnsi"/>
          <w:szCs w:val="24"/>
        </w:rPr>
      </w:pPr>
      <w:r w:rsidRPr="004B591A">
        <w:rPr>
          <w:rFonts w:asciiTheme="minorHAnsi" w:hAnsiTheme="minorHAnsi" w:cstheme="minorHAnsi"/>
          <w:szCs w:val="24"/>
        </w:rPr>
        <w:t>1</w:t>
      </w:r>
      <w:r w:rsidRPr="004B591A">
        <w:rPr>
          <w:rFonts w:asciiTheme="minorHAnsi" w:hAnsiTheme="minorHAnsi" w:cstheme="minorHAnsi"/>
          <w:szCs w:val="24"/>
        </w:rPr>
        <w:tab/>
        <w:t xml:space="preserve">to provide the necessary support and documentation for the operation of the CWG-SFP, </w:t>
      </w:r>
    </w:p>
    <w:p w:rsidR="004B591A" w:rsidRPr="004B591A" w:rsidRDefault="004B591A" w:rsidP="004B591A">
      <w:pPr>
        <w:tabs>
          <w:tab w:val="left" w:pos="1134"/>
        </w:tabs>
        <w:snapToGrid w:val="0"/>
        <w:jc w:val="both"/>
        <w:rPr>
          <w:rFonts w:asciiTheme="minorHAnsi" w:hAnsiTheme="minorHAnsi" w:cstheme="minorHAnsi"/>
          <w:szCs w:val="24"/>
        </w:rPr>
      </w:pPr>
      <w:r w:rsidRPr="004B591A">
        <w:rPr>
          <w:rFonts w:asciiTheme="minorHAnsi" w:hAnsiTheme="minorHAnsi" w:cstheme="minorHAnsi"/>
          <w:szCs w:val="24"/>
        </w:rPr>
        <w:t>2</w:t>
      </w:r>
      <w:r w:rsidRPr="004B591A">
        <w:rPr>
          <w:rFonts w:asciiTheme="minorHAnsi" w:hAnsiTheme="minorHAnsi" w:cstheme="minorHAnsi"/>
          <w:szCs w:val="24"/>
        </w:rPr>
        <w:tab/>
      </w:r>
      <w:r w:rsidRPr="004B591A">
        <w:rPr>
          <w:rFonts w:asciiTheme="minorHAnsi" w:hAnsiTheme="minorHAnsi" w:cstheme="minorHAnsi"/>
          <w:spacing w:val="2"/>
          <w:szCs w:val="24"/>
        </w:rPr>
        <w:t>to post on the PP-18 website the coordinated draft new Strategic Plan endorsed by the 2018 Session of Council, four months before the Plenipotentiary Conference;</w:t>
      </w:r>
    </w:p>
    <w:p w:rsidR="004B591A" w:rsidRPr="004B591A" w:rsidRDefault="004B591A" w:rsidP="004B591A">
      <w:pPr>
        <w:pStyle w:val="Call"/>
        <w:keepNext w:val="0"/>
        <w:keepLines w:val="0"/>
        <w:snapToGrid w:val="0"/>
        <w:ind w:left="1134"/>
        <w:jc w:val="both"/>
        <w:rPr>
          <w:rFonts w:asciiTheme="minorHAnsi" w:hAnsiTheme="minorHAnsi" w:cstheme="minorHAnsi"/>
          <w:szCs w:val="24"/>
          <w:lang w:val="en-US"/>
        </w:rPr>
      </w:pPr>
      <w:r w:rsidRPr="004B591A">
        <w:rPr>
          <w:rFonts w:asciiTheme="minorHAnsi" w:hAnsiTheme="minorHAnsi" w:cstheme="minorHAnsi"/>
          <w:szCs w:val="24"/>
          <w:lang w:val="en-US"/>
        </w:rPr>
        <w:t>invites the membership, the Council Working Group on Financial and Human Resources, the Elected Officials and the Sector advisory groups</w:t>
      </w:r>
    </w:p>
    <w:p w:rsidR="004B591A" w:rsidRPr="004B591A" w:rsidRDefault="004B591A" w:rsidP="004B591A">
      <w:pPr>
        <w:tabs>
          <w:tab w:val="left" w:pos="1134"/>
        </w:tabs>
        <w:snapToGrid w:val="0"/>
        <w:jc w:val="both"/>
        <w:rPr>
          <w:rFonts w:asciiTheme="minorHAnsi" w:hAnsiTheme="minorHAnsi" w:cstheme="minorHAnsi"/>
          <w:szCs w:val="24"/>
        </w:rPr>
      </w:pPr>
      <w:r w:rsidRPr="004B591A">
        <w:rPr>
          <w:rFonts w:asciiTheme="minorHAnsi" w:hAnsiTheme="minorHAnsi" w:cstheme="minorHAnsi"/>
          <w:szCs w:val="24"/>
        </w:rPr>
        <w:t>1</w:t>
      </w:r>
      <w:r w:rsidRPr="004B591A">
        <w:rPr>
          <w:rFonts w:asciiTheme="minorHAnsi" w:hAnsiTheme="minorHAnsi" w:cstheme="minorHAnsi"/>
          <w:szCs w:val="24"/>
        </w:rPr>
        <w:tab/>
        <w:t>to provide all contributions and all necessary assistance to the development of the draft Strategic and Financial Plans, and to make full use of electronic means of working;</w:t>
      </w:r>
    </w:p>
    <w:p w:rsidR="004B591A" w:rsidRPr="004B591A" w:rsidRDefault="004B591A" w:rsidP="004B591A">
      <w:pPr>
        <w:tabs>
          <w:tab w:val="left" w:pos="1134"/>
        </w:tabs>
        <w:snapToGrid w:val="0"/>
        <w:jc w:val="both"/>
        <w:rPr>
          <w:rFonts w:asciiTheme="minorHAnsi" w:hAnsiTheme="minorHAnsi" w:cstheme="minorHAnsi"/>
          <w:szCs w:val="24"/>
        </w:rPr>
      </w:pPr>
      <w:r w:rsidRPr="004B591A">
        <w:rPr>
          <w:rFonts w:asciiTheme="minorHAnsi" w:hAnsiTheme="minorHAnsi" w:cstheme="minorHAnsi"/>
          <w:szCs w:val="24"/>
        </w:rPr>
        <w:t>2</w:t>
      </w:r>
      <w:r w:rsidRPr="004B591A">
        <w:rPr>
          <w:rFonts w:asciiTheme="minorHAnsi" w:hAnsiTheme="minorHAnsi" w:cstheme="minorHAnsi"/>
          <w:szCs w:val="24"/>
        </w:rPr>
        <w:tab/>
        <w:t>to continue working on the synchronization and linkage among the strategic, financial and operational planning functions within ITU.</w:t>
      </w:r>
    </w:p>
    <w:p w:rsidR="00C672BF" w:rsidRPr="00C672BF" w:rsidRDefault="004B591A" w:rsidP="006F4E6B">
      <w:pPr>
        <w:pStyle w:val="Heading2"/>
        <w:spacing w:before="840" w:after="120"/>
        <w:jc w:val="center"/>
      </w:pPr>
      <w:r w:rsidRPr="004B591A">
        <w:rPr>
          <w:rFonts w:asciiTheme="minorHAnsi" w:hAnsiTheme="minorHAnsi" w:cstheme="minorHAnsi"/>
          <w:szCs w:val="24"/>
        </w:rPr>
        <w:t>_____________________</w:t>
      </w:r>
    </w:p>
    <w:sectPr w:rsidR="00C672BF" w:rsidRPr="00C672BF" w:rsidSect="002B5980">
      <w:headerReference w:type="default" r:id="rId13"/>
      <w:footerReference w:type="first" r:id="rId14"/>
      <w:pgSz w:w="11907" w:h="16834" w:code="9"/>
      <w:pgMar w:top="1021" w:right="1134" w:bottom="1134" w:left="1134" w:header="624"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67" w:rsidRDefault="00EB7167">
      <w:r>
        <w:separator/>
      </w:r>
    </w:p>
  </w:endnote>
  <w:endnote w:type="continuationSeparator" w:id="0">
    <w:p w:rsidR="00EB7167" w:rsidRDefault="00EB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7C3A41" w:rsidRDefault="00D7144D" w:rsidP="007C3A41">
    <w:pPr>
      <w:spacing w:before="0"/>
      <w:rPr>
        <w:rFonts w:asciiTheme="minorHAnsi" w:hAnsiTheme="minorHAnsi"/>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67" w:rsidRDefault="00EB7167">
      <w:r>
        <w:t>____________________</w:t>
      </w:r>
    </w:p>
    <w:p w:rsidR="00EB7167" w:rsidRDefault="00EB7167"/>
  </w:footnote>
  <w:footnote w:type="continuationSeparator" w:id="0">
    <w:p w:rsidR="00EB7167" w:rsidRDefault="00EB7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C672BF" w:rsidRDefault="00D7144D">
    <w:pPr>
      <w:pStyle w:val="Header"/>
      <w:rPr>
        <w:rFonts w:asciiTheme="minorHAnsi" w:hAnsiTheme="minorHAnsi"/>
      </w:rPr>
    </w:pPr>
    <w:r w:rsidRPr="00C672BF">
      <w:rPr>
        <w:rFonts w:asciiTheme="minorHAnsi" w:hAnsiTheme="minorHAnsi"/>
      </w:rPr>
      <w:t xml:space="preserve">- </w:t>
    </w:r>
    <w:r w:rsidRPr="00C672BF">
      <w:rPr>
        <w:rFonts w:asciiTheme="minorHAnsi" w:hAnsiTheme="minorHAnsi"/>
      </w:rPr>
      <w:fldChar w:fldCharType="begin"/>
    </w:r>
    <w:r w:rsidRPr="00C672BF">
      <w:rPr>
        <w:rFonts w:asciiTheme="minorHAnsi" w:hAnsiTheme="minorHAnsi"/>
      </w:rPr>
      <w:instrText>PAGE</w:instrText>
    </w:r>
    <w:r w:rsidRPr="00C672BF">
      <w:rPr>
        <w:rFonts w:asciiTheme="minorHAnsi" w:hAnsiTheme="minorHAnsi"/>
      </w:rPr>
      <w:fldChar w:fldCharType="separate"/>
    </w:r>
    <w:r w:rsidR="002E3C64">
      <w:rPr>
        <w:rFonts w:asciiTheme="minorHAnsi" w:hAnsiTheme="minorHAnsi"/>
        <w:noProof/>
      </w:rPr>
      <w:t>3</w:t>
    </w:r>
    <w:r w:rsidRPr="00C672BF">
      <w:rPr>
        <w:rFonts w:asciiTheme="minorHAnsi" w:hAnsiTheme="minorHAnsi"/>
      </w:rPr>
      <w:fldChar w:fldCharType="end"/>
    </w:r>
    <w:r w:rsidRPr="00C672BF">
      <w:rPr>
        <w:rFonts w:asciiTheme="minorHAnsi" w:hAnsiTheme="minorHAnsi"/>
      </w:rPr>
      <w:t xml:space="preserve"> -</w:t>
    </w:r>
  </w:p>
  <w:p w:rsidR="00D7144D" w:rsidRDefault="00D7144D"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906"/>
    <w:multiLevelType w:val="multilevel"/>
    <w:tmpl w:val="65AC0E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D4B3569"/>
    <w:multiLevelType w:val="hybridMultilevel"/>
    <w:tmpl w:val="1E7CFA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C62718"/>
    <w:multiLevelType w:val="multilevel"/>
    <w:tmpl w:val="07186D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5E8E"/>
    <w:rsid w:val="00027EFA"/>
    <w:rsid w:val="0003367B"/>
    <w:rsid w:val="00033C1E"/>
    <w:rsid w:val="000363F6"/>
    <w:rsid w:val="000406CF"/>
    <w:rsid w:val="000406DA"/>
    <w:rsid w:val="00044742"/>
    <w:rsid w:val="00051E9A"/>
    <w:rsid w:val="0005330D"/>
    <w:rsid w:val="0005586D"/>
    <w:rsid w:val="0006006C"/>
    <w:rsid w:val="00060490"/>
    <w:rsid w:val="00060642"/>
    <w:rsid w:val="000625EC"/>
    <w:rsid w:val="00080890"/>
    <w:rsid w:val="00082487"/>
    <w:rsid w:val="00083AB0"/>
    <w:rsid w:val="00085CF2"/>
    <w:rsid w:val="00087BB2"/>
    <w:rsid w:val="00090DB1"/>
    <w:rsid w:val="00091304"/>
    <w:rsid w:val="000914EE"/>
    <w:rsid w:val="00096678"/>
    <w:rsid w:val="000A523E"/>
    <w:rsid w:val="000A6C3C"/>
    <w:rsid w:val="000B1705"/>
    <w:rsid w:val="000B1804"/>
    <w:rsid w:val="000C0550"/>
    <w:rsid w:val="000D034D"/>
    <w:rsid w:val="000D1B19"/>
    <w:rsid w:val="000E53E0"/>
    <w:rsid w:val="001121F5"/>
    <w:rsid w:val="00112A2E"/>
    <w:rsid w:val="00115BC4"/>
    <w:rsid w:val="00126AF0"/>
    <w:rsid w:val="00126E5D"/>
    <w:rsid w:val="00132D99"/>
    <w:rsid w:val="00133A76"/>
    <w:rsid w:val="001411CE"/>
    <w:rsid w:val="00141B6D"/>
    <w:rsid w:val="00143A98"/>
    <w:rsid w:val="00143CC0"/>
    <w:rsid w:val="0014539F"/>
    <w:rsid w:val="0014759E"/>
    <w:rsid w:val="00155EF2"/>
    <w:rsid w:val="0015615B"/>
    <w:rsid w:val="00157923"/>
    <w:rsid w:val="00157E22"/>
    <w:rsid w:val="00164E99"/>
    <w:rsid w:val="00164F90"/>
    <w:rsid w:val="00167DF3"/>
    <w:rsid w:val="00171B5B"/>
    <w:rsid w:val="0017539C"/>
    <w:rsid w:val="0017609F"/>
    <w:rsid w:val="0019164E"/>
    <w:rsid w:val="00191F72"/>
    <w:rsid w:val="001947CC"/>
    <w:rsid w:val="00197BEB"/>
    <w:rsid w:val="001A258D"/>
    <w:rsid w:val="001A44BC"/>
    <w:rsid w:val="001A4F5D"/>
    <w:rsid w:val="001A5A86"/>
    <w:rsid w:val="001B1348"/>
    <w:rsid w:val="001B404B"/>
    <w:rsid w:val="001B731C"/>
    <w:rsid w:val="001C20D1"/>
    <w:rsid w:val="001C2533"/>
    <w:rsid w:val="001C628E"/>
    <w:rsid w:val="001D0282"/>
    <w:rsid w:val="001D311E"/>
    <w:rsid w:val="001E0873"/>
    <w:rsid w:val="001E0F7B"/>
    <w:rsid w:val="001E3D67"/>
    <w:rsid w:val="001E5A96"/>
    <w:rsid w:val="001E5BEE"/>
    <w:rsid w:val="001F212B"/>
    <w:rsid w:val="001F4859"/>
    <w:rsid w:val="001F565C"/>
    <w:rsid w:val="001F59DB"/>
    <w:rsid w:val="002009E4"/>
    <w:rsid w:val="002034FE"/>
    <w:rsid w:val="00204837"/>
    <w:rsid w:val="0020628E"/>
    <w:rsid w:val="00207B40"/>
    <w:rsid w:val="00211C39"/>
    <w:rsid w:val="00213E72"/>
    <w:rsid w:val="00216668"/>
    <w:rsid w:val="002178B8"/>
    <w:rsid w:val="00223D03"/>
    <w:rsid w:val="00224812"/>
    <w:rsid w:val="00224F52"/>
    <w:rsid w:val="00230211"/>
    <w:rsid w:val="002323A7"/>
    <w:rsid w:val="0023345C"/>
    <w:rsid w:val="00233546"/>
    <w:rsid w:val="002372ED"/>
    <w:rsid w:val="00241C31"/>
    <w:rsid w:val="002461BA"/>
    <w:rsid w:val="002509C9"/>
    <w:rsid w:val="00252CDA"/>
    <w:rsid w:val="00262C55"/>
    <w:rsid w:val="00265875"/>
    <w:rsid w:val="002664D2"/>
    <w:rsid w:val="00266544"/>
    <w:rsid w:val="00266A38"/>
    <w:rsid w:val="00266E4B"/>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B5980"/>
    <w:rsid w:val="002C1C7A"/>
    <w:rsid w:val="002D3CA6"/>
    <w:rsid w:val="002D448E"/>
    <w:rsid w:val="002D47F7"/>
    <w:rsid w:val="002D7FCC"/>
    <w:rsid w:val="002E0872"/>
    <w:rsid w:val="002E3C64"/>
    <w:rsid w:val="002E5A5D"/>
    <w:rsid w:val="002E5AC3"/>
    <w:rsid w:val="002F17BD"/>
    <w:rsid w:val="00302EB0"/>
    <w:rsid w:val="003104AE"/>
    <w:rsid w:val="00311C3B"/>
    <w:rsid w:val="00311DA1"/>
    <w:rsid w:val="0031367D"/>
    <w:rsid w:val="003137E7"/>
    <w:rsid w:val="00314813"/>
    <w:rsid w:val="00314D4F"/>
    <w:rsid w:val="0032203B"/>
    <w:rsid w:val="003221B7"/>
    <w:rsid w:val="003259C3"/>
    <w:rsid w:val="00325F02"/>
    <w:rsid w:val="0033378B"/>
    <w:rsid w:val="0033535B"/>
    <w:rsid w:val="0034515A"/>
    <w:rsid w:val="00346A46"/>
    <w:rsid w:val="00352973"/>
    <w:rsid w:val="0036205D"/>
    <w:rsid w:val="00362FE9"/>
    <w:rsid w:val="003642D8"/>
    <w:rsid w:val="00370861"/>
    <w:rsid w:val="00375038"/>
    <w:rsid w:val="00375CE5"/>
    <w:rsid w:val="00382DA7"/>
    <w:rsid w:val="0038348E"/>
    <w:rsid w:val="00384EED"/>
    <w:rsid w:val="00390C61"/>
    <w:rsid w:val="003942D4"/>
    <w:rsid w:val="003958A8"/>
    <w:rsid w:val="0039606B"/>
    <w:rsid w:val="003969A8"/>
    <w:rsid w:val="003A0D4B"/>
    <w:rsid w:val="003A4E18"/>
    <w:rsid w:val="003A6515"/>
    <w:rsid w:val="003A77D9"/>
    <w:rsid w:val="003A7BA2"/>
    <w:rsid w:val="003C1736"/>
    <w:rsid w:val="003C3D8D"/>
    <w:rsid w:val="003C5406"/>
    <w:rsid w:val="003D34FB"/>
    <w:rsid w:val="003D5EE4"/>
    <w:rsid w:val="003E103B"/>
    <w:rsid w:val="003E417E"/>
    <w:rsid w:val="003E6D41"/>
    <w:rsid w:val="003F59E8"/>
    <w:rsid w:val="003F5F61"/>
    <w:rsid w:val="004002BF"/>
    <w:rsid w:val="00415966"/>
    <w:rsid w:val="0041739B"/>
    <w:rsid w:val="00422F6E"/>
    <w:rsid w:val="00423CF3"/>
    <w:rsid w:val="0042461B"/>
    <w:rsid w:val="0042520B"/>
    <w:rsid w:val="00431EC5"/>
    <w:rsid w:val="00433CE8"/>
    <w:rsid w:val="00440A2A"/>
    <w:rsid w:val="00447830"/>
    <w:rsid w:val="004522A4"/>
    <w:rsid w:val="004524CB"/>
    <w:rsid w:val="004544D9"/>
    <w:rsid w:val="00454720"/>
    <w:rsid w:val="00454CE8"/>
    <w:rsid w:val="00462702"/>
    <w:rsid w:val="0046399B"/>
    <w:rsid w:val="00466356"/>
    <w:rsid w:val="00474091"/>
    <w:rsid w:val="00476CBB"/>
    <w:rsid w:val="00476EAD"/>
    <w:rsid w:val="004804F3"/>
    <w:rsid w:val="004824B2"/>
    <w:rsid w:val="004921C8"/>
    <w:rsid w:val="00494F0E"/>
    <w:rsid w:val="00497457"/>
    <w:rsid w:val="004A0168"/>
    <w:rsid w:val="004A2D22"/>
    <w:rsid w:val="004A7476"/>
    <w:rsid w:val="004B413A"/>
    <w:rsid w:val="004B591A"/>
    <w:rsid w:val="004B7CF2"/>
    <w:rsid w:val="004C1374"/>
    <w:rsid w:val="004C4CD5"/>
    <w:rsid w:val="004C581A"/>
    <w:rsid w:val="004C5F8D"/>
    <w:rsid w:val="004E1229"/>
    <w:rsid w:val="004E1AA9"/>
    <w:rsid w:val="004E1AEE"/>
    <w:rsid w:val="004E276F"/>
    <w:rsid w:val="004E2EA5"/>
    <w:rsid w:val="004E3A5D"/>
    <w:rsid w:val="004E7D16"/>
    <w:rsid w:val="004F3682"/>
    <w:rsid w:val="0050223C"/>
    <w:rsid w:val="005030F2"/>
    <w:rsid w:val="0051396C"/>
    <w:rsid w:val="005166BA"/>
    <w:rsid w:val="00516BE8"/>
    <w:rsid w:val="00525421"/>
    <w:rsid w:val="0052758B"/>
    <w:rsid w:val="00534E85"/>
    <w:rsid w:val="005352F1"/>
    <w:rsid w:val="00542420"/>
    <w:rsid w:val="005431C5"/>
    <w:rsid w:val="00546E2C"/>
    <w:rsid w:val="005476DB"/>
    <w:rsid w:val="005546E9"/>
    <w:rsid w:val="00555654"/>
    <w:rsid w:val="00557E06"/>
    <w:rsid w:val="0056199E"/>
    <w:rsid w:val="00563D37"/>
    <w:rsid w:val="00564FBC"/>
    <w:rsid w:val="005703B3"/>
    <w:rsid w:val="00571358"/>
    <w:rsid w:val="00572976"/>
    <w:rsid w:val="00573F30"/>
    <w:rsid w:val="0057486A"/>
    <w:rsid w:val="00577EE5"/>
    <w:rsid w:val="00582442"/>
    <w:rsid w:val="00594700"/>
    <w:rsid w:val="005A07F8"/>
    <w:rsid w:val="005A1CA3"/>
    <w:rsid w:val="005A473B"/>
    <w:rsid w:val="005A56BD"/>
    <w:rsid w:val="005A5763"/>
    <w:rsid w:val="005A6AA8"/>
    <w:rsid w:val="005B62CB"/>
    <w:rsid w:val="005C11F1"/>
    <w:rsid w:val="005C472C"/>
    <w:rsid w:val="005C68C8"/>
    <w:rsid w:val="005C7EFB"/>
    <w:rsid w:val="005D0F96"/>
    <w:rsid w:val="005D2735"/>
    <w:rsid w:val="005D7471"/>
    <w:rsid w:val="005E1D6F"/>
    <w:rsid w:val="005E1DBF"/>
    <w:rsid w:val="005E2754"/>
    <w:rsid w:val="005F0BF9"/>
    <w:rsid w:val="005F1DE7"/>
    <w:rsid w:val="005F6291"/>
    <w:rsid w:val="0060136D"/>
    <w:rsid w:val="0060217F"/>
    <w:rsid w:val="006025D3"/>
    <w:rsid w:val="006036D2"/>
    <w:rsid w:val="00605375"/>
    <w:rsid w:val="006061F6"/>
    <w:rsid w:val="0060738E"/>
    <w:rsid w:val="00607A8F"/>
    <w:rsid w:val="00611121"/>
    <w:rsid w:val="0061529A"/>
    <w:rsid w:val="006245BD"/>
    <w:rsid w:val="00625110"/>
    <w:rsid w:val="00631445"/>
    <w:rsid w:val="006353F4"/>
    <w:rsid w:val="00640350"/>
    <w:rsid w:val="00641642"/>
    <w:rsid w:val="00642818"/>
    <w:rsid w:val="00644588"/>
    <w:rsid w:val="006467EB"/>
    <w:rsid w:val="00651182"/>
    <w:rsid w:val="00654E72"/>
    <w:rsid w:val="006560E2"/>
    <w:rsid w:val="00662984"/>
    <w:rsid w:val="006664D0"/>
    <w:rsid w:val="00667666"/>
    <w:rsid w:val="00667AD7"/>
    <w:rsid w:val="00670161"/>
    <w:rsid w:val="006765A3"/>
    <w:rsid w:val="00676AC3"/>
    <w:rsid w:val="006808CF"/>
    <w:rsid w:val="00685352"/>
    <w:rsid w:val="00687324"/>
    <w:rsid w:val="00696C7C"/>
    <w:rsid w:val="006A0E9D"/>
    <w:rsid w:val="006A1507"/>
    <w:rsid w:val="006A5907"/>
    <w:rsid w:val="006B4A4B"/>
    <w:rsid w:val="006B6DCC"/>
    <w:rsid w:val="006C1FE5"/>
    <w:rsid w:val="006C4D1A"/>
    <w:rsid w:val="006C6ECC"/>
    <w:rsid w:val="006C7C0C"/>
    <w:rsid w:val="006D0D77"/>
    <w:rsid w:val="006D55D4"/>
    <w:rsid w:val="006E05BC"/>
    <w:rsid w:val="006E1542"/>
    <w:rsid w:val="006E32FA"/>
    <w:rsid w:val="006E6810"/>
    <w:rsid w:val="006F1998"/>
    <w:rsid w:val="006F4E6B"/>
    <w:rsid w:val="006F51C9"/>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73F"/>
    <w:rsid w:val="007422DD"/>
    <w:rsid w:val="00743B89"/>
    <w:rsid w:val="0075057F"/>
    <w:rsid w:val="0075359A"/>
    <w:rsid w:val="007579C3"/>
    <w:rsid w:val="00761159"/>
    <w:rsid w:val="00763AC3"/>
    <w:rsid w:val="0076793A"/>
    <w:rsid w:val="00776BD3"/>
    <w:rsid w:val="0077710D"/>
    <w:rsid w:val="0077759E"/>
    <w:rsid w:val="00782469"/>
    <w:rsid w:val="00782AF6"/>
    <w:rsid w:val="00794BEC"/>
    <w:rsid w:val="0079687E"/>
    <w:rsid w:val="007969E9"/>
    <w:rsid w:val="00796FA5"/>
    <w:rsid w:val="007972A9"/>
    <w:rsid w:val="007A05E1"/>
    <w:rsid w:val="007A3DA8"/>
    <w:rsid w:val="007B0746"/>
    <w:rsid w:val="007B48FF"/>
    <w:rsid w:val="007B6A8D"/>
    <w:rsid w:val="007C33FA"/>
    <w:rsid w:val="007C3A41"/>
    <w:rsid w:val="007C7D3F"/>
    <w:rsid w:val="007D1B5F"/>
    <w:rsid w:val="007D5356"/>
    <w:rsid w:val="007D58C8"/>
    <w:rsid w:val="007E1756"/>
    <w:rsid w:val="007E73DD"/>
    <w:rsid w:val="007F0840"/>
    <w:rsid w:val="007F2124"/>
    <w:rsid w:val="007F3F26"/>
    <w:rsid w:val="0080074C"/>
    <w:rsid w:val="00805138"/>
    <w:rsid w:val="00811C37"/>
    <w:rsid w:val="008121F1"/>
    <w:rsid w:val="00831957"/>
    <w:rsid w:val="00833550"/>
    <w:rsid w:val="00835301"/>
    <w:rsid w:val="0083581B"/>
    <w:rsid w:val="00840993"/>
    <w:rsid w:val="0084140B"/>
    <w:rsid w:val="00841698"/>
    <w:rsid w:val="0084318B"/>
    <w:rsid w:val="00843FFC"/>
    <w:rsid w:val="00844A08"/>
    <w:rsid w:val="0086214B"/>
    <w:rsid w:val="00862A59"/>
    <w:rsid w:val="00870B34"/>
    <w:rsid w:val="008802BD"/>
    <w:rsid w:val="00880C96"/>
    <w:rsid w:val="00880F43"/>
    <w:rsid w:val="00882198"/>
    <w:rsid w:val="00893913"/>
    <w:rsid w:val="00894A8D"/>
    <w:rsid w:val="0089781C"/>
    <w:rsid w:val="008A22C5"/>
    <w:rsid w:val="008A453D"/>
    <w:rsid w:val="008A5FDD"/>
    <w:rsid w:val="008A6FA7"/>
    <w:rsid w:val="008B1F57"/>
    <w:rsid w:val="008B1F62"/>
    <w:rsid w:val="008B2F6E"/>
    <w:rsid w:val="008C30F7"/>
    <w:rsid w:val="008C561E"/>
    <w:rsid w:val="008D2D0A"/>
    <w:rsid w:val="008D494D"/>
    <w:rsid w:val="008E5A16"/>
    <w:rsid w:val="008E6086"/>
    <w:rsid w:val="008E66A4"/>
    <w:rsid w:val="008F3EA7"/>
    <w:rsid w:val="00902374"/>
    <w:rsid w:val="0090483B"/>
    <w:rsid w:val="0090693C"/>
    <w:rsid w:val="009108A1"/>
    <w:rsid w:val="00911F7D"/>
    <w:rsid w:val="00912C48"/>
    <w:rsid w:val="00912E33"/>
    <w:rsid w:val="00916E39"/>
    <w:rsid w:val="009173EF"/>
    <w:rsid w:val="00917ABA"/>
    <w:rsid w:val="00925131"/>
    <w:rsid w:val="00930D14"/>
    <w:rsid w:val="00932906"/>
    <w:rsid w:val="0094130F"/>
    <w:rsid w:val="009419D1"/>
    <w:rsid w:val="00945D18"/>
    <w:rsid w:val="009539B3"/>
    <w:rsid w:val="00961B0B"/>
    <w:rsid w:val="00962938"/>
    <w:rsid w:val="00963226"/>
    <w:rsid w:val="009659F0"/>
    <w:rsid w:val="00966A1B"/>
    <w:rsid w:val="00977602"/>
    <w:rsid w:val="00981F5D"/>
    <w:rsid w:val="009821AE"/>
    <w:rsid w:val="00984458"/>
    <w:rsid w:val="00997952"/>
    <w:rsid w:val="009A069F"/>
    <w:rsid w:val="009A6F1D"/>
    <w:rsid w:val="009B048E"/>
    <w:rsid w:val="009B637E"/>
    <w:rsid w:val="009D1147"/>
    <w:rsid w:val="009D3B98"/>
    <w:rsid w:val="009D6EA5"/>
    <w:rsid w:val="009E17BD"/>
    <w:rsid w:val="009E3EED"/>
    <w:rsid w:val="009E6868"/>
    <w:rsid w:val="009E7651"/>
    <w:rsid w:val="009E7DE0"/>
    <w:rsid w:val="009F15C5"/>
    <w:rsid w:val="009F1D4D"/>
    <w:rsid w:val="009F4DF7"/>
    <w:rsid w:val="009F5BC3"/>
    <w:rsid w:val="00A02D2D"/>
    <w:rsid w:val="00A04CEC"/>
    <w:rsid w:val="00A066D8"/>
    <w:rsid w:val="00A12C68"/>
    <w:rsid w:val="00A20884"/>
    <w:rsid w:val="00A27F92"/>
    <w:rsid w:val="00A305AA"/>
    <w:rsid w:val="00A32654"/>
    <w:rsid w:val="00A33971"/>
    <w:rsid w:val="00A35E16"/>
    <w:rsid w:val="00A44101"/>
    <w:rsid w:val="00A5383B"/>
    <w:rsid w:val="00A55622"/>
    <w:rsid w:val="00A556C2"/>
    <w:rsid w:val="00A602CD"/>
    <w:rsid w:val="00A63031"/>
    <w:rsid w:val="00A71E8E"/>
    <w:rsid w:val="00A76752"/>
    <w:rsid w:val="00A77EA6"/>
    <w:rsid w:val="00A806F2"/>
    <w:rsid w:val="00A8261D"/>
    <w:rsid w:val="00A82D0D"/>
    <w:rsid w:val="00A87B50"/>
    <w:rsid w:val="00A91DE4"/>
    <w:rsid w:val="00A94AD4"/>
    <w:rsid w:val="00AA5496"/>
    <w:rsid w:val="00AB0340"/>
    <w:rsid w:val="00AB42F6"/>
    <w:rsid w:val="00AC1E55"/>
    <w:rsid w:val="00AC2591"/>
    <w:rsid w:val="00AC6F74"/>
    <w:rsid w:val="00AC769F"/>
    <w:rsid w:val="00AD0AE5"/>
    <w:rsid w:val="00AD3E23"/>
    <w:rsid w:val="00AD5D3C"/>
    <w:rsid w:val="00AD7201"/>
    <w:rsid w:val="00AD7909"/>
    <w:rsid w:val="00AE26D6"/>
    <w:rsid w:val="00AF2963"/>
    <w:rsid w:val="00B024D2"/>
    <w:rsid w:val="00B13315"/>
    <w:rsid w:val="00B2270F"/>
    <w:rsid w:val="00B23E7E"/>
    <w:rsid w:val="00B25B11"/>
    <w:rsid w:val="00B25B41"/>
    <w:rsid w:val="00B27123"/>
    <w:rsid w:val="00B332FB"/>
    <w:rsid w:val="00B371AF"/>
    <w:rsid w:val="00B40A81"/>
    <w:rsid w:val="00B41974"/>
    <w:rsid w:val="00B44910"/>
    <w:rsid w:val="00B54B8F"/>
    <w:rsid w:val="00B576FA"/>
    <w:rsid w:val="00B7000E"/>
    <w:rsid w:val="00B72267"/>
    <w:rsid w:val="00B750EB"/>
    <w:rsid w:val="00B76EB6"/>
    <w:rsid w:val="00B77B71"/>
    <w:rsid w:val="00B824C8"/>
    <w:rsid w:val="00B82A28"/>
    <w:rsid w:val="00B8318C"/>
    <w:rsid w:val="00B84652"/>
    <w:rsid w:val="00B8578D"/>
    <w:rsid w:val="00B8714F"/>
    <w:rsid w:val="00B902F2"/>
    <w:rsid w:val="00BA1CA1"/>
    <w:rsid w:val="00BA1CAA"/>
    <w:rsid w:val="00BA3A82"/>
    <w:rsid w:val="00BA4604"/>
    <w:rsid w:val="00BA7087"/>
    <w:rsid w:val="00BB0863"/>
    <w:rsid w:val="00BB0E88"/>
    <w:rsid w:val="00BB137B"/>
    <w:rsid w:val="00BB2F3F"/>
    <w:rsid w:val="00BC2C12"/>
    <w:rsid w:val="00BC5A8A"/>
    <w:rsid w:val="00BD032B"/>
    <w:rsid w:val="00BE012E"/>
    <w:rsid w:val="00BE02D1"/>
    <w:rsid w:val="00BE1922"/>
    <w:rsid w:val="00BE2640"/>
    <w:rsid w:val="00BE355F"/>
    <w:rsid w:val="00BF1FFF"/>
    <w:rsid w:val="00BF27CF"/>
    <w:rsid w:val="00BF2BF9"/>
    <w:rsid w:val="00BF370B"/>
    <w:rsid w:val="00C01189"/>
    <w:rsid w:val="00C03AD5"/>
    <w:rsid w:val="00C104DD"/>
    <w:rsid w:val="00C108D2"/>
    <w:rsid w:val="00C17270"/>
    <w:rsid w:val="00C17609"/>
    <w:rsid w:val="00C17AF8"/>
    <w:rsid w:val="00C301A8"/>
    <w:rsid w:val="00C33313"/>
    <w:rsid w:val="00C36D0F"/>
    <w:rsid w:val="00C374DE"/>
    <w:rsid w:val="00C4152B"/>
    <w:rsid w:val="00C44DA7"/>
    <w:rsid w:val="00C50344"/>
    <w:rsid w:val="00C512A0"/>
    <w:rsid w:val="00C51F07"/>
    <w:rsid w:val="00C53A28"/>
    <w:rsid w:val="00C667DB"/>
    <w:rsid w:val="00C66E21"/>
    <w:rsid w:val="00C672BF"/>
    <w:rsid w:val="00C7397E"/>
    <w:rsid w:val="00C73A8D"/>
    <w:rsid w:val="00C83C71"/>
    <w:rsid w:val="00C90506"/>
    <w:rsid w:val="00C94145"/>
    <w:rsid w:val="00C9560A"/>
    <w:rsid w:val="00CA1BFF"/>
    <w:rsid w:val="00CA2A00"/>
    <w:rsid w:val="00CA4EB5"/>
    <w:rsid w:val="00CA6393"/>
    <w:rsid w:val="00CB1BB5"/>
    <w:rsid w:val="00CB45D7"/>
    <w:rsid w:val="00CB5846"/>
    <w:rsid w:val="00CB688A"/>
    <w:rsid w:val="00CC02B8"/>
    <w:rsid w:val="00CC2057"/>
    <w:rsid w:val="00CD0C08"/>
    <w:rsid w:val="00CD5BBD"/>
    <w:rsid w:val="00CD66E3"/>
    <w:rsid w:val="00CE222A"/>
    <w:rsid w:val="00CE554A"/>
    <w:rsid w:val="00CF203C"/>
    <w:rsid w:val="00CF33F3"/>
    <w:rsid w:val="00CF3EC3"/>
    <w:rsid w:val="00CF6AD5"/>
    <w:rsid w:val="00D01238"/>
    <w:rsid w:val="00D01634"/>
    <w:rsid w:val="00D04FD6"/>
    <w:rsid w:val="00D05510"/>
    <w:rsid w:val="00D06183"/>
    <w:rsid w:val="00D10EA5"/>
    <w:rsid w:val="00D12D29"/>
    <w:rsid w:val="00D145D9"/>
    <w:rsid w:val="00D15841"/>
    <w:rsid w:val="00D175B3"/>
    <w:rsid w:val="00D208E0"/>
    <w:rsid w:val="00D2236C"/>
    <w:rsid w:val="00D22C42"/>
    <w:rsid w:val="00D2455D"/>
    <w:rsid w:val="00D25DBB"/>
    <w:rsid w:val="00D27B70"/>
    <w:rsid w:val="00D309CF"/>
    <w:rsid w:val="00D30A39"/>
    <w:rsid w:val="00D336EE"/>
    <w:rsid w:val="00D337D8"/>
    <w:rsid w:val="00D33BC1"/>
    <w:rsid w:val="00D43B52"/>
    <w:rsid w:val="00D442AF"/>
    <w:rsid w:val="00D4769E"/>
    <w:rsid w:val="00D534B0"/>
    <w:rsid w:val="00D57E69"/>
    <w:rsid w:val="00D617BD"/>
    <w:rsid w:val="00D7144D"/>
    <w:rsid w:val="00D7225A"/>
    <w:rsid w:val="00D7501A"/>
    <w:rsid w:val="00D76A33"/>
    <w:rsid w:val="00D86145"/>
    <w:rsid w:val="00D9217C"/>
    <w:rsid w:val="00DA1A79"/>
    <w:rsid w:val="00DA313D"/>
    <w:rsid w:val="00DA3E70"/>
    <w:rsid w:val="00DA5B1F"/>
    <w:rsid w:val="00DB088B"/>
    <w:rsid w:val="00DB6388"/>
    <w:rsid w:val="00DC0E33"/>
    <w:rsid w:val="00DC429C"/>
    <w:rsid w:val="00DC4A08"/>
    <w:rsid w:val="00DC7F3A"/>
    <w:rsid w:val="00DD06C6"/>
    <w:rsid w:val="00DE06EB"/>
    <w:rsid w:val="00DE0C72"/>
    <w:rsid w:val="00DE52DC"/>
    <w:rsid w:val="00DF608C"/>
    <w:rsid w:val="00E07153"/>
    <w:rsid w:val="00E07718"/>
    <w:rsid w:val="00E10E80"/>
    <w:rsid w:val="00E124F0"/>
    <w:rsid w:val="00E137BC"/>
    <w:rsid w:val="00E17990"/>
    <w:rsid w:val="00E17CE7"/>
    <w:rsid w:val="00E237EC"/>
    <w:rsid w:val="00E2526B"/>
    <w:rsid w:val="00E342CF"/>
    <w:rsid w:val="00E3640B"/>
    <w:rsid w:val="00E40B6E"/>
    <w:rsid w:val="00E4141B"/>
    <w:rsid w:val="00E4442D"/>
    <w:rsid w:val="00E544AC"/>
    <w:rsid w:val="00E55559"/>
    <w:rsid w:val="00E77551"/>
    <w:rsid w:val="00E828D5"/>
    <w:rsid w:val="00E8417D"/>
    <w:rsid w:val="00E849B4"/>
    <w:rsid w:val="00E85DA7"/>
    <w:rsid w:val="00E90283"/>
    <w:rsid w:val="00E917D3"/>
    <w:rsid w:val="00EA5FA5"/>
    <w:rsid w:val="00EB2232"/>
    <w:rsid w:val="00EB2ED4"/>
    <w:rsid w:val="00EB43C8"/>
    <w:rsid w:val="00EB4849"/>
    <w:rsid w:val="00EB66CD"/>
    <w:rsid w:val="00EB7167"/>
    <w:rsid w:val="00EC3551"/>
    <w:rsid w:val="00ED029B"/>
    <w:rsid w:val="00ED063D"/>
    <w:rsid w:val="00ED1BE1"/>
    <w:rsid w:val="00ED308F"/>
    <w:rsid w:val="00ED50E7"/>
    <w:rsid w:val="00ED6491"/>
    <w:rsid w:val="00ED6E70"/>
    <w:rsid w:val="00EE00D4"/>
    <w:rsid w:val="00EE0185"/>
    <w:rsid w:val="00EE620A"/>
    <w:rsid w:val="00EF00BD"/>
    <w:rsid w:val="00EF7D55"/>
    <w:rsid w:val="00F01FC4"/>
    <w:rsid w:val="00F02CE5"/>
    <w:rsid w:val="00F03FB0"/>
    <w:rsid w:val="00F046BB"/>
    <w:rsid w:val="00F07765"/>
    <w:rsid w:val="00F1489D"/>
    <w:rsid w:val="00F15957"/>
    <w:rsid w:val="00F17005"/>
    <w:rsid w:val="00F1776B"/>
    <w:rsid w:val="00F2150A"/>
    <w:rsid w:val="00F23CA9"/>
    <w:rsid w:val="00F33243"/>
    <w:rsid w:val="00F3600D"/>
    <w:rsid w:val="00F43265"/>
    <w:rsid w:val="00F5168B"/>
    <w:rsid w:val="00F523CD"/>
    <w:rsid w:val="00F524E4"/>
    <w:rsid w:val="00F61E82"/>
    <w:rsid w:val="00F6550B"/>
    <w:rsid w:val="00F6647A"/>
    <w:rsid w:val="00F70C1F"/>
    <w:rsid w:val="00F71EF8"/>
    <w:rsid w:val="00F73F0D"/>
    <w:rsid w:val="00F77CB0"/>
    <w:rsid w:val="00F83017"/>
    <w:rsid w:val="00F83B99"/>
    <w:rsid w:val="00F84005"/>
    <w:rsid w:val="00F910A2"/>
    <w:rsid w:val="00F915D8"/>
    <w:rsid w:val="00F96900"/>
    <w:rsid w:val="00FB3CFA"/>
    <w:rsid w:val="00FB4929"/>
    <w:rsid w:val="00FB4F5B"/>
    <w:rsid w:val="00FC3229"/>
    <w:rsid w:val="00FC4153"/>
    <w:rsid w:val="00FC4B12"/>
    <w:rsid w:val="00FD0557"/>
    <w:rsid w:val="00FD0BB9"/>
    <w:rsid w:val="00FD0E17"/>
    <w:rsid w:val="00FD3677"/>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customStyle="1" w:styleId="ListParagraphChar">
    <w:name w:val="List Paragraph Char"/>
    <w:basedOn w:val="DefaultParagraphFont"/>
    <w:link w:val="ListParagraph"/>
    <w:uiPriority w:val="34"/>
    <w:rsid w:val="00027EFA"/>
    <w:rPr>
      <w:rFonts w:ascii="Times New Roman" w:hAnsi="Times New Roman"/>
      <w:sz w:val="24"/>
      <w:lang w:val="en-GB" w:eastAsia="en-US"/>
    </w:rPr>
  </w:style>
  <w:style w:type="table" w:styleId="PlainTable4">
    <w:name w:val="Plain Table 4"/>
    <w:basedOn w:val="TableNormal"/>
    <w:uiPriority w:val="44"/>
    <w:rsid w:val="00027EFA"/>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7-CL-C-0117/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D89E4-4F8D-4E94-9019-69F1DDE7A6CC}">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D6F5AE-5A09-4BBD-81DA-A153A1FE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CWG-SFP draft agenda</vt:lpstr>
    </vt:vector>
  </TitlesOfParts>
  <Manager>General Secretariat - Pool</Manager>
  <Company>International Telecommunication Union (ITU)</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Resolution 1384</dc:title>
  <dc:subject>CWG-SFP 2017</dc:subject>
  <dc:creator>Report by the Secretary-General</dc:creator>
  <cp:keywords>C2017, C17</cp:keywords>
  <cp:lastModifiedBy>Brouard, Ricarda</cp:lastModifiedBy>
  <cp:revision>5</cp:revision>
  <cp:lastPrinted>2013-09-10T08:38:00Z</cp:lastPrinted>
  <dcterms:created xsi:type="dcterms:W3CDTF">2017-05-22T14:45:00Z</dcterms:created>
  <dcterms:modified xsi:type="dcterms:W3CDTF">2017-05-22T15:24:00Z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