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629"/>
        <w:gridCol w:w="3685"/>
      </w:tblGrid>
      <w:tr w:rsidR="00F300C0" w:rsidRPr="0020628E" w:rsidTr="08DC88EB">
        <w:trPr>
          <w:cantSplit/>
        </w:trPr>
        <w:tc>
          <w:tcPr>
            <w:tcW w:w="6629" w:type="dxa"/>
          </w:tcPr>
          <w:p w:rsidR="00F300C0" w:rsidRPr="00E544AC" w:rsidRDefault="00F300C0" w:rsidP="00AB1325">
            <w:pPr>
              <w:spacing w:before="360" w:after="48"/>
              <w:rPr>
                <w:rFonts w:asciiTheme="minorHAnsi" w:eastAsiaTheme="minorEastAsia" w:hAnsiTheme="minorHAnsi" w:cstheme="minorBidi"/>
                <w:b/>
                <w:bCs/>
                <w:sz w:val="26"/>
                <w:szCs w:val="26"/>
              </w:rPr>
            </w:pPr>
            <w:bookmarkStart w:id="0" w:name="dc06"/>
            <w:bookmarkEnd w:id="0"/>
            <w:r w:rsidRPr="08DC88EB">
              <w:rPr>
                <w:rFonts w:asciiTheme="minorHAnsi" w:eastAsiaTheme="minorEastAsia" w:hAnsiTheme="minorHAnsi" w:cstheme="minorBidi"/>
                <w:b/>
                <w:bCs/>
                <w:position w:val="6"/>
                <w:sz w:val="26"/>
                <w:szCs w:val="26"/>
                <w:lang w:val="en-US"/>
              </w:rPr>
              <w:t>COUNCIL WORKING GROUP ON</w:t>
            </w:r>
            <w:r w:rsidRPr="00FF6A76">
              <w:rPr>
                <w:rFonts w:asciiTheme="minorHAnsi" w:hAnsiTheme="minorHAnsi"/>
                <w:b/>
                <w:position w:val="6"/>
                <w:sz w:val="26"/>
                <w:szCs w:val="26"/>
                <w:lang w:val="en-US"/>
              </w:rPr>
              <w:br/>
            </w:r>
            <w:r w:rsidRPr="08DC88EB">
              <w:rPr>
                <w:rFonts w:asciiTheme="minorHAnsi" w:eastAsiaTheme="minorEastAsia" w:hAnsiTheme="minorHAnsi" w:cstheme="minorBidi"/>
                <w:b/>
                <w:bCs/>
                <w:position w:val="6"/>
                <w:sz w:val="26"/>
                <w:szCs w:val="26"/>
                <w:lang w:val="en-US"/>
              </w:rPr>
              <w:t>FINANCIAL AND HUMAN RESOURCES</w:t>
            </w:r>
            <w:r w:rsidRPr="00FF6A76">
              <w:rPr>
                <w:rFonts w:asciiTheme="minorHAnsi" w:hAnsiTheme="minorHAnsi"/>
                <w:b/>
                <w:position w:val="6"/>
                <w:sz w:val="26"/>
                <w:szCs w:val="26"/>
                <w:lang w:val="en-US"/>
              </w:rPr>
              <w:br/>
            </w:r>
            <w:r w:rsidRPr="08DC88EB">
              <w:rPr>
                <w:rFonts w:asciiTheme="minorHAnsi" w:eastAsiaTheme="minorEastAsia" w:hAnsiTheme="minorHAnsi" w:cstheme="minorBidi"/>
                <w:lang w:val="en-AU" w:eastAsia="en-AU"/>
              </w:rPr>
              <w:t>7</w:t>
            </w:r>
            <w:r w:rsidRPr="08DC88EB">
              <w:rPr>
                <w:rFonts w:asciiTheme="minorHAnsi" w:eastAsiaTheme="minorEastAsia" w:hAnsiTheme="minorHAnsi" w:cstheme="minorBidi"/>
                <w:vertAlign w:val="superscript"/>
                <w:lang w:val="en-AU" w:eastAsia="en-AU"/>
              </w:rPr>
              <w:t>th</w:t>
            </w:r>
            <w:r w:rsidRPr="08DC88EB">
              <w:rPr>
                <w:rFonts w:asciiTheme="minorHAnsi" w:eastAsiaTheme="minorEastAsia" w:hAnsiTheme="minorHAnsi" w:cstheme="minorBidi"/>
                <w:lang w:val="en-AU" w:eastAsia="en-AU"/>
              </w:rPr>
              <w:t xml:space="preserve"> meeting, Geneva, 30 January – 1 February 2017</w:t>
            </w:r>
          </w:p>
        </w:tc>
        <w:tc>
          <w:tcPr>
            <w:tcW w:w="3685" w:type="dxa"/>
          </w:tcPr>
          <w:p w:rsidR="00F300C0" w:rsidRPr="0020628E" w:rsidRDefault="00F300C0" w:rsidP="00932C45">
            <w:pPr>
              <w:spacing w:before="0" w:line="240" w:lineRule="atLeast"/>
            </w:pPr>
            <w:bookmarkStart w:id="1" w:name="ditulogo"/>
            <w:bookmarkEnd w:id="1"/>
            <w:r w:rsidRPr="003E757E">
              <w:rPr>
                <w:rFonts w:eastAsia="SimSun" w:cs="Calibri"/>
                <w:noProof/>
                <w:szCs w:val="24"/>
                <w:lang w:val="en-US" w:eastAsia="zh-CN"/>
              </w:rPr>
              <w:drawing>
                <wp:inline distT="0" distB="0" distL="0" distR="0" wp14:anchorId="48C69AB4" wp14:editId="0629BE57">
                  <wp:extent cx="1760220" cy="74676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F300C0" w:rsidRPr="00617BE4" w:rsidTr="08DC88EB">
        <w:trPr>
          <w:cantSplit/>
        </w:trPr>
        <w:tc>
          <w:tcPr>
            <w:tcW w:w="6629" w:type="dxa"/>
            <w:tcBorders>
              <w:bottom w:val="single" w:sz="12" w:space="0" w:color="auto"/>
            </w:tcBorders>
          </w:tcPr>
          <w:p w:rsidR="00F300C0" w:rsidRPr="00E544AC" w:rsidRDefault="08DC88EB" w:rsidP="08DC88EB">
            <w:pPr>
              <w:spacing w:before="0" w:after="48" w:line="240" w:lineRule="atLeast"/>
              <w:rPr>
                <w:rFonts w:asciiTheme="minorHAnsi" w:eastAsiaTheme="minorEastAsia" w:hAnsiTheme="minorHAnsi" w:cstheme="minorBidi"/>
                <w:b/>
                <w:bCs/>
              </w:rPr>
            </w:pPr>
            <w:r w:rsidRPr="08DC88EB">
              <w:rPr>
                <w:rFonts w:asciiTheme="minorHAnsi" w:eastAsiaTheme="minorEastAsia" w:hAnsiTheme="minorHAnsi" w:cstheme="minorBidi"/>
              </w:rPr>
              <w:t>INTERNATIONAL TELECOMMUNICATION UNION</w:t>
            </w:r>
          </w:p>
        </w:tc>
        <w:tc>
          <w:tcPr>
            <w:tcW w:w="3685" w:type="dxa"/>
            <w:tcBorders>
              <w:bottom w:val="single" w:sz="12" w:space="0" w:color="auto"/>
            </w:tcBorders>
          </w:tcPr>
          <w:p w:rsidR="00F300C0" w:rsidRPr="00617BE4" w:rsidRDefault="00F300C0" w:rsidP="00932C45">
            <w:pPr>
              <w:spacing w:before="0" w:line="240" w:lineRule="atLeast"/>
              <w:rPr>
                <w:rFonts w:ascii="Verdana" w:hAnsi="Verdana"/>
                <w:szCs w:val="24"/>
              </w:rPr>
            </w:pPr>
          </w:p>
        </w:tc>
      </w:tr>
      <w:tr w:rsidR="00F300C0" w:rsidRPr="00617BE4" w:rsidTr="08DC88EB">
        <w:trPr>
          <w:cantSplit/>
        </w:trPr>
        <w:tc>
          <w:tcPr>
            <w:tcW w:w="6629" w:type="dxa"/>
            <w:tcBorders>
              <w:top w:val="single" w:sz="12" w:space="0" w:color="auto"/>
            </w:tcBorders>
          </w:tcPr>
          <w:p w:rsidR="00F300C0" w:rsidRPr="00617BE4" w:rsidRDefault="00F300C0" w:rsidP="00932C45">
            <w:pPr>
              <w:spacing w:before="0" w:after="48" w:line="240" w:lineRule="atLeast"/>
              <w:rPr>
                <w:b/>
                <w:smallCaps/>
                <w:szCs w:val="24"/>
              </w:rPr>
            </w:pPr>
          </w:p>
        </w:tc>
        <w:tc>
          <w:tcPr>
            <w:tcW w:w="3685" w:type="dxa"/>
            <w:tcBorders>
              <w:top w:val="single" w:sz="12" w:space="0" w:color="auto"/>
            </w:tcBorders>
          </w:tcPr>
          <w:p w:rsidR="00F300C0" w:rsidRPr="00617BE4" w:rsidRDefault="00F300C0" w:rsidP="00932C45">
            <w:pPr>
              <w:spacing w:before="0" w:line="240" w:lineRule="atLeast"/>
              <w:rPr>
                <w:rFonts w:ascii="Verdana" w:hAnsi="Verdana"/>
                <w:szCs w:val="24"/>
              </w:rPr>
            </w:pPr>
          </w:p>
        </w:tc>
      </w:tr>
      <w:tr w:rsidR="00AB1325" w:rsidRPr="00AB1325" w:rsidTr="08DC88EB">
        <w:trPr>
          <w:cantSplit/>
          <w:trHeight w:val="23"/>
        </w:trPr>
        <w:tc>
          <w:tcPr>
            <w:tcW w:w="6629" w:type="dxa"/>
            <w:vMerge w:val="restart"/>
          </w:tcPr>
          <w:p w:rsidR="00F300C0" w:rsidRPr="00AB1325" w:rsidRDefault="00F300C0" w:rsidP="00932C45">
            <w:pPr>
              <w:tabs>
                <w:tab w:val="left" w:pos="851"/>
              </w:tabs>
              <w:spacing w:line="240" w:lineRule="atLeast"/>
              <w:rPr>
                <w:rFonts w:asciiTheme="minorHAnsi" w:hAnsiTheme="minorHAnsi"/>
                <w:b/>
                <w:sz w:val="32"/>
                <w:szCs w:val="32"/>
              </w:rPr>
            </w:pPr>
          </w:p>
        </w:tc>
        <w:tc>
          <w:tcPr>
            <w:tcW w:w="3685" w:type="dxa"/>
          </w:tcPr>
          <w:p w:rsidR="00F300C0" w:rsidRPr="00AB1325" w:rsidRDefault="08DC88EB" w:rsidP="00F51ACD">
            <w:pPr>
              <w:tabs>
                <w:tab w:val="left" w:pos="851"/>
              </w:tabs>
              <w:spacing w:before="0" w:line="240" w:lineRule="atLeast"/>
              <w:rPr>
                <w:rFonts w:asciiTheme="minorHAnsi" w:eastAsiaTheme="minorEastAsia" w:hAnsiTheme="minorHAnsi" w:cstheme="minorBidi"/>
                <w:b/>
                <w:bCs/>
                <w:lang w:val="en-US"/>
              </w:rPr>
            </w:pPr>
            <w:r w:rsidRPr="00AB1325">
              <w:rPr>
                <w:rFonts w:asciiTheme="minorHAnsi" w:eastAsiaTheme="minorEastAsia" w:hAnsiTheme="minorHAnsi" w:cstheme="minorBidi"/>
                <w:b/>
                <w:bCs/>
                <w:lang w:val="en-US"/>
              </w:rPr>
              <w:t>Document CWG-FHR</w:t>
            </w:r>
            <w:r w:rsidR="00F51ACD">
              <w:rPr>
                <w:rFonts w:asciiTheme="minorHAnsi" w:eastAsiaTheme="minorEastAsia" w:hAnsiTheme="minorHAnsi" w:cstheme="minorBidi"/>
                <w:b/>
                <w:bCs/>
                <w:lang w:val="en-US"/>
              </w:rPr>
              <w:t>-INF</w:t>
            </w:r>
            <w:r w:rsidRPr="00AB1325">
              <w:rPr>
                <w:rFonts w:asciiTheme="minorHAnsi" w:eastAsiaTheme="minorEastAsia" w:hAnsiTheme="minorHAnsi" w:cstheme="minorBidi"/>
                <w:b/>
                <w:bCs/>
                <w:lang w:val="en-US"/>
              </w:rPr>
              <w:t xml:space="preserve"> 7/</w:t>
            </w:r>
            <w:r w:rsidR="00F51ACD">
              <w:rPr>
                <w:rFonts w:asciiTheme="minorHAnsi" w:eastAsiaTheme="minorEastAsia" w:hAnsiTheme="minorHAnsi" w:cstheme="minorBidi"/>
                <w:b/>
                <w:bCs/>
                <w:lang w:val="en-US"/>
              </w:rPr>
              <w:t>2</w:t>
            </w:r>
          </w:p>
        </w:tc>
      </w:tr>
      <w:tr w:rsidR="00AB1325" w:rsidRPr="00AB1325" w:rsidTr="08DC88EB">
        <w:trPr>
          <w:cantSplit/>
          <w:trHeight w:val="23"/>
        </w:trPr>
        <w:tc>
          <w:tcPr>
            <w:tcW w:w="6629" w:type="dxa"/>
            <w:vMerge/>
          </w:tcPr>
          <w:p w:rsidR="00F300C0" w:rsidRPr="00AB1325" w:rsidRDefault="00F300C0" w:rsidP="00932C45">
            <w:pPr>
              <w:tabs>
                <w:tab w:val="left" w:pos="851"/>
              </w:tabs>
              <w:spacing w:line="240" w:lineRule="atLeast"/>
              <w:rPr>
                <w:rFonts w:asciiTheme="minorHAnsi" w:hAnsiTheme="minorHAnsi"/>
                <w:b/>
                <w:szCs w:val="24"/>
                <w:lang w:val="en-US"/>
              </w:rPr>
            </w:pPr>
          </w:p>
        </w:tc>
        <w:tc>
          <w:tcPr>
            <w:tcW w:w="3685" w:type="dxa"/>
          </w:tcPr>
          <w:p w:rsidR="00F300C0" w:rsidRPr="00AB1325" w:rsidRDefault="00804E45" w:rsidP="00AB1325">
            <w:pPr>
              <w:tabs>
                <w:tab w:val="left" w:pos="993"/>
              </w:tabs>
              <w:spacing w:before="0"/>
              <w:rPr>
                <w:rFonts w:asciiTheme="minorHAnsi" w:eastAsiaTheme="minorEastAsia" w:hAnsiTheme="minorHAnsi" w:cstheme="minorBidi"/>
                <w:b/>
                <w:bCs/>
              </w:rPr>
            </w:pPr>
            <w:r w:rsidRPr="00AB1325">
              <w:rPr>
                <w:rFonts w:asciiTheme="minorHAnsi" w:eastAsiaTheme="minorEastAsia" w:hAnsiTheme="minorHAnsi" w:cstheme="minorBidi"/>
                <w:b/>
                <w:bCs/>
              </w:rPr>
              <w:t>1</w:t>
            </w:r>
            <w:r w:rsidR="00AB1325">
              <w:rPr>
                <w:rFonts w:asciiTheme="minorHAnsi" w:eastAsiaTheme="minorEastAsia" w:hAnsiTheme="minorHAnsi" w:cstheme="minorBidi"/>
                <w:b/>
                <w:bCs/>
              </w:rPr>
              <w:t>5</w:t>
            </w:r>
            <w:r w:rsidR="08DC88EB" w:rsidRPr="00AB1325">
              <w:rPr>
                <w:rFonts w:asciiTheme="minorHAnsi" w:eastAsiaTheme="minorEastAsia" w:hAnsiTheme="minorHAnsi" w:cstheme="minorBidi"/>
                <w:b/>
                <w:bCs/>
              </w:rPr>
              <w:t xml:space="preserve"> December 2016</w:t>
            </w:r>
          </w:p>
        </w:tc>
      </w:tr>
      <w:tr w:rsidR="00AB1325" w:rsidRPr="00AB1325" w:rsidTr="08DC88EB">
        <w:trPr>
          <w:cantSplit/>
          <w:trHeight w:val="80"/>
        </w:trPr>
        <w:tc>
          <w:tcPr>
            <w:tcW w:w="6629" w:type="dxa"/>
            <w:vMerge/>
          </w:tcPr>
          <w:p w:rsidR="00F300C0" w:rsidRPr="00AB1325" w:rsidRDefault="00F300C0" w:rsidP="00932C45">
            <w:pPr>
              <w:tabs>
                <w:tab w:val="left" w:pos="851"/>
              </w:tabs>
              <w:spacing w:line="240" w:lineRule="atLeast"/>
              <w:rPr>
                <w:rFonts w:asciiTheme="minorHAnsi" w:hAnsiTheme="minorHAnsi"/>
                <w:b/>
                <w:szCs w:val="24"/>
              </w:rPr>
            </w:pPr>
          </w:p>
        </w:tc>
        <w:tc>
          <w:tcPr>
            <w:tcW w:w="3685" w:type="dxa"/>
          </w:tcPr>
          <w:p w:rsidR="00F300C0" w:rsidRPr="00AB1325" w:rsidRDefault="08DC88EB" w:rsidP="08DC88EB">
            <w:pPr>
              <w:tabs>
                <w:tab w:val="left" w:pos="993"/>
              </w:tabs>
              <w:spacing w:before="0"/>
              <w:rPr>
                <w:rFonts w:asciiTheme="minorHAnsi" w:eastAsiaTheme="minorEastAsia" w:hAnsiTheme="minorHAnsi" w:cstheme="minorBidi"/>
                <w:b/>
                <w:bCs/>
              </w:rPr>
            </w:pPr>
            <w:r w:rsidRPr="00AB1325">
              <w:rPr>
                <w:rFonts w:asciiTheme="minorHAnsi" w:eastAsiaTheme="minorEastAsia" w:hAnsiTheme="minorHAnsi" w:cstheme="minorBidi"/>
                <w:b/>
                <w:bCs/>
              </w:rPr>
              <w:t>English only</w:t>
            </w:r>
          </w:p>
        </w:tc>
      </w:tr>
    </w:tbl>
    <w:tbl>
      <w:tblPr>
        <w:tblW w:w="5528" w:type="pct"/>
        <w:tblInd w:w="-142" w:type="dxa"/>
        <w:tblLayout w:type="fixed"/>
        <w:tblLook w:val="0000" w:firstRow="0" w:lastRow="0" w:firstColumn="0" w:lastColumn="0" w:noHBand="0" w:noVBand="0"/>
      </w:tblPr>
      <w:tblGrid>
        <w:gridCol w:w="10281"/>
      </w:tblGrid>
      <w:tr w:rsidR="003476A4" w:rsidRPr="001A2CC8" w:rsidTr="007D1360">
        <w:trPr>
          <w:cantSplit/>
        </w:trPr>
        <w:tc>
          <w:tcPr>
            <w:tcW w:w="10348" w:type="dxa"/>
          </w:tcPr>
          <w:p w:rsidR="003476A4" w:rsidRPr="007D1360" w:rsidRDefault="08DC88EB" w:rsidP="00672BEC">
            <w:pPr>
              <w:pStyle w:val="Source"/>
              <w:spacing w:before="720"/>
              <w:rPr>
                <w:rFonts w:asciiTheme="minorHAnsi" w:eastAsiaTheme="minorEastAsia" w:hAnsiTheme="minorHAnsi" w:cstheme="minorBidi"/>
                <w:caps/>
                <w:highlight w:val="yellow"/>
              </w:rPr>
            </w:pPr>
            <w:r w:rsidRPr="007D1360">
              <w:rPr>
                <w:rFonts w:asciiTheme="minorHAnsi" w:eastAsiaTheme="minorEastAsia" w:hAnsiTheme="minorHAnsi" w:cstheme="minorBidi"/>
                <w:caps/>
              </w:rPr>
              <w:t xml:space="preserve">Information Document </w:t>
            </w:r>
            <w:r w:rsidR="007D1360" w:rsidRPr="007D1360">
              <w:rPr>
                <w:rFonts w:asciiTheme="minorHAnsi" w:eastAsiaTheme="minorEastAsia" w:hAnsiTheme="minorHAnsi" w:cstheme="minorBidi"/>
                <w:caps/>
              </w:rPr>
              <w:t xml:space="preserve">BY </w:t>
            </w:r>
            <w:r w:rsidRPr="007D1360">
              <w:rPr>
                <w:rFonts w:asciiTheme="minorHAnsi" w:eastAsiaTheme="minorEastAsia" w:hAnsiTheme="minorHAnsi" w:cstheme="minorBidi"/>
                <w:caps/>
              </w:rPr>
              <w:t>the Secretariat</w:t>
            </w:r>
          </w:p>
        </w:tc>
      </w:tr>
      <w:tr w:rsidR="003476A4" w:rsidRPr="001A2CC8" w:rsidTr="007D1360">
        <w:trPr>
          <w:cantSplit/>
        </w:trPr>
        <w:tc>
          <w:tcPr>
            <w:tcW w:w="10348" w:type="dxa"/>
          </w:tcPr>
          <w:p w:rsidR="003476A4" w:rsidRDefault="007D1360" w:rsidP="00672BEC">
            <w:pPr>
              <w:pStyle w:val="Title1"/>
              <w:spacing w:after="360"/>
              <w:rPr>
                <w:rFonts w:ascii="Calibri" w:hAnsi="Calibri"/>
                <w:b/>
                <w:bCs/>
                <w:caps w:val="0"/>
              </w:rPr>
            </w:pPr>
            <w:r w:rsidRPr="007D1360">
              <w:rPr>
                <w:rFonts w:ascii="Calibri" w:hAnsi="Calibri"/>
                <w:b/>
                <w:bCs/>
                <w:caps w:val="0"/>
              </w:rPr>
              <w:t>Analysis of SME participation in ITU</w:t>
            </w:r>
          </w:p>
          <w:tbl>
            <w:tblPr>
              <w:tblStyle w:val="TableGrid"/>
              <w:tblW w:w="0" w:type="auto"/>
              <w:jc w:val="center"/>
              <w:tblLayout w:type="fixed"/>
              <w:tblLook w:val="04A0" w:firstRow="1" w:lastRow="0" w:firstColumn="1" w:lastColumn="0" w:noHBand="0" w:noVBand="1"/>
            </w:tblPr>
            <w:tblGrid>
              <w:gridCol w:w="8421"/>
            </w:tblGrid>
            <w:tr w:rsidR="00672BEC" w:rsidRPr="003D0BC7" w:rsidTr="00672BEC">
              <w:trPr>
                <w:jc w:val="center"/>
              </w:trPr>
              <w:tc>
                <w:tcPr>
                  <w:tcW w:w="8421" w:type="dxa"/>
                </w:tcPr>
                <w:p w:rsidR="00672BEC" w:rsidRPr="003D0BC7" w:rsidRDefault="00672BEC" w:rsidP="00672BEC">
                  <w:pPr>
                    <w:keepNext/>
                    <w:keepLines/>
                    <w:snapToGrid w:val="0"/>
                    <w:spacing w:after="120"/>
                    <w:ind w:left="567" w:hanging="567"/>
                    <w:outlineLvl w:val="0"/>
                    <w:rPr>
                      <w:rFonts w:asciiTheme="minorHAnsi" w:hAnsiTheme="minorHAnsi"/>
                      <w:b/>
                    </w:rPr>
                  </w:pPr>
                  <w:r>
                    <w:rPr>
                      <w:rFonts w:asciiTheme="minorHAnsi" w:hAnsiTheme="minorHAnsi"/>
                      <w:b/>
                    </w:rPr>
                    <w:t>Abstract</w:t>
                  </w:r>
                </w:p>
                <w:p w:rsidR="00672BEC" w:rsidRPr="003D0BC7" w:rsidRDefault="00672BEC" w:rsidP="00672BEC">
                  <w:pPr>
                    <w:snapToGrid w:val="0"/>
                    <w:spacing w:after="120"/>
                    <w:rPr>
                      <w:rFonts w:asciiTheme="minorHAnsi" w:hAnsiTheme="minorHAnsi"/>
                    </w:rPr>
                  </w:pPr>
                  <w:r w:rsidRPr="00672BEC">
                    <w:rPr>
                      <w:rFonts w:asciiTheme="minorHAnsi" w:hAnsiTheme="minorHAnsi"/>
                    </w:rPr>
                    <w:t>This information document presents an analysis of SMEs participating as ITU associates and sector members, including current trends of regional distribution, size and type of company, as well as possible barriers that limit further engagement of SMEs in ITU´s activities.</w:t>
                  </w:r>
                </w:p>
              </w:tc>
            </w:tr>
          </w:tbl>
          <w:p w:rsidR="00672BEC" w:rsidRPr="00672BEC" w:rsidRDefault="00672BEC" w:rsidP="00672BEC">
            <w:pPr>
              <w:rPr>
                <w:rFonts w:eastAsiaTheme="minorEastAsia"/>
                <w:highlight w:val="yellow"/>
              </w:rPr>
            </w:pPr>
          </w:p>
        </w:tc>
      </w:tr>
      <w:tr w:rsidR="007D1360" w:rsidRPr="001A2CC8" w:rsidTr="007D1360">
        <w:trPr>
          <w:cantSplit/>
        </w:trPr>
        <w:tc>
          <w:tcPr>
            <w:tcW w:w="10348" w:type="dxa"/>
          </w:tcPr>
          <w:p w:rsidR="007D1360" w:rsidRPr="007D1360" w:rsidRDefault="007D1360" w:rsidP="00672BEC">
            <w:pPr>
              <w:tabs>
                <w:tab w:val="clear" w:pos="794"/>
                <w:tab w:val="clear" w:pos="1191"/>
                <w:tab w:val="clear" w:pos="1588"/>
                <w:tab w:val="clear" w:pos="1985"/>
                <w:tab w:val="left" w:pos="1843"/>
              </w:tabs>
              <w:snapToGrid w:val="0"/>
              <w:spacing w:before="240"/>
              <w:ind w:left="1843" w:hanging="1843"/>
              <w:rPr>
                <w:rFonts w:ascii="Calibri" w:hAnsi="Calibri"/>
                <w:b/>
                <w:bCs/>
                <w:caps/>
              </w:rPr>
            </w:pPr>
          </w:p>
        </w:tc>
      </w:tr>
    </w:tbl>
    <w:p w:rsidR="003476A4" w:rsidRPr="00672BEC" w:rsidRDefault="00EF2CE8" w:rsidP="00672BEC">
      <w:pPr>
        <w:pStyle w:val="ListParagraph"/>
        <w:numPr>
          <w:ilvl w:val="0"/>
          <w:numId w:val="1"/>
        </w:numPr>
        <w:adjustRightInd w:val="0"/>
        <w:snapToGrid w:val="0"/>
        <w:spacing w:after="0" w:line="240" w:lineRule="auto"/>
        <w:ind w:left="709" w:hanging="709"/>
        <w:contextualSpacing w:val="0"/>
        <w:jc w:val="both"/>
        <w:outlineLvl w:val="0"/>
        <w:rPr>
          <w:sz w:val="28"/>
          <w:szCs w:val="28"/>
        </w:rPr>
      </w:pPr>
      <w:r w:rsidRPr="00672BEC">
        <w:rPr>
          <w:b/>
          <w:bCs/>
          <w:sz w:val="28"/>
          <w:szCs w:val="28"/>
        </w:rPr>
        <w:t>B</w:t>
      </w:r>
      <w:r w:rsidR="08DC88EB" w:rsidRPr="00672BEC">
        <w:rPr>
          <w:b/>
          <w:bCs/>
          <w:sz w:val="28"/>
          <w:szCs w:val="28"/>
        </w:rPr>
        <w:t>ackground</w:t>
      </w:r>
    </w:p>
    <w:p w:rsidR="003476A4" w:rsidRPr="001A2CC8" w:rsidRDefault="003476A4" w:rsidP="08DC88EB">
      <w:pPr>
        <w:pStyle w:val="ListParagraph"/>
        <w:numPr>
          <w:ilvl w:val="1"/>
          <w:numId w:val="1"/>
        </w:numPr>
        <w:spacing w:before="120" w:after="120" w:line="240" w:lineRule="auto"/>
        <w:ind w:left="0" w:firstLine="0"/>
        <w:contextualSpacing w:val="0"/>
        <w:jc w:val="both"/>
        <w:rPr>
          <w:sz w:val="24"/>
          <w:szCs w:val="24"/>
        </w:rPr>
      </w:pPr>
      <w:r w:rsidRPr="001A2CC8">
        <w:rPr>
          <w:sz w:val="24"/>
          <w:szCs w:val="24"/>
        </w:rPr>
        <w:t>Small and Medium Enterprises (SMEs)</w:t>
      </w:r>
      <w:r w:rsidRPr="08DC88EB">
        <w:rPr>
          <w:rStyle w:val="FootnoteReference"/>
        </w:rPr>
        <w:footnoteReference w:id="1"/>
      </w:r>
      <w:r w:rsidRPr="001A2CC8">
        <w:rPr>
          <w:sz w:val="24"/>
          <w:szCs w:val="24"/>
        </w:rPr>
        <w:t xml:space="preserve"> are a major engine of economic growth and job creation. SMEs make up more than 95% of all businesses worldwide and two thirds of all formal jobs. Evidence also suggests that these SMEs account for 60-70% of gross domestic product (GDP) globally</w:t>
      </w:r>
      <w:r w:rsidRPr="001A2CC8">
        <w:rPr>
          <w:sz w:val="24"/>
          <w:szCs w:val="24"/>
          <w:vertAlign w:val="superscript"/>
        </w:rPr>
        <w:footnoteReference w:id="2"/>
      </w:r>
      <w:r w:rsidRPr="001A2CC8">
        <w:rPr>
          <w:sz w:val="24"/>
          <w:szCs w:val="24"/>
        </w:rPr>
        <w:t xml:space="preserve"> and are an important driver of innovation and technology transfer and adoption, in particular in emerging economies. </w:t>
      </w:r>
    </w:p>
    <w:p w:rsidR="003476A4" w:rsidRPr="001A2CC8" w:rsidRDefault="08DC88EB" w:rsidP="08DC88EB">
      <w:pPr>
        <w:pStyle w:val="ListParagraph"/>
        <w:numPr>
          <w:ilvl w:val="1"/>
          <w:numId w:val="1"/>
        </w:numPr>
        <w:spacing w:before="120" w:after="120" w:line="240" w:lineRule="auto"/>
        <w:ind w:left="0" w:firstLine="0"/>
        <w:contextualSpacing w:val="0"/>
        <w:jc w:val="both"/>
        <w:rPr>
          <w:sz w:val="24"/>
          <w:szCs w:val="24"/>
        </w:rPr>
      </w:pPr>
      <w:r w:rsidRPr="08DC88EB">
        <w:rPr>
          <w:sz w:val="24"/>
          <w:szCs w:val="24"/>
        </w:rPr>
        <w:t xml:space="preserve">During the 2016 Session of the ITU Council (C-16), the Standing Committee on Administration and Management discussed the possibility of testing a new “SME Associate” category of participation in ITU with reduced fees, as part of a broader discussion on the review of Resolution 187 (Busan, 2014). </w:t>
      </w:r>
    </w:p>
    <w:p w:rsidR="003476A4" w:rsidRPr="001A2CC8" w:rsidRDefault="08DC88EB" w:rsidP="00EF2CE8">
      <w:pPr>
        <w:pStyle w:val="ListParagraph"/>
        <w:numPr>
          <w:ilvl w:val="1"/>
          <w:numId w:val="1"/>
        </w:numPr>
        <w:spacing w:before="120" w:after="120" w:line="240" w:lineRule="auto"/>
        <w:ind w:left="0" w:firstLine="0"/>
        <w:contextualSpacing w:val="0"/>
        <w:jc w:val="both"/>
        <w:rPr>
          <w:sz w:val="24"/>
          <w:szCs w:val="24"/>
        </w:rPr>
      </w:pPr>
      <w:r w:rsidRPr="08DC88EB">
        <w:rPr>
          <w:sz w:val="24"/>
          <w:szCs w:val="24"/>
        </w:rPr>
        <w:t xml:space="preserve">This information document </w:t>
      </w:r>
      <w:r w:rsidR="00EF2CE8">
        <w:rPr>
          <w:sz w:val="24"/>
          <w:szCs w:val="24"/>
        </w:rPr>
        <w:t>has been prepared</w:t>
      </w:r>
      <w:r w:rsidR="005A3472">
        <w:rPr>
          <w:sz w:val="24"/>
          <w:szCs w:val="24"/>
        </w:rPr>
        <w:t xml:space="preserve"> i</w:t>
      </w:r>
      <w:r w:rsidRPr="08DC88EB">
        <w:rPr>
          <w:sz w:val="24"/>
          <w:szCs w:val="24"/>
        </w:rPr>
        <w:t>n response to the report of the Chairman of the Standing Committee (</w:t>
      </w:r>
      <w:hyperlink r:id="rId9">
        <w:r w:rsidRPr="08DC88EB">
          <w:rPr>
            <w:rStyle w:val="Hyperlink"/>
            <w:sz w:val="24"/>
            <w:szCs w:val="24"/>
          </w:rPr>
          <w:t>Document C16/115</w:t>
        </w:r>
      </w:hyperlink>
      <w:r w:rsidRPr="08DC88EB">
        <w:rPr>
          <w:sz w:val="24"/>
          <w:szCs w:val="24"/>
        </w:rPr>
        <w:t>), which concluded that further analysis and discussion was needed, and thus referred the matter to the Council Working Group on Financial and Human Resources.</w:t>
      </w:r>
      <w:r w:rsidR="005A3472">
        <w:rPr>
          <w:sz w:val="24"/>
          <w:szCs w:val="24"/>
        </w:rPr>
        <w:t xml:space="preserve"> A version of this document was first submitted to WTSA 2016.</w:t>
      </w:r>
    </w:p>
    <w:p w:rsidR="003476A4" w:rsidRDefault="08DC88EB" w:rsidP="00672BEC">
      <w:pPr>
        <w:pStyle w:val="ListParagraph"/>
        <w:keepNext/>
        <w:keepLines/>
        <w:numPr>
          <w:ilvl w:val="1"/>
          <w:numId w:val="1"/>
        </w:numPr>
        <w:spacing w:before="120" w:after="120" w:line="240" w:lineRule="auto"/>
        <w:ind w:left="0" w:firstLine="0"/>
        <w:contextualSpacing w:val="0"/>
        <w:jc w:val="both"/>
        <w:rPr>
          <w:sz w:val="24"/>
          <w:szCs w:val="24"/>
        </w:rPr>
      </w:pPr>
      <w:r w:rsidRPr="08DC88EB">
        <w:rPr>
          <w:sz w:val="24"/>
          <w:szCs w:val="24"/>
        </w:rPr>
        <w:lastRenderedPageBreak/>
        <w:t>The analysis included in this information document</w:t>
      </w:r>
      <w:r w:rsidR="002205EA">
        <w:rPr>
          <w:sz w:val="24"/>
          <w:szCs w:val="24"/>
        </w:rPr>
        <w:t xml:space="preserve"> has been produced based on</w:t>
      </w:r>
      <w:r w:rsidR="00284979">
        <w:rPr>
          <w:sz w:val="24"/>
          <w:szCs w:val="24"/>
        </w:rPr>
        <w:t xml:space="preserve"> a review of</w:t>
      </w:r>
      <w:r w:rsidR="002205EA">
        <w:rPr>
          <w:sz w:val="24"/>
          <w:szCs w:val="24"/>
        </w:rPr>
        <w:t xml:space="preserve"> (a) </w:t>
      </w:r>
      <w:r w:rsidR="00284979">
        <w:rPr>
          <w:sz w:val="24"/>
          <w:szCs w:val="24"/>
        </w:rPr>
        <w:t xml:space="preserve">the </w:t>
      </w:r>
      <w:r w:rsidR="002205EA">
        <w:rPr>
          <w:sz w:val="24"/>
          <w:szCs w:val="24"/>
        </w:rPr>
        <w:t xml:space="preserve">official status of </w:t>
      </w:r>
      <w:r w:rsidR="00953119">
        <w:rPr>
          <w:sz w:val="24"/>
          <w:szCs w:val="24"/>
        </w:rPr>
        <w:t>ITU sector members and a</w:t>
      </w:r>
      <w:r w:rsidRPr="08DC88EB">
        <w:rPr>
          <w:sz w:val="24"/>
          <w:szCs w:val="24"/>
        </w:rPr>
        <w:t>ssociates</w:t>
      </w:r>
      <w:r w:rsidR="002205EA">
        <w:rPr>
          <w:sz w:val="24"/>
          <w:szCs w:val="24"/>
        </w:rPr>
        <w:t xml:space="preserve">; (b) </w:t>
      </w:r>
      <w:r w:rsidRPr="08DC88EB">
        <w:rPr>
          <w:sz w:val="24"/>
          <w:szCs w:val="24"/>
        </w:rPr>
        <w:t xml:space="preserve">information on </w:t>
      </w:r>
      <w:r w:rsidR="002205EA">
        <w:rPr>
          <w:sz w:val="24"/>
          <w:szCs w:val="24"/>
        </w:rPr>
        <w:t xml:space="preserve">their </w:t>
      </w:r>
      <w:r w:rsidR="00EF2CE8">
        <w:rPr>
          <w:sz w:val="24"/>
          <w:szCs w:val="24"/>
        </w:rPr>
        <w:t xml:space="preserve">participation in ITU </w:t>
      </w:r>
      <w:r w:rsidR="00953119">
        <w:rPr>
          <w:sz w:val="24"/>
          <w:szCs w:val="24"/>
        </w:rPr>
        <w:t>study groups, collected by ITU’s</w:t>
      </w:r>
      <w:r w:rsidRPr="08DC88EB">
        <w:rPr>
          <w:sz w:val="24"/>
          <w:szCs w:val="24"/>
        </w:rPr>
        <w:t xml:space="preserve"> registration systems; and (c) information from direct interviews conducted by the General Secretariat to the designated focal points for each company</w:t>
      </w:r>
      <w:r w:rsidR="003625E8">
        <w:rPr>
          <w:sz w:val="24"/>
          <w:szCs w:val="24"/>
        </w:rPr>
        <w:t xml:space="preserve"> between March and June 2016</w:t>
      </w:r>
      <w:r w:rsidRPr="08DC88EB">
        <w:rPr>
          <w:sz w:val="24"/>
          <w:szCs w:val="24"/>
        </w:rPr>
        <w:t xml:space="preserve">. The analysis excluded </w:t>
      </w:r>
      <w:r w:rsidR="00953119">
        <w:rPr>
          <w:sz w:val="24"/>
          <w:szCs w:val="24"/>
        </w:rPr>
        <w:t>organizations whose membership wa</w:t>
      </w:r>
      <w:r w:rsidRPr="08DC88EB">
        <w:rPr>
          <w:sz w:val="24"/>
          <w:szCs w:val="24"/>
        </w:rPr>
        <w:t xml:space="preserve">s suspended due to the non-payment of their fees. </w:t>
      </w:r>
    </w:p>
    <w:p w:rsidR="003476A4" w:rsidRPr="00672BEC" w:rsidRDefault="08DC88EB" w:rsidP="00672BEC">
      <w:pPr>
        <w:pStyle w:val="ListParagraph"/>
        <w:numPr>
          <w:ilvl w:val="0"/>
          <w:numId w:val="1"/>
        </w:numPr>
        <w:snapToGrid w:val="0"/>
        <w:spacing w:before="360" w:after="120" w:line="240" w:lineRule="auto"/>
        <w:ind w:left="851" w:hanging="851"/>
        <w:contextualSpacing w:val="0"/>
        <w:jc w:val="both"/>
        <w:outlineLvl w:val="0"/>
        <w:rPr>
          <w:sz w:val="28"/>
          <w:szCs w:val="28"/>
        </w:rPr>
      </w:pPr>
      <w:r w:rsidRPr="00672BEC">
        <w:rPr>
          <w:b/>
          <w:bCs/>
          <w:sz w:val="28"/>
          <w:szCs w:val="28"/>
        </w:rPr>
        <w:t>Summary of results – analysis of membership</w:t>
      </w:r>
    </w:p>
    <w:p w:rsidR="005A3472" w:rsidRPr="00E86E7D" w:rsidRDefault="08DC88EB" w:rsidP="00953119">
      <w:pPr>
        <w:pStyle w:val="ListParagraph"/>
        <w:numPr>
          <w:ilvl w:val="1"/>
          <w:numId w:val="1"/>
        </w:numPr>
        <w:spacing w:before="120" w:after="120" w:line="240" w:lineRule="auto"/>
        <w:ind w:left="0" w:firstLine="0"/>
        <w:contextualSpacing w:val="0"/>
        <w:jc w:val="both"/>
        <w:rPr>
          <w:sz w:val="24"/>
          <w:szCs w:val="24"/>
        </w:rPr>
      </w:pPr>
      <w:r w:rsidRPr="08DC88EB">
        <w:rPr>
          <w:i/>
          <w:iCs/>
          <w:sz w:val="24"/>
          <w:szCs w:val="24"/>
        </w:rPr>
        <w:t>Overview.</w:t>
      </w:r>
      <w:r w:rsidRPr="08DC88EB">
        <w:rPr>
          <w:sz w:val="24"/>
          <w:szCs w:val="24"/>
        </w:rPr>
        <w:t xml:space="preserve"> </w:t>
      </w:r>
      <w:r w:rsidR="00173F1B">
        <w:rPr>
          <w:sz w:val="24"/>
          <w:szCs w:val="24"/>
        </w:rPr>
        <w:t>At the time of the survey interviews</w:t>
      </w:r>
      <w:r w:rsidR="003625E8">
        <w:rPr>
          <w:sz w:val="24"/>
          <w:szCs w:val="24"/>
        </w:rPr>
        <w:t xml:space="preserve">, there were a total of </w:t>
      </w:r>
      <w:r w:rsidR="00273C6D" w:rsidRPr="00273C6D">
        <w:rPr>
          <w:sz w:val="24"/>
          <w:szCs w:val="24"/>
        </w:rPr>
        <w:t>41</w:t>
      </w:r>
      <w:r w:rsidRPr="00273C6D">
        <w:rPr>
          <w:sz w:val="24"/>
          <w:szCs w:val="24"/>
        </w:rPr>
        <w:t xml:space="preserve"> SMEs </w:t>
      </w:r>
      <w:r w:rsidR="00953119">
        <w:rPr>
          <w:sz w:val="24"/>
          <w:szCs w:val="24"/>
        </w:rPr>
        <w:t xml:space="preserve">with participation rights </w:t>
      </w:r>
      <w:r w:rsidRPr="00273C6D">
        <w:rPr>
          <w:sz w:val="24"/>
          <w:szCs w:val="24"/>
        </w:rPr>
        <w:t>in</w:t>
      </w:r>
      <w:r w:rsidR="003625E8">
        <w:rPr>
          <w:sz w:val="24"/>
          <w:szCs w:val="24"/>
        </w:rPr>
        <w:t xml:space="preserve"> ITU</w:t>
      </w:r>
      <w:r w:rsidRPr="08DC88EB">
        <w:rPr>
          <w:sz w:val="24"/>
          <w:szCs w:val="24"/>
        </w:rPr>
        <w:t xml:space="preserve">, </w:t>
      </w:r>
      <w:r w:rsidR="003625E8">
        <w:rPr>
          <w:sz w:val="24"/>
          <w:szCs w:val="24"/>
        </w:rPr>
        <w:t xml:space="preserve">with </w:t>
      </w:r>
      <w:r w:rsidRPr="08DC88EB">
        <w:rPr>
          <w:sz w:val="24"/>
          <w:szCs w:val="24"/>
        </w:rPr>
        <w:t>32</w:t>
      </w:r>
      <w:r w:rsidR="003625E8">
        <w:rPr>
          <w:sz w:val="24"/>
          <w:szCs w:val="24"/>
        </w:rPr>
        <w:t xml:space="preserve"> associates </w:t>
      </w:r>
      <w:r w:rsidRPr="08DC88EB">
        <w:rPr>
          <w:sz w:val="24"/>
          <w:szCs w:val="24"/>
        </w:rPr>
        <w:t>and 9 sector members. This represent</w:t>
      </w:r>
      <w:r w:rsidR="00173F1B">
        <w:rPr>
          <w:sz w:val="24"/>
          <w:szCs w:val="24"/>
        </w:rPr>
        <w:t>s</w:t>
      </w:r>
      <w:r w:rsidRPr="08DC88EB">
        <w:rPr>
          <w:sz w:val="24"/>
          <w:szCs w:val="24"/>
        </w:rPr>
        <w:t xml:space="preserve"> a total yearly </w:t>
      </w:r>
      <w:r w:rsidR="005A3472">
        <w:rPr>
          <w:sz w:val="24"/>
          <w:szCs w:val="24"/>
        </w:rPr>
        <w:t>income from SMEs of CHF 564,540</w:t>
      </w:r>
      <w:r w:rsidRPr="08DC88EB">
        <w:rPr>
          <w:sz w:val="24"/>
          <w:szCs w:val="24"/>
        </w:rPr>
        <w:t>.</w:t>
      </w:r>
      <w:r w:rsidR="005A3472" w:rsidRPr="005A3472">
        <w:rPr>
          <w:sz w:val="24"/>
          <w:szCs w:val="24"/>
        </w:rPr>
        <w:t xml:space="preserve"> </w:t>
      </w:r>
    </w:p>
    <w:p w:rsidR="003476A4" w:rsidRPr="001A2CC8" w:rsidRDefault="08DC88EB" w:rsidP="08DC88EB">
      <w:pPr>
        <w:pStyle w:val="Heading2"/>
        <w:rPr>
          <w:rFonts w:asciiTheme="minorHAnsi" w:eastAsiaTheme="minorEastAsia" w:hAnsiTheme="minorHAnsi" w:cstheme="minorBidi"/>
          <w:b w:val="0"/>
          <w:u w:val="single"/>
        </w:rPr>
      </w:pPr>
      <w:r w:rsidRPr="08DC88EB">
        <w:rPr>
          <w:rFonts w:asciiTheme="minorHAnsi" w:eastAsiaTheme="minorEastAsia" w:hAnsiTheme="minorHAnsi" w:cstheme="minorBidi"/>
          <w:b w:val="0"/>
          <w:u w:val="single"/>
        </w:rPr>
        <w:t>Analysis of SMEs that are ITU Associates</w:t>
      </w:r>
    </w:p>
    <w:p w:rsidR="003476A4" w:rsidRPr="001A2CC8" w:rsidRDefault="08DC88EB" w:rsidP="003625E8">
      <w:pPr>
        <w:pStyle w:val="ListParagraph"/>
        <w:numPr>
          <w:ilvl w:val="1"/>
          <w:numId w:val="1"/>
        </w:numPr>
        <w:spacing w:before="120" w:after="120" w:line="240" w:lineRule="auto"/>
        <w:ind w:left="0" w:firstLine="0"/>
        <w:contextualSpacing w:val="0"/>
        <w:jc w:val="both"/>
        <w:rPr>
          <w:sz w:val="24"/>
          <w:szCs w:val="24"/>
        </w:rPr>
      </w:pPr>
      <w:r w:rsidRPr="08DC88EB">
        <w:rPr>
          <w:i/>
          <w:iCs/>
          <w:sz w:val="24"/>
          <w:szCs w:val="24"/>
        </w:rPr>
        <w:t>Overview.</w:t>
      </w:r>
      <w:r w:rsidRPr="08DC88EB">
        <w:rPr>
          <w:sz w:val="24"/>
          <w:szCs w:val="24"/>
        </w:rPr>
        <w:t xml:space="preserve"> </w:t>
      </w:r>
      <w:r w:rsidR="003625E8">
        <w:rPr>
          <w:sz w:val="24"/>
          <w:szCs w:val="24"/>
        </w:rPr>
        <w:t>The vast majority of the 32 SME associates are from ITU-T. The average SME</w:t>
      </w:r>
      <w:r w:rsidRPr="08DC88EB">
        <w:rPr>
          <w:sz w:val="24"/>
          <w:szCs w:val="24"/>
        </w:rPr>
        <w:t xml:space="preserve"> in this category joined ITU ten years after its creation, which means that they have already passed the establishment phase of their business. </w:t>
      </w:r>
    </w:p>
    <w:p w:rsidR="003476A4" w:rsidRPr="001A2CC8" w:rsidRDefault="08DC88EB" w:rsidP="08DC88EB">
      <w:pPr>
        <w:pStyle w:val="ListParagraph"/>
        <w:numPr>
          <w:ilvl w:val="1"/>
          <w:numId w:val="1"/>
        </w:numPr>
        <w:spacing w:before="120" w:after="120" w:line="240" w:lineRule="auto"/>
        <w:ind w:left="0" w:firstLine="0"/>
        <w:contextualSpacing w:val="0"/>
        <w:jc w:val="both"/>
        <w:rPr>
          <w:sz w:val="24"/>
          <w:szCs w:val="24"/>
        </w:rPr>
      </w:pPr>
      <w:r w:rsidRPr="08DC88EB">
        <w:rPr>
          <w:i/>
          <w:iCs/>
          <w:sz w:val="24"/>
          <w:szCs w:val="24"/>
        </w:rPr>
        <w:t xml:space="preserve">Regional distribution. </w:t>
      </w:r>
      <w:r w:rsidRPr="08DC88EB">
        <w:rPr>
          <w:sz w:val="24"/>
          <w:szCs w:val="24"/>
        </w:rPr>
        <w:t>Regarding their regional distribution, 69% of the SMEs are from Western Europe and 28% from the Americas (USA or Canada), with only 3% (1 SME) from the Arab Region. Currently there are no SMEs associates from the African, Asia Pacific, CIS, Eastern European, Caribbean, Central American or South American regions.</w:t>
      </w:r>
    </w:p>
    <w:p w:rsidR="003476A4" w:rsidRPr="001A2CC8" w:rsidRDefault="08DC88EB" w:rsidP="08DC88EB">
      <w:pPr>
        <w:pStyle w:val="ListParagraph"/>
        <w:numPr>
          <w:ilvl w:val="1"/>
          <w:numId w:val="1"/>
        </w:numPr>
        <w:spacing w:before="120" w:after="120" w:line="240" w:lineRule="auto"/>
        <w:ind w:left="0" w:firstLine="0"/>
        <w:contextualSpacing w:val="0"/>
        <w:jc w:val="both"/>
        <w:rPr>
          <w:sz w:val="24"/>
          <w:szCs w:val="24"/>
        </w:rPr>
      </w:pPr>
      <w:r w:rsidRPr="08DC88EB">
        <w:rPr>
          <w:i/>
          <w:iCs/>
          <w:sz w:val="24"/>
          <w:szCs w:val="24"/>
        </w:rPr>
        <w:t xml:space="preserve">Type of companies. </w:t>
      </w:r>
      <w:r w:rsidRPr="08DC88EB">
        <w:rPr>
          <w:sz w:val="24"/>
          <w:szCs w:val="24"/>
        </w:rPr>
        <w:t xml:space="preserve">In terms of their business activities, over half of them (56%) are in the service sector, while the remaining 44% are equally distributed between the software and hardware sector. </w:t>
      </w:r>
    </w:p>
    <w:p w:rsidR="003476A4" w:rsidRPr="001A2CC8" w:rsidRDefault="08DC88EB" w:rsidP="00EF2CE8">
      <w:pPr>
        <w:pStyle w:val="ListParagraph"/>
        <w:numPr>
          <w:ilvl w:val="1"/>
          <w:numId w:val="1"/>
        </w:numPr>
        <w:spacing w:before="120" w:after="120" w:line="240" w:lineRule="auto"/>
        <w:ind w:left="0" w:firstLine="0"/>
        <w:contextualSpacing w:val="0"/>
        <w:jc w:val="both"/>
        <w:rPr>
          <w:sz w:val="24"/>
          <w:szCs w:val="24"/>
        </w:rPr>
      </w:pPr>
      <w:r w:rsidRPr="08DC88EB">
        <w:rPr>
          <w:i/>
          <w:iCs/>
          <w:sz w:val="24"/>
          <w:szCs w:val="24"/>
        </w:rPr>
        <w:t>Size</w:t>
      </w:r>
      <w:r w:rsidR="00EF2CE8">
        <w:rPr>
          <w:sz w:val="24"/>
          <w:szCs w:val="24"/>
        </w:rPr>
        <w:t xml:space="preserve">. The majority of SME associates are </w:t>
      </w:r>
      <w:r w:rsidRPr="08DC88EB">
        <w:rPr>
          <w:sz w:val="24"/>
          <w:szCs w:val="24"/>
        </w:rPr>
        <w:t>medium-sized companies, with 53% of them having between 51 and 200 employees. The second largest group (34%) has between 11 and 50 employees. This indicates that there are ve</w:t>
      </w:r>
      <w:r w:rsidR="00EF2CE8">
        <w:rPr>
          <w:sz w:val="24"/>
          <w:szCs w:val="24"/>
        </w:rPr>
        <w:t>ry few small enterprises among</w:t>
      </w:r>
      <w:r w:rsidRPr="08DC88EB">
        <w:rPr>
          <w:sz w:val="24"/>
          <w:szCs w:val="24"/>
        </w:rPr>
        <w:t xml:space="preserve"> ITU associates.</w:t>
      </w:r>
    </w:p>
    <w:p w:rsidR="003476A4" w:rsidRPr="001A2CC8" w:rsidRDefault="08DC88EB" w:rsidP="00EF2CE8">
      <w:pPr>
        <w:pStyle w:val="ListParagraph"/>
        <w:numPr>
          <w:ilvl w:val="1"/>
          <w:numId w:val="1"/>
        </w:numPr>
        <w:spacing w:before="120" w:after="120" w:line="240" w:lineRule="auto"/>
        <w:ind w:left="0" w:firstLine="0"/>
        <w:contextualSpacing w:val="0"/>
        <w:jc w:val="both"/>
        <w:rPr>
          <w:sz w:val="24"/>
          <w:szCs w:val="24"/>
        </w:rPr>
      </w:pPr>
      <w:r w:rsidRPr="08DC88EB">
        <w:rPr>
          <w:i/>
          <w:iCs/>
          <w:sz w:val="24"/>
          <w:szCs w:val="24"/>
        </w:rPr>
        <w:t>Engagement in ITU´s activities.</w:t>
      </w:r>
      <w:r w:rsidR="00EF2CE8">
        <w:rPr>
          <w:sz w:val="24"/>
          <w:szCs w:val="24"/>
        </w:rPr>
        <w:t xml:space="preserve"> Most of the SME </w:t>
      </w:r>
      <w:r w:rsidRPr="08DC88EB">
        <w:rPr>
          <w:sz w:val="24"/>
          <w:szCs w:val="24"/>
        </w:rPr>
        <w:t xml:space="preserve">associates are involved either in ITU-T Study Group 2 (37%) or ITU-T Study Group 2 (31%). However, very few of these companies show an active engagement in the activities from these groups. According to the information collected by each study group only 2 of 12 (17%) and 4 out of 10 (40%) had any participation in the meetings of SG-2 and SG-5, respectively from 2013 until 2016. </w:t>
      </w:r>
    </w:p>
    <w:p w:rsidR="003476A4" w:rsidRPr="001A2CC8" w:rsidRDefault="08DC88EB" w:rsidP="08DC88EB">
      <w:pPr>
        <w:pStyle w:val="Heading2"/>
        <w:rPr>
          <w:rFonts w:asciiTheme="minorHAnsi" w:eastAsiaTheme="minorEastAsia" w:hAnsiTheme="minorHAnsi" w:cstheme="minorBidi"/>
          <w:b w:val="0"/>
          <w:u w:val="single"/>
        </w:rPr>
      </w:pPr>
      <w:r w:rsidRPr="08DC88EB">
        <w:rPr>
          <w:rFonts w:asciiTheme="minorHAnsi" w:eastAsiaTheme="minorEastAsia" w:hAnsiTheme="minorHAnsi" w:cstheme="minorBidi"/>
          <w:b w:val="0"/>
          <w:u w:val="single"/>
        </w:rPr>
        <w:t>Analysis of SMEs that are ITU Sector Members</w:t>
      </w:r>
    </w:p>
    <w:p w:rsidR="003476A4" w:rsidRPr="001A2CC8" w:rsidRDefault="08DC88EB" w:rsidP="003625E8">
      <w:pPr>
        <w:pStyle w:val="ListParagraph"/>
        <w:numPr>
          <w:ilvl w:val="1"/>
          <w:numId w:val="1"/>
        </w:numPr>
        <w:spacing w:before="120" w:after="120" w:line="240" w:lineRule="auto"/>
        <w:ind w:left="0" w:firstLine="0"/>
        <w:contextualSpacing w:val="0"/>
        <w:jc w:val="both"/>
        <w:rPr>
          <w:i/>
          <w:iCs/>
          <w:sz w:val="24"/>
          <w:szCs w:val="24"/>
        </w:rPr>
      </w:pPr>
      <w:r w:rsidRPr="08DC88EB">
        <w:rPr>
          <w:i/>
          <w:iCs/>
          <w:sz w:val="24"/>
          <w:szCs w:val="24"/>
        </w:rPr>
        <w:t xml:space="preserve">Overview. </w:t>
      </w:r>
      <w:r w:rsidR="003625E8">
        <w:rPr>
          <w:sz w:val="24"/>
          <w:szCs w:val="24"/>
        </w:rPr>
        <w:t>The 9 SME sector members a</w:t>
      </w:r>
      <w:r w:rsidRPr="08DC88EB">
        <w:rPr>
          <w:sz w:val="24"/>
          <w:szCs w:val="24"/>
        </w:rPr>
        <w:t>re equally divided among all sectors (3 members in ITU-T, ITU-R and ITU-D, respectively).</w:t>
      </w:r>
      <w:r w:rsidRPr="08DC88EB">
        <w:rPr>
          <w:i/>
          <w:iCs/>
          <w:sz w:val="24"/>
          <w:szCs w:val="24"/>
        </w:rPr>
        <w:t xml:space="preserve"> </w:t>
      </w:r>
      <w:r w:rsidRPr="08DC88EB">
        <w:rPr>
          <w:sz w:val="24"/>
          <w:szCs w:val="24"/>
        </w:rPr>
        <w:t>The average sector member joins ITU eight years after its foundation, which is two years lower compared to the average for SMEs that are associates</w:t>
      </w:r>
      <w:r w:rsidRPr="08DC88EB">
        <w:rPr>
          <w:i/>
          <w:iCs/>
          <w:sz w:val="24"/>
          <w:szCs w:val="24"/>
        </w:rPr>
        <w:t>.</w:t>
      </w:r>
    </w:p>
    <w:p w:rsidR="003476A4" w:rsidRPr="001A2CC8" w:rsidRDefault="08DC88EB" w:rsidP="08DC88EB">
      <w:pPr>
        <w:pStyle w:val="ListParagraph"/>
        <w:numPr>
          <w:ilvl w:val="1"/>
          <w:numId w:val="1"/>
        </w:numPr>
        <w:spacing w:before="120" w:after="120" w:line="240" w:lineRule="auto"/>
        <w:ind w:left="0" w:firstLine="0"/>
        <w:contextualSpacing w:val="0"/>
        <w:jc w:val="both"/>
        <w:rPr>
          <w:i/>
          <w:iCs/>
          <w:sz w:val="24"/>
          <w:szCs w:val="24"/>
        </w:rPr>
      </w:pPr>
      <w:r w:rsidRPr="08DC88EB">
        <w:rPr>
          <w:i/>
          <w:iCs/>
          <w:sz w:val="24"/>
          <w:szCs w:val="24"/>
        </w:rPr>
        <w:t xml:space="preserve">Regional distribution. </w:t>
      </w:r>
      <w:r w:rsidRPr="08DC88EB">
        <w:rPr>
          <w:sz w:val="24"/>
          <w:szCs w:val="24"/>
        </w:rPr>
        <w:t>Regarding their regional distribution, 3 sector members come from the USA, while the rest come from Australia, France, Italy, Ivory Coast and Russia (one sector member per country). There are no sector members from the Caribbean, Central American, Eastern-European or South American regions.</w:t>
      </w:r>
    </w:p>
    <w:p w:rsidR="003476A4" w:rsidRPr="00720982" w:rsidRDefault="08DC88EB" w:rsidP="08DC88EB">
      <w:pPr>
        <w:pStyle w:val="ListParagraph"/>
        <w:numPr>
          <w:ilvl w:val="1"/>
          <w:numId w:val="1"/>
        </w:numPr>
        <w:spacing w:before="120" w:after="120" w:line="240" w:lineRule="auto"/>
        <w:ind w:left="0" w:firstLine="0"/>
        <w:contextualSpacing w:val="0"/>
        <w:jc w:val="both"/>
        <w:rPr>
          <w:sz w:val="24"/>
          <w:szCs w:val="24"/>
        </w:rPr>
      </w:pPr>
      <w:r w:rsidRPr="08DC88EB">
        <w:rPr>
          <w:i/>
          <w:iCs/>
          <w:sz w:val="24"/>
          <w:szCs w:val="24"/>
        </w:rPr>
        <w:lastRenderedPageBreak/>
        <w:t xml:space="preserve">Size and type of companies. </w:t>
      </w:r>
      <w:r w:rsidRPr="08DC88EB">
        <w:rPr>
          <w:sz w:val="24"/>
          <w:szCs w:val="24"/>
        </w:rPr>
        <w:t xml:space="preserve">The majority of members (4) have between 11 and 50 employees. With regards to the type of companies, 8 sector members work in the services industry and 1 in the hardware industry. 2 sector members have operations in only one country. </w:t>
      </w:r>
    </w:p>
    <w:p w:rsidR="003476A4" w:rsidRPr="00672BEC" w:rsidRDefault="08DC88EB" w:rsidP="00672BEC">
      <w:pPr>
        <w:pStyle w:val="ListParagraph"/>
        <w:keepNext/>
        <w:keepLines/>
        <w:numPr>
          <w:ilvl w:val="0"/>
          <w:numId w:val="1"/>
        </w:numPr>
        <w:snapToGrid w:val="0"/>
        <w:spacing w:before="360" w:after="120" w:line="240" w:lineRule="auto"/>
        <w:ind w:left="851" w:hanging="851"/>
        <w:contextualSpacing w:val="0"/>
        <w:jc w:val="both"/>
        <w:outlineLvl w:val="0"/>
        <w:rPr>
          <w:sz w:val="28"/>
          <w:szCs w:val="28"/>
        </w:rPr>
      </w:pPr>
      <w:r w:rsidRPr="00672BEC">
        <w:rPr>
          <w:b/>
          <w:bCs/>
          <w:sz w:val="28"/>
          <w:szCs w:val="28"/>
        </w:rPr>
        <w:t>Summary of results – telephone interview</w:t>
      </w:r>
    </w:p>
    <w:p w:rsidR="003476A4" w:rsidRDefault="08DC88EB" w:rsidP="00672BEC">
      <w:pPr>
        <w:pStyle w:val="ListParagraph"/>
        <w:keepNext/>
        <w:keepLines/>
        <w:numPr>
          <w:ilvl w:val="1"/>
          <w:numId w:val="1"/>
        </w:numPr>
        <w:spacing w:before="120" w:after="120" w:line="240" w:lineRule="auto"/>
        <w:ind w:left="0" w:firstLine="0"/>
        <w:contextualSpacing w:val="0"/>
        <w:jc w:val="both"/>
        <w:rPr>
          <w:sz w:val="24"/>
          <w:szCs w:val="24"/>
        </w:rPr>
      </w:pPr>
      <w:r w:rsidRPr="08DC88EB">
        <w:rPr>
          <w:i/>
          <w:iCs/>
          <w:sz w:val="24"/>
          <w:szCs w:val="24"/>
        </w:rPr>
        <w:t xml:space="preserve">Overview. </w:t>
      </w:r>
      <w:r w:rsidRPr="08DC88EB">
        <w:rPr>
          <w:sz w:val="24"/>
          <w:szCs w:val="24"/>
        </w:rPr>
        <w:t>Throughout the month of June 2016, ITU con</w:t>
      </w:r>
      <w:r w:rsidR="0022715A">
        <w:rPr>
          <w:sz w:val="24"/>
          <w:szCs w:val="24"/>
        </w:rPr>
        <w:t>ducted a series of interviews with</w:t>
      </w:r>
      <w:r w:rsidRPr="08DC88EB">
        <w:rPr>
          <w:sz w:val="24"/>
          <w:szCs w:val="24"/>
        </w:rPr>
        <w:t xml:space="preserve"> SMEs that are ITU associates or sector members. Out of the 41 SMEs that are either ITU associates or sector members, 12 of them (30%) agreed to join this exercise. The interviews were focused on validating the information gathered through the information collected internally, as well as providing insights on the perceived value of ITU membership for participating SMEs. The interviews also gathered information regarding the current challenges that SMEs face in seeking more active engagement in ITU´s activities. </w:t>
      </w:r>
    </w:p>
    <w:p w:rsidR="003476A4" w:rsidRPr="004F7815" w:rsidRDefault="08DC88EB" w:rsidP="08DC88EB">
      <w:pPr>
        <w:pStyle w:val="ListParagraph"/>
        <w:numPr>
          <w:ilvl w:val="1"/>
          <w:numId w:val="1"/>
        </w:numPr>
        <w:spacing w:before="120" w:after="120" w:line="240" w:lineRule="auto"/>
        <w:ind w:left="0" w:firstLine="0"/>
        <w:contextualSpacing w:val="0"/>
        <w:jc w:val="both"/>
        <w:rPr>
          <w:i/>
          <w:iCs/>
          <w:sz w:val="24"/>
          <w:szCs w:val="24"/>
        </w:rPr>
      </w:pPr>
      <w:r w:rsidRPr="08DC88EB">
        <w:rPr>
          <w:i/>
          <w:iCs/>
          <w:sz w:val="24"/>
          <w:szCs w:val="24"/>
        </w:rPr>
        <w:t xml:space="preserve">Use of ITU products. </w:t>
      </w:r>
      <w:r w:rsidRPr="08DC88EB">
        <w:rPr>
          <w:sz w:val="24"/>
          <w:szCs w:val="24"/>
        </w:rPr>
        <w:t>The SMEs interviewed indicated that the main products that they use from ITU are the download of ITU recommendations (91%), subscription to the mailing list (82%) and download of ITU publications (64%). Only 54% of the respondents indicated that they have participated in ITU meetings.</w:t>
      </w:r>
    </w:p>
    <w:p w:rsidR="003476A4" w:rsidRPr="004F7815" w:rsidRDefault="08DC88EB" w:rsidP="08DC88EB">
      <w:pPr>
        <w:pStyle w:val="ListParagraph"/>
        <w:numPr>
          <w:ilvl w:val="1"/>
          <w:numId w:val="1"/>
        </w:numPr>
        <w:spacing w:before="120" w:after="120" w:line="240" w:lineRule="auto"/>
        <w:ind w:left="0" w:firstLine="0"/>
        <w:contextualSpacing w:val="0"/>
        <w:jc w:val="both"/>
        <w:rPr>
          <w:i/>
          <w:iCs/>
          <w:sz w:val="24"/>
          <w:szCs w:val="24"/>
        </w:rPr>
      </w:pPr>
      <w:r w:rsidRPr="08DC88EB">
        <w:rPr>
          <w:i/>
          <w:iCs/>
          <w:sz w:val="24"/>
          <w:szCs w:val="24"/>
        </w:rPr>
        <w:t xml:space="preserve">Use of ITU services. </w:t>
      </w:r>
      <w:r w:rsidRPr="08DC88EB">
        <w:rPr>
          <w:sz w:val="24"/>
          <w:szCs w:val="24"/>
        </w:rPr>
        <w:t xml:space="preserve">The SMEs interviewed indicated that the main service that they use are the ITU website to download information (91%), TIES accounts (82%) and ITU databases (82%). Only 18% of the respondents were aware of the possibility of using remote participation in ITU meetings, highlighting that this is not a service available in all meetings. </w:t>
      </w:r>
    </w:p>
    <w:p w:rsidR="003476A4" w:rsidRPr="004F7815" w:rsidRDefault="08DC88EB" w:rsidP="0022715A">
      <w:pPr>
        <w:pStyle w:val="ListParagraph"/>
        <w:numPr>
          <w:ilvl w:val="1"/>
          <w:numId w:val="1"/>
        </w:numPr>
        <w:spacing w:before="120" w:after="120" w:line="240" w:lineRule="auto"/>
        <w:ind w:left="0" w:firstLine="0"/>
        <w:contextualSpacing w:val="0"/>
        <w:jc w:val="both"/>
        <w:rPr>
          <w:i/>
          <w:iCs/>
          <w:sz w:val="24"/>
          <w:szCs w:val="24"/>
        </w:rPr>
      </w:pPr>
      <w:r w:rsidRPr="08DC88EB">
        <w:rPr>
          <w:i/>
          <w:iCs/>
          <w:sz w:val="24"/>
          <w:szCs w:val="24"/>
        </w:rPr>
        <w:t xml:space="preserve">Perceived benefits. </w:t>
      </w:r>
      <w:r w:rsidR="0022715A">
        <w:rPr>
          <w:sz w:val="24"/>
          <w:szCs w:val="24"/>
        </w:rPr>
        <w:t>All</w:t>
      </w:r>
      <w:r w:rsidRPr="08DC88EB">
        <w:rPr>
          <w:sz w:val="24"/>
          <w:szCs w:val="24"/>
        </w:rPr>
        <w:t xml:space="preserve"> of the respondents highlighted that the main benefit they received from ITU is the increased reputation of the company linked to being an ITU associate or sector member. Increased opportunities for establishing partnerships (92%), increased networking opportunities (83%) and competitive advantage over non-members (75%) were the other benefits highlighted.</w:t>
      </w:r>
    </w:p>
    <w:p w:rsidR="003476A4" w:rsidRPr="004F7815" w:rsidRDefault="08DC88EB" w:rsidP="08DC88EB">
      <w:pPr>
        <w:pStyle w:val="ListParagraph"/>
        <w:numPr>
          <w:ilvl w:val="1"/>
          <w:numId w:val="1"/>
        </w:numPr>
        <w:spacing w:before="120" w:after="120" w:line="240" w:lineRule="auto"/>
        <w:ind w:left="0" w:firstLine="0"/>
        <w:contextualSpacing w:val="0"/>
        <w:jc w:val="both"/>
        <w:rPr>
          <w:i/>
          <w:iCs/>
          <w:sz w:val="24"/>
          <w:szCs w:val="24"/>
        </w:rPr>
      </w:pPr>
      <w:r w:rsidRPr="08DC88EB">
        <w:rPr>
          <w:i/>
          <w:iCs/>
          <w:sz w:val="24"/>
          <w:szCs w:val="24"/>
        </w:rPr>
        <w:t xml:space="preserve">Barriers. </w:t>
      </w:r>
      <w:r w:rsidRPr="08DC88EB">
        <w:rPr>
          <w:sz w:val="24"/>
          <w:szCs w:val="24"/>
        </w:rPr>
        <w:t>In terms to barriers for greater participation in ITU activities, 75% of the respondents highlighted the cost of travel as the main barrier. Lack of human resources to cover ITU meetings (58%) lack of time (58%) and high fees (33%) were other significant barriers highlighted.</w:t>
      </w:r>
    </w:p>
    <w:p w:rsidR="003476A4" w:rsidRDefault="08DC88EB" w:rsidP="0022715A">
      <w:pPr>
        <w:pStyle w:val="ListParagraph"/>
        <w:numPr>
          <w:ilvl w:val="1"/>
          <w:numId w:val="1"/>
        </w:numPr>
        <w:spacing w:before="120" w:after="120" w:line="240" w:lineRule="auto"/>
        <w:ind w:left="0" w:firstLine="0"/>
        <w:contextualSpacing w:val="0"/>
        <w:jc w:val="both"/>
        <w:rPr>
          <w:i/>
          <w:iCs/>
          <w:sz w:val="24"/>
          <w:szCs w:val="24"/>
        </w:rPr>
      </w:pPr>
      <w:r w:rsidRPr="08DC88EB">
        <w:rPr>
          <w:i/>
          <w:iCs/>
          <w:sz w:val="24"/>
          <w:szCs w:val="24"/>
        </w:rPr>
        <w:t xml:space="preserve">Recommendations. </w:t>
      </w:r>
      <w:r w:rsidRPr="08DC88EB">
        <w:rPr>
          <w:sz w:val="24"/>
          <w:szCs w:val="24"/>
        </w:rPr>
        <w:t xml:space="preserve">The interview process also gathered recommendations from the SMEs regarding future improvements to be introduced by ITU. The recommendations obtained included introducing information sessions to SMEs, reviewing the scheduling of meetings to run </w:t>
      </w:r>
      <w:r w:rsidR="0022715A">
        <w:rPr>
          <w:sz w:val="24"/>
          <w:szCs w:val="24"/>
        </w:rPr>
        <w:t>multiple activities</w:t>
      </w:r>
      <w:r w:rsidRPr="08DC88EB">
        <w:rPr>
          <w:sz w:val="24"/>
          <w:szCs w:val="24"/>
        </w:rPr>
        <w:t xml:space="preserve"> during a single</w:t>
      </w:r>
      <w:r w:rsidR="0022715A">
        <w:rPr>
          <w:sz w:val="24"/>
          <w:szCs w:val="24"/>
        </w:rPr>
        <w:t xml:space="preserve"> week, reduce membership fees and</w:t>
      </w:r>
      <w:r w:rsidRPr="08DC88EB">
        <w:rPr>
          <w:sz w:val="24"/>
          <w:szCs w:val="24"/>
        </w:rPr>
        <w:t xml:space="preserve"> make information in the ITU website easier to access and use. </w:t>
      </w:r>
    </w:p>
    <w:p w:rsidR="003476A4" w:rsidRPr="00672BEC" w:rsidRDefault="08DC88EB" w:rsidP="00672BEC">
      <w:pPr>
        <w:pStyle w:val="ListParagraph"/>
        <w:numPr>
          <w:ilvl w:val="0"/>
          <w:numId w:val="1"/>
        </w:numPr>
        <w:snapToGrid w:val="0"/>
        <w:spacing w:before="360" w:after="120" w:line="240" w:lineRule="auto"/>
        <w:ind w:left="851" w:hanging="851"/>
        <w:contextualSpacing w:val="0"/>
        <w:jc w:val="both"/>
        <w:outlineLvl w:val="0"/>
        <w:rPr>
          <w:sz w:val="28"/>
          <w:szCs w:val="28"/>
        </w:rPr>
      </w:pPr>
      <w:r w:rsidRPr="00672BEC">
        <w:rPr>
          <w:b/>
          <w:bCs/>
          <w:sz w:val="28"/>
          <w:szCs w:val="28"/>
        </w:rPr>
        <w:t>Conclusions and recommendatio</w:t>
      </w:r>
      <w:bookmarkStart w:id="2" w:name="_GoBack"/>
      <w:bookmarkEnd w:id="2"/>
      <w:r w:rsidRPr="00672BEC">
        <w:rPr>
          <w:b/>
          <w:bCs/>
          <w:sz w:val="28"/>
          <w:szCs w:val="28"/>
        </w:rPr>
        <w:t>ns from SMEs</w:t>
      </w:r>
    </w:p>
    <w:p w:rsidR="003476A4" w:rsidRDefault="003476A4" w:rsidP="00953119">
      <w:pPr>
        <w:pStyle w:val="ListParagraph"/>
        <w:numPr>
          <w:ilvl w:val="1"/>
          <w:numId w:val="1"/>
        </w:numPr>
        <w:spacing w:before="120" w:after="120" w:line="240" w:lineRule="auto"/>
        <w:ind w:left="0" w:firstLine="0"/>
        <w:contextualSpacing w:val="0"/>
        <w:jc w:val="both"/>
        <w:rPr>
          <w:sz w:val="24"/>
          <w:szCs w:val="24"/>
        </w:rPr>
      </w:pPr>
      <w:r w:rsidRPr="007A26CB">
        <w:rPr>
          <w:sz w:val="24"/>
          <w:szCs w:val="24"/>
        </w:rPr>
        <w:t>The a</w:t>
      </w:r>
      <w:r>
        <w:rPr>
          <w:sz w:val="24"/>
          <w:szCs w:val="24"/>
        </w:rPr>
        <w:t xml:space="preserve">nalysis conducted shows that there is interest from SMEs in being involved in ITU´s activities, since there is already a group of SMEs </w:t>
      </w:r>
      <w:r w:rsidR="00953119">
        <w:rPr>
          <w:sz w:val="24"/>
          <w:szCs w:val="24"/>
        </w:rPr>
        <w:t>participating</w:t>
      </w:r>
      <w:r>
        <w:rPr>
          <w:sz w:val="24"/>
          <w:szCs w:val="24"/>
        </w:rPr>
        <w:t xml:space="preserve"> ITU associates or full sector members. The analysis in terms of participation shows a wide variety of behaviors, from SMEs very engaged in study groups to SMEs that join ITU to have greater access information or to other services, like the numbering resources allocated by ITU-T Study Group 2. In terms of benefits, the group of SMEs interviewed agreed that they received benefits from their participation in ITU </w:t>
      </w:r>
      <w:r>
        <w:rPr>
          <w:sz w:val="24"/>
          <w:szCs w:val="24"/>
        </w:rPr>
        <w:lastRenderedPageBreak/>
        <w:t xml:space="preserve">activities, </w:t>
      </w:r>
      <w:r w:rsidR="00D97B3F">
        <w:rPr>
          <w:sz w:val="24"/>
          <w:szCs w:val="24"/>
        </w:rPr>
        <w:t>especially</w:t>
      </w:r>
      <w:r>
        <w:rPr>
          <w:sz w:val="24"/>
          <w:szCs w:val="24"/>
        </w:rPr>
        <w:t xml:space="preserve"> in terms of access to information and knowledge, networking opportunities and reputation.</w:t>
      </w:r>
    </w:p>
    <w:p w:rsidR="003476A4" w:rsidRPr="002A631C" w:rsidRDefault="08DC88EB" w:rsidP="08DC88EB">
      <w:pPr>
        <w:pStyle w:val="ListParagraph"/>
        <w:numPr>
          <w:ilvl w:val="1"/>
          <w:numId w:val="1"/>
        </w:numPr>
        <w:spacing w:before="120" w:after="120" w:line="240" w:lineRule="auto"/>
        <w:ind w:left="0" w:firstLine="0"/>
        <w:contextualSpacing w:val="0"/>
        <w:jc w:val="both"/>
        <w:rPr>
          <w:i/>
          <w:iCs/>
          <w:sz w:val="24"/>
          <w:szCs w:val="24"/>
        </w:rPr>
      </w:pPr>
      <w:r w:rsidRPr="08DC88EB">
        <w:rPr>
          <w:sz w:val="24"/>
          <w:szCs w:val="24"/>
        </w:rPr>
        <w:t>However, the analysis also shows important barriers limiting the particip</w:t>
      </w:r>
      <w:r w:rsidR="00D97B3F">
        <w:rPr>
          <w:sz w:val="24"/>
          <w:szCs w:val="24"/>
        </w:rPr>
        <w:t xml:space="preserve">ation of SMEs in ITU. Currently, the majority of </w:t>
      </w:r>
      <w:r w:rsidRPr="08DC88EB">
        <w:rPr>
          <w:sz w:val="24"/>
          <w:szCs w:val="24"/>
        </w:rPr>
        <w:t>active SME associates and sector members come fro</w:t>
      </w:r>
      <w:r w:rsidR="00D97B3F">
        <w:rPr>
          <w:sz w:val="24"/>
          <w:szCs w:val="24"/>
        </w:rPr>
        <w:t>m Western Europe and North America</w:t>
      </w:r>
      <w:r w:rsidRPr="08DC88EB">
        <w:rPr>
          <w:sz w:val="24"/>
          <w:szCs w:val="24"/>
        </w:rPr>
        <w:t xml:space="preserve">, with just a few exceptions from other regions. There are no SMEs from the Caribbean or Latin American countries and there is only one sector member from </w:t>
      </w:r>
      <w:r w:rsidR="00D97B3F">
        <w:rPr>
          <w:sz w:val="24"/>
          <w:szCs w:val="24"/>
        </w:rPr>
        <w:t>Africa</w:t>
      </w:r>
      <w:r w:rsidRPr="08DC88EB">
        <w:rPr>
          <w:sz w:val="24"/>
          <w:szCs w:val="24"/>
        </w:rPr>
        <w:t>.</w:t>
      </w:r>
    </w:p>
    <w:p w:rsidR="003476A4" w:rsidRPr="00720982" w:rsidRDefault="003476A4" w:rsidP="0022715A">
      <w:pPr>
        <w:pStyle w:val="ListParagraph"/>
        <w:numPr>
          <w:ilvl w:val="1"/>
          <w:numId w:val="1"/>
        </w:numPr>
        <w:spacing w:before="120" w:after="120" w:line="240" w:lineRule="auto"/>
        <w:ind w:left="0" w:firstLine="0"/>
        <w:contextualSpacing w:val="0"/>
        <w:jc w:val="both"/>
        <w:rPr>
          <w:i/>
          <w:iCs/>
          <w:sz w:val="24"/>
          <w:szCs w:val="24"/>
        </w:rPr>
      </w:pPr>
      <w:r>
        <w:rPr>
          <w:sz w:val="24"/>
          <w:szCs w:val="24"/>
        </w:rPr>
        <w:t xml:space="preserve">The analysis conducted in this information document doesn´t </w:t>
      </w:r>
      <w:r w:rsidR="0022715A">
        <w:rPr>
          <w:sz w:val="24"/>
          <w:szCs w:val="24"/>
        </w:rPr>
        <w:t xml:space="preserve">us </w:t>
      </w:r>
      <w:r>
        <w:rPr>
          <w:sz w:val="24"/>
          <w:szCs w:val="24"/>
        </w:rPr>
        <w:t>allow to identify the exact the reasons behind this lack of participation, since it only considered i</w:t>
      </w:r>
      <w:r w:rsidR="0022715A">
        <w:rPr>
          <w:sz w:val="24"/>
          <w:szCs w:val="24"/>
        </w:rPr>
        <w:t>nformation from existing members who contributed to the survey</w:t>
      </w:r>
      <w:r>
        <w:rPr>
          <w:sz w:val="24"/>
          <w:szCs w:val="24"/>
        </w:rPr>
        <w:t>. However</w:t>
      </w:r>
      <w:r w:rsidR="0022715A">
        <w:rPr>
          <w:sz w:val="24"/>
          <w:szCs w:val="24"/>
        </w:rPr>
        <w:t>, the barriers identified by</w:t>
      </w:r>
      <w:r>
        <w:rPr>
          <w:sz w:val="24"/>
          <w:szCs w:val="24"/>
        </w:rPr>
        <w:t xml:space="preserve"> </w:t>
      </w:r>
      <w:r w:rsidR="0022715A">
        <w:rPr>
          <w:sz w:val="24"/>
          <w:szCs w:val="24"/>
        </w:rPr>
        <w:t xml:space="preserve">survey </w:t>
      </w:r>
      <w:r>
        <w:rPr>
          <w:sz w:val="24"/>
          <w:szCs w:val="24"/>
        </w:rPr>
        <w:t xml:space="preserve">respondents seems to indicate that </w:t>
      </w:r>
      <w:r w:rsidR="0022715A">
        <w:rPr>
          <w:sz w:val="24"/>
          <w:szCs w:val="24"/>
        </w:rPr>
        <w:t>travel costs and staff capacity and fees</w:t>
      </w:r>
      <w:r>
        <w:rPr>
          <w:sz w:val="24"/>
          <w:szCs w:val="24"/>
        </w:rPr>
        <w:t xml:space="preserve"> may be important factors. </w:t>
      </w:r>
    </w:p>
    <w:p w:rsidR="003476A4" w:rsidRPr="00720982" w:rsidRDefault="003476A4" w:rsidP="08DC88EB">
      <w:pPr>
        <w:pStyle w:val="ListParagraph"/>
        <w:numPr>
          <w:ilvl w:val="1"/>
          <w:numId w:val="1"/>
        </w:numPr>
        <w:spacing w:before="120" w:after="120" w:line="240" w:lineRule="auto"/>
        <w:ind w:left="0" w:firstLine="0"/>
        <w:contextualSpacing w:val="0"/>
        <w:jc w:val="both"/>
        <w:rPr>
          <w:i/>
          <w:iCs/>
          <w:sz w:val="24"/>
          <w:szCs w:val="24"/>
        </w:rPr>
      </w:pPr>
      <w:r>
        <w:rPr>
          <w:sz w:val="24"/>
          <w:szCs w:val="24"/>
        </w:rPr>
        <w:t>The SMEs interviewed supported measures to alleviate the barriers mentioned above through actions such as introducing discounts on membership fees, strengthening remote participation in relevant meetings, undertaking awareness raising and infor</w:t>
      </w:r>
      <w:r w:rsidR="0022715A">
        <w:rPr>
          <w:sz w:val="24"/>
          <w:szCs w:val="24"/>
        </w:rPr>
        <w:t>mation sessions aimed at SMEs and</w:t>
      </w:r>
      <w:r>
        <w:rPr>
          <w:sz w:val="24"/>
          <w:szCs w:val="24"/>
        </w:rPr>
        <w:t xml:space="preserve"> reaching out to SMEs through their associations. </w:t>
      </w:r>
    </w:p>
    <w:p w:rsidR="008D2348" w:rsidRDefault="008D2348" w:rsidP="08DC88EB">
      <w:pPr>
        <w:jc w:val="center"/>
        <w:rPr>
          <w:rFonts w:asciiTheme="minorHAnsi" w:eastAsiaTheme="minorEastAsia" w:hAnsiTheme="minorHAnsi" w:cstheme="minorBidi"/>
        </w:rPr>
      </w:pPr>
    </w:p>
    <w:p w:rsidR="003476A4" w:rsidRPr="001A2CC8" w:rsidRDefault="08DC88EB" w:rsidP="08DC88EB">
      <w:pPr>
        <w:jc w:val="center"/>
        <w:rPr>
          <w:rFonts w:asciiTheme="minorHAnsi" w:eastAsiaTheme="minorEastAsia" w:hAnsiTheme="minorHAnsi" w:cstheme="minorBidi"/>
        </w:rPr>
      </w:pPr>
      <w:r w:rsidRPr="08DC88EB">
        <w:rPr>
          <w:rFonts w:asciiTheme="minorHAnsi" w:eastAsiaTheme="minorEastAsia" w:hAnsiTheme="minorHAnsi" w:cstheme="minorBidi"/>
        </w:rPr>
        <w:t>________________</w:t>
      </w:r>
    </w:p>
    <w:p w:rsidR="00556533" w:rsidRDefault="00672BEC" w:rsidP="00F300C0"/>
    <w:sectPr w:rsidR="00556533" w:rsidSect="00672BEC">
      <w:headerReference w:type="default" r:id="rId10"/>
      <w:pgSz w:w="11907" w:h="16840" w:code="9"/>
      <w:pgMar w:top="1304" w:right="1304"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15F" w:rsidRDefault="00C4115F" w:rsidP="00F300C0">
      <w:pPr>
        <w:spacing w:before="0"/>
      </w:pPr>
      <w:r>
        <w:separator/>
      </w:r>
    </w:p>
  </w:endnote>
  <w:endnote w:type="continuationSeparator" w:id="0">
    <w:p w:rsidR="00C4115F" w:rsidRDefault="00C4115F" w:rsidP="00F300C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15F" w:rsidRDefault="00C4115F" w:rsidP="00672BEC">
      <w:r>
        <w:separator/>
      </w:r>
    </w:p>
  </w:footnote>
  <w:footnote w:type="continuationSeparator" w:id="0">
    <w:p w:rsidR="00C4115F" w:rsidRDefault="00C4115F" w:rsidP="00F300C0">
      <w:pPr>
        <w:spacing w:before="0"/>
      </w:pPr>
      <w:r>
        <w:continuationSeparator/>
      </w:r>
    </w:p>
  </w:footnote>
  <w:footnote w:id="1">
    <w:p w:rsidR="003476A4" w:rsidRPr="00BE6DED" w:rsidRDefault="003476A4" w:rsidP="00672BEC">
      <w:pPr>
        <w:pStyle w:val="FootnoteText"/>
        <w:tabs>
          <w:tab w:val="clear" w:pos="255"/>
          <w:tab w:val="clear" w:pos="794"/>
          <w:tab w:val="clear" w:pos="1191"/>
          <w:tab w:val="clear" w:pos="1588"/>
          <w:tab w:val="clear" w:pos="1985"/>
        </w:tabs>
        <w:spacing w:before="60"/>
        <w:rPr>
          <w:rFonts w:asciiTheme="minorHAnsi" w:eastAsiaTheme="minorEastAsia" w:hAnsiTheme="minorHAnsi" w:cstheme="minorBidi"/>
          <w:sz w:val="22"/>
          <w:szCs w:val="22"/>
        </w:rPr>
      </w:pPr>
      <w:r w:rsidRPr="08DC88EB">
        <w:rPr>
          <w:rStyle w:val="FootnoteReference"/>
          <w:rFonts w:asciiTheme="minorHAnsi" w:eastAsiaTheme="minorEastAsia" w:hAnsiTheme="minorHAnsi" w:cstheme="minorBidi"/>
          <w:sz w:val="22"/>
          <w:szCs w:val="22"/>
          <w:vertAlign w:val="superscript"/>
        </w:rPr>
        <w:footnoteRef/>
      </w:r>
      <w:r w:rsidRPr="08DC88EB">
        <w:rPr>
          <w:rFonts w:asciiTheme="minorHAnsi" w:eastAsiaTheme="minorEastAsia" w:hAnsiTheme="minorHAnsi" w:cstheme="minorBidi"/>
          <w:sz w:val="22"/>
          <w:szCs w:val="22"/>
        </w:rPr>
        <w:t xml:space="preserve"> </w:t>
      </w:r>
      <w:r w:rsidR="00672BEC">
        <w:rPr>
          <w:rFonts w:asciiTheme="minorHAnsi" w:eastAsiaTheme="minorEastAsia" w:hAnsiTheme="minorHAnsi" w:cstheme="minorBidi"/>
          <w:sz w:val="22"/>
          <w:szCs w:val="22"/>
        </w:rPr>
        <w:tab/>
      </w:r>
      <w:r w:rsidRPr="08DC88EB">
        <w:rPr>
          <w:rFonts w:asciiTheme="minorHAnsi" w:eastAsiaTheme="minorEastAsia" w:hAnsiTheme="minorHAnsi" w:cstheme="minorBidi"/>
          <w:sz w:val="22"/>
          <w:szCs w:val="22"/>
        </w:rPr>
        <w:t xml:space="preserve">This document </w:t>
      </w:r>
      <w:r w:rsidR="00BE6DED" w:rsidRPr="08DC88EB">
        <w:rPr>
          <w:rFonts w:asciiTheme="minorHAnsi" w:eastAsiaTheme="minorEastAsia" w:hAnsiTheme="minorHAnsi" w:cstheme="minorBidi"/>
          <w:sz w:val="22"/>
          <w:szCs w:val="22"/>
        </w:rPr>
        <w:t xml:space="preserve">uses the SME definition of the European Union, </w:t>
      </w:r>
      <w:r w:rsidRPr="08DC88EB">
        <w:rPr>
          <w:rFonts w:asciiTheme="minorHAnsi" w:eastAsiaTheme="minorEastAsia" w:hAnsiTheme="minorHAnsi" w:cstheme="minorBidi"/>
          <w:sz w:val="22"/>
          <w:szCs w:val="22"/>
        </w:rPr>
        <w:t>which defines SMEs as businesses of less than</w:t>
      </w:r>
      <w:r w:rsidR="00C10677" w:rsidRPr="08DC88EB">
        <w:rPr>
          <w:rFonts w:asciiTheme="minorHAnsi" w:eastAsiaTheme="minorEastAsia" w:hAnsiTheme="minorHAnsi" w:cstheme="minorBidi"/>
          <w:sz w:val="22"/>
          <w:szCs w:val="22"/>
        </w:rPr>
        <w:t xml:space="preserve"> 250 </w:t>
      </w:r>
      <w:proofErr w:type="gramStart"/>
      <w:r w:rsidR="00C10677" w:rsidRPr="08DC88EB">
        <w:rPr>
          <w:rFonts w:asciiTheme="minorHAnsi" w:eastAsiaTheme="minorEastAsia" w:hAnsiTheme="minorHAnsi" w:cstheme="minorBidi"/>
          <w:sz w:val="22"/>
          <w:szCs w:val="22"/>
        </w:rPr>
        <w:t xml:space="preserve">employees </w:t>
      </w:r>
      <w:r w:rsidR="00FC40AA" w:rsidRPr="08DC88EB">
        <w:rPr>
          <w:rFonts w:asciiTheme="minorHAnsi" w:eastAsiaTheme="minorEastAsia" w:hAnsiTheme="minorHAnsi" w:cstheme="minorBidi"/>
          <w:sz w:val="22"/>
          <w:szCs w:val="22"/>
        </w:rPr>
        <w:t>and</w:t>
      </w:r>
      <w:proofErr w:type="gramEnd"/>
      <w:r w:rsidRPr="08DC88EB">
        <w:rPr>
          <w:rFonts w:asciiTheme="minorHAnsi" w:eastAsiaTheme="minorEastAsia" w:hAnsiTheme="minorHAnsi" w:cstheme="minorBidi"/>
          <w:sz w:val="22"/>
          <w:szCs w:val="22"/>
        </w:rPr>
        <w:t xml:space="preserve"> less </w:t>
      </w:r>
      <w:r w:rsidR="00BE6DED" w:rsidRPr="08DC88EB">
        <w:rPr>
          <w:rFonts w:asciiTheme="minorHAnsi" w:eastAsiaTheme="minorEastAsia" w:hAnsiTheme="minorHAnsi" w:cstheme="minorBidi"/>
          <w:sz w:val="22"/>
          <w:szCs w:val="22"/>
        </w:rPr>
        <w:t>than EUR 50 million in turnover</w:t>
      </w:r>
      <w:r w:rsidRPr="08DC88EB">
        <w:rPr>
          <w:rFonts w:asciiTheme="minorHAnsi" w:eastAsiaTheme="minorEastAsia" w:hAnsiTheme="minorHAnsi" w:cstheme="minorBidi"/>
          <w:sz w:val="22"/>
          <w:szCs w:val="22"/>
        </w:rPr>
        <w:t>. Furt</w:t>
      </w:r>
      <w:r w:rsidR="00BE6DED" w:rsidRPr="08DC88EB">
        <w:rPr>
          <w:rFonts w:asciiTheme="minorHAnsi" w:eastAsiaTheme="minorEastAsia" w:hAnsiTheme="minorHAnsi" w:cstheme="minorBidi"/>
          <w:sz w:val="22"/>
          <w:szCs w:val="22"/>
        </w:rPr>
        <w:t xml:space="preserve">her information is available at: </w:t>
      </w:r>
      <w:hyperlink r:id="rId1" w:history="1">
        <w:r w:rsidRPr="08DC88EB">
          <w:rPr>
            <w:rStyle w:val="Hyperlink"/>
            <w:rFonts w:asciiTheme="minorHAnsi" w:eastAsiaTheme="minorEastAsia" w:hAnsiTheme="minorHAnsi" w:cstheme="minorBidi"/>
            <w:sz w:val="22"/>
            <w:szCs w:val="22"/>
          </w:rPr>
          <w:t>http://ec.europa.eu/growth/smes/business-friendly-environment/sme-definition_en</w:t>
        </w:r>
      </w:hyperlink>
      <w:r w:rsidR="00BE6DED" w:rsidRPr="08DC88EB">
        <w:rPr>
          <w:rStyle w:val="Hyperlink"/>
          <w:rFonts w:asciiTheme="minorHAnsi" w:eastAsiaTheme="minorEastAsia" w:hAnsiTheme="minorHAnsi" w:cstheme="minorBidi"/>
          <w:sz w:val="22"/>
          <w:szCs w:val="22"/>
        </w:rPr>
        <w:t>.</w:t>
      </w:r>
      <w:r w:rsidRPr="08DC88EB">
        <w:rPr>
          <w:rFonts w:asciiTheme="minorHAnsi" w:eastAsiaTheme="minorEastAsia" w:hAnsiTheme="minorHAnsi" w:cstheme="minorBidi"/>
          <w:sz w:val="22"/>
          <w:szCs w:val="22"/>
        </w:rPr>
        <w:t xml:space="preserve"> </w:t>
      </w:r>
    </w:p>
  </w:footnote>
  <w:footnote w:id="2">
    <w:p w:rsidR="003476A4" w:rsidRPr="00BE6DED" w:rsidRDefault="003476A4" w:rsidP="00672BEC">
      <w:pPr>
        <w:pStyle w:val="FootnoteText"/>
        <w:tabs>
          <w:tab w:val="clear" w:pos="255"/>
          <w:tab w:val="clear" w:pos="794"/>
          <w:tab w:val="clear" w:pos="1191"/>
          <w:tab w:val="clear" w:pos="1588"/>
          <w:tab w:val="clear" w:pos="1985"/>
        </w:tabs>
        <w:spacing w:before="60"/>
        <w:rPr>
          <w:rFonts w:asciiTheme="minorHAnsi" w:eastAsiaTheme="minorEastAsia" w:hAnsiTheme="minorHAnsi" w:cstheme="minorBidi"/>
          <w:sz w:val="22"/>
          <w:szCs w:val="22"/>
          <w:lang w:val="it-CH"/>
        </w:rPr>
      </w:pPr>
      <w:r w:rsidRPr="08DC88EB">
        <w:rPr>
          <w:rStyle w:val="FootnoteReference"/>
          <w:rFonts w:asciiTheme="minorHAnsi" w:eastAsiaTheme="minorEastAsia" w:hAnsiTheme="minorHAnsi" w:cstheme="minorBidi"/>
          <w:sz w:val="22"/>
          <w:szCs w:val="22"/>
          <w:vertAlign w:val="superscript"/>
        </w:rPr>
        <w:footnoteRef/>
      </w:r>
      <w:r w:rsidRPr="08DC88EB">
        <w:rPr>
          <w:rFonts w:asciiTheme="minorHAnsi" w:eastAsiaTheme="minorEastAsia" w:hAnsiTheme="minorHAnsi" w:cstheme="minorBidi"/>
          <w:sz w:val="22"/>
          <w:szCs w:val="22"/>
        </w:rPr>
        <w:t xml:space="preserve"> </w:t>
      </w:r>
      <w:r w:rsidR="00672BEC">
        <w:rPr>
          <w:rFonts w:asciiTheme="minorHAnsi" w:eastAsiaTheme="minorEastAsia" w:hAnsiTheme="minorHAnsi" w:cstheme="minorBidi"/>
          <w:sz w:val="22"/>
          <w:szCs w:val="22"/>
        </w:rPr>
        <w:tab/>
      </w:r>
      <w:r w:rsidRPr="08DC88EB">
        <w:rPr>
          <w:rFonts w:asciiTheme="minorHAnsi" w:eastAsiaTheme="minorEastAsia" w:hAnsiTheme="minorHAnsi" w:cstheme="minorBidi"/>
          <w:sz w:val="22"/>
          <w:szCs w:val="22"/>
        </w:rPr>
        <w:t xml:space="preserve">Small and Medium-Sized Enterprises and Decent and Productive Employment Creation. </w:t>
      </w:r>
      <w:hyperlink r:id="rId2" w:history="1">
        <w:r w:rsidRPr="08DC88EB">
          <w:rPr>
            <w:rStyle w:val="Hyperlink"/>
            <w:rFonts w:asciiTheme="minorHAnsi" w:eastAsiaTheme="minorEastAsia" w:hAnsiTheme="minorHAnsi" w:cstheme="minorBidi"/>
            <w:sz w:val="22"/>
            <w:szCs w:val="22"/>
            <w:lang w:val="it-CH"/>
          </w:rPr>
          <w:t>http://www.ilo.org/wcmsp5/groups/public/---ed_norm/---relconf/documents/meetingdocument/wcms_358294.pdf</w:t>
        </w:r>
      </w:hyperlink>
      <w:r w:rsidRPr="08DC88EB">
        <w:rPr>
          <w:rFonts w:asciiTheme="minorHAnsi" w:eastAsiaTheme="minorEastAsia" w:hAnsiTheme="minorHAnsi" w:cstheme="minorBidi"/>
          <w:sz w:val="22"/>
          <w:szCs w:val="22"/>
          <w:lang w:val="it-CH"/>
        </w:rPr>
        <w:t>., ILO,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1AF" w:rsidRPr="00F221AF" w:rsidRDefault="00F221AF">
    <w:pPr>
      <w:pStyle w:val="Header"/>
      <w:jc w:val="center"/>
      <w:rPr>
        <w:rFonts w:ascii="Calibri" w:hAnsi="Calibri"/>
        <w:sz w:val="22"/>
        <w:szCs w:val="22"/>
      </w:rPr>
    </w:pPr>
    <w:r w:rsidRPr="00F221AF">
      <w:rPr>
        <w:rFonts w:ascii="Calibri" w:hAnsi="Calibri"/>
        <w:sz w:val="22"/>
        <w:szCs w:val="22"/>
      </w:rPr>
      <w:t>- </w:t>
    </w:r>
    <w:sdt>
      <w:sdtPr>
        <w:rPr>
          <w:rFonts w:ascii="Calibri" w:hAnsi="Calibri"/>
          <w:sz w:val="22"/>
          <w:szCs w:val="22"/>
        </w:rPr>
        <w:id w:val="551192529"/>
        <w:docPartObj>
          <w:docPartGallery w:val="Page Numbers (Top of Page)"/>
          <w:docPartUnique/>
        </w:docPartObj>
      </w:sdtPr>
      <w:sdtEndPr>
        <w:rPr>
          <w:noProof/>
        </w:rPr>
      </w:sdtEndPr>
      <w:sdtContent>
        <w:r w:rsidRPr="00F221AF">
          <w:rPr>
            <w:rFonts w:ascii="Calibri" w:hAnsi="Calibri"/>
            <w:sz w:val="22"/>
            <w:szCs w:val="22"/>
          </w:rPr>
          <w:fldChar w:fldCharType="begin"/>
        </w:r>
        <w:r w:rsidRPr="00F221AF">
          <w:rPr>
            <w:rFonts w:ascii="Calibri" w:hAnsi="Calibri"/>
            <w:sz w:val="22"/>
            <w:szCs w:val="22"/>
          </w:rPr>
          <w:instrText xml:space="preserve"> PAGE   \* MERGEFORMAT </w:instrText>
        </w:r>
        <w:r w:rsidRPr="00F221AF">
          <w:rPr>
            <w:rFonts w:ascii="Calibri" w:hAnsi="Calibri"/>
            <w:sz w:val="22"/>
            <w:szCs w:val="22"/>
          </w:rPr>
          <w:fldChar w:fldCharType="separate"/>
        </w:r>
        <w:r w:rsidR="00672BEC">
          <w:rPr>
            <w:rFonts w:ascii="Calibri" w:hAnsi="Calibri"/>
            <w:noProof/>
            <w:sz w:val="22"/>
            <w:szCs w:val="22"/>
          </w:rPr>
          <w:t>2</w:t>
        </w:r>
        <w:r w:rsidRPr="00F221AF">
          <w:rPr>
            <w:rFonts w:ascii="Calibri" w:hAnsi="Calibri"/>
            <w:noProof/>
            <w:sz w:val="22"/>
            <w:szCs w:val="22"/>
          </w:rPr>
          <w:fldChar w:fldCharType="end"/>
        </w:r>
        <w:r w:rsidRPr="00F221AF">
          <w:rPr>
            <w:rFonts w:ascii="Calibri" w:hAnsi="Calibri"/>
            <w:noProof/>
            <w:sz w:val="22"/>
            <w:szCs w:val="22"/>
          </w:rPr>
          <w:t> -</w:t>
        </w:r>
      </w:sdtContent>
    </w:sdt>
  </w:p>
  <w:p w:rsidR="00F221AF" w:rsidRDefault="00F221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C4A03"/>
    <w:multiLevelType w:val="multilevel"/>
    <w:tmpl w:val="ADD44690"/>
    <w:lvl w:ilvl="0">
      <w:start w:val="1"/>
      <w:numFmt w:val="decimal"/>
      <w:lvlText w:val="%1"/>
      <w:lvlJc w:val="left"/>
      <w:pPr>
        <w:ind w:left="360" w:hanging="360"/>
      </w:pPr>
      <w:rPr>
        <w:rFonts w:hint="default"/>
        <w:b/>
        <w:bCs/>
      </w:rPr>
    </w:lvl>
    <w:lvl w:ilvl="1">
      <w:start w:val="1"/>
      <w:numFmt w:val="decimal"/>
      <w:lvlText w:val="%2.1"/>
      <w:lvlJc w:val="left"/>
      <w:pPr>
        <w:ind w:left="432" w:hanging="432"/>
      </w:pPr>
      <w:rPr>
        <w:rFonts w:ascii="Calibri" w:hAnsi="Calibri" w:hint="default"/>
        <w:b w:val="0"/>
        <w:bCs w:val="0"/>
        <w:i w:val="0"/>
        <w:i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0C0"/>
    <w:rsid w:val="00095E04"/>
    <w:rsid w:val="00173F1B"/>
    <w:rsid w:val="00187133"/>
    <w:rsid w:val="001D4250"/>
    <w:rsid w:val="001F79AC"/>
    <w:rsid w:val="002205EA"/>
    <w:rsid w:val="00224B04"/>
    <w:rsid w:val="0022715A"/>
    <w:rsid w:val="00273C6D"/>
    <w:rsid w:val="00284979"/>
    <w:rsid w:val="003003B9"/>
    <w:rsid w:val="003476A4"/>
    <w:rsid w:val="003625E8"/>
    <w:rsid w:val="003A40D4"/>
    <w:rsid w:val="0044680A"/>
    <w:rsid w:val="004B055C"/>
    <w:rsid w:val="00505C3C"/>
    <w:rsid w:val="00591037"/>
    <w:rsid w:val="005A3472"/>
    <w:rsid w:val="00636CF7"/>
    <w:rsid w:val="00664514"/>
    <w:rsid w:val="00672BEC"/>
    <w:rsid w:val="007D1360"/>
    <w:rsid w:val="00804E45"/>
    <w:rsid w:val="0083042D"/>
    <w:rsid w:val="00896AAB"/>
    <w:rsid w:val="008C29A8"/>
    <w:rsid w:val="008D2348"/>
    <w:rsid w:val="00953119"/>
    <w:rsid w:val="00A46639"/>
    <w:rsid w:val="00AB1325"/>
    <w:rsid w:val="00AF5D04"/>
    <w:rsid w:val="00BA72EC"/>
    <w:rsid w:val="00BE6DED"/>
    <w:rsid w:val="00C10677"/>
    <w:rsid w:val="00C4115F"/>
    <w:rsid w:val="00C604B0"/>
    <w:rsid w:val="00D97B3F"/>
    <w:rsid w:val="00DA5FD3"/>
    <w:rsid w:val="00E563F2"/>
    <w:rsid w:val="00EF2CE8"/>
    <w:rsid w:val="00F139B2"/>
    <w:rsid w:val="00F221AF"/>
    <w:rsid w:val="00F300C0"/>
    <w:rsid w:val="00F51ACD"/>
    <w:rsid w:val="00FB0942"/>
    <w:rsid w:val="00FB4A8A"/>
    <w:rsid w:val="00FC40AA"/>
    <w:rsid w:val="08DC88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8A160C-2E2F-48F7-933D-C14137456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0C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uiPriority w:val="9"/>
    <w:qFormat/>
    <w:rsid w:val="003476A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rsid w:val="003476A4"/>
    <w:pPr>
      <w:tabs>
        <w:tab w:val="clear" w:pos="794"/>
        <w:tab w:val="clear" w:pos="1191"/>
        <w:tab w:val="clear" w:pos="1588"/>
        <w:tab w:val="clear" w:pos="1985"/>
        <w:tab w:val="left" w:pos="1134"/>
        <w:tab w:val="left" w:pos="1871"/>
        <w:tab w:val="left" w:pos="2268"/>
      </w:tabs>
      <w:spacing w:before="200"/>
      <w:ind w:left="1134" w:hanging="1134"/>
      <w:outlineLvl w:val="1"/>
    </w:pPr>
    <w:rPr>
      <w:rFonts w:ascii="Times New Roman" w:eastAsia="Times New Roman" w:hAnsi="Times New Roman" w:cs="Times New Roman"/>
      <w:b/>
      <w:color w:val="auto"/>
      <w:sz w:val="24"/>
      <w:szCs w:val="20"/>
    </w:rPr>
  </w:style>
  <w:style w:type="paragraph" w:styleId="Heading3">
    <w:name w:val="heading 3"/>
    <w:basedOn w:val="Normal"/>
    <w:next w:val="Normal"/>
    <w:link w:val="Heading3Char"/>
    <w:uiPriority w:val="9"/>
    <w:semiHidden/>
    <w:unhideWhenUsed/>
    <w:qFormat/>
    <w:rsid w:val="00672BEC"/>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F300C0"/>
    <w:rPr>
      <w:position w:val="6"/>
      <w:sz w:val="18"/>
    </w:rPr>
  </w:style>
  <w:style w:type="paragraph" w:styleId="FootnoteText">
    <w:name w:val="footnote text"/>
    <w:aliases w:val="Char"/>
    <w:basedOn w:val="Normal"/>
    <w:link w:val="FootnoteTextChar"/>
    <w:rsid w:val="00F300C0"/>
    <w:pPr>
      <w:keepLines/>
      <w:tabs>
        <w:tab w:val="left" w:pos="255"/>
      </w:tabs>
      <w:ind w:left="255" w:hanging="255"/>
    </w:pPr>
  </w:style>
  <w:style w:type="character" w:customStyle="1" w:styleId="FootnoteTextChar">
    <w:name w:val="Footnote Text Char"/>
    <w:aliases w:val="Char Char"/>
    <w:basedOn w:val="DefaultParagraphFont"/>
    <w:link w:val="FootnoteText"/>
    <w:qFormat/>
    <w:rsid w:val="00F300C0"/>
    <w:rPr>
      <w:rFonts w:ascii="Times New Roman" w:eastAsia="Times New Roman" w:hAnsi="Times New Roman" w:cs="Times New Roman"/>
      <w:sz w:val="24"/>
      <w:szCs w:val="20"/>
      <w:lang w:val="en-GB" w:eastAsia="en-US"/>
    </w:rPr>
  </w:style>
  <w:style w:type="character" w:styleId="Hyperlink">
    <w:name w:val="Hyperlink"/>
    <w:basedOn w:val="DefaultParagraphFont"/>
    <w:semiHidden/>
    <w:rsid w:val="00F300C0"/>
    <w:rPr>
      <w:color w:val="0000FF"/>
      <w:u w:val="single"/>
    </w:rPr>
  </w:style>
  <w:style w:type="character" w:customStyle="1" w:styleId="Heading2Char">
    <w:name w:val="Heading 2 Char"/>
    <w:basedOn w:val="DefaultParagraphFont"/>
    <w:link w:val="Heading2"/>
    <w:rsid w:val="003476A4"/>
    <w:rPr>
      <w:rFonts w:ascii="Times New Roman" w:eastAsia="Times New Roman" w:hAnsi="Times New Roman" w:cs="Times New Roman"/>
      <w:b/>
      <w:sz w:val="24"/>
      <w:szCs w:val="20"/>
      <w:lang w:val="en-GB" w:eastAsia="en-US"/>
    </w:rPr>
  </w:style>
  <w:style w:type="paragraph" w:customStyle="1" w:styleId="Agendaitem">
    <w:name w:val="Agenda_item"/>
    <w:basedOn w:val="Normal"/>
    <w:next w:val="Normal"/>
    <w:qFormat/>
    <w:rsid w:val="003476A4"/>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Source">
    <w:name w:val="Source"/>
    <w:basedOn w:val="Normal"/>
    <w:next w:val="Normal"/>
    <w:rsid w:val="003476A4"/>
    <w:pPr>
      <w:tabs>
        <w:tab w:val="clear" w:pos="794"/>
        <w:tab w:val="clear" w:pos="1191"/>
        <w:tab w:val="clear" w:pos="1588"/>
        <w:tab w:val="clear" w:pos="1985"/>
        <w:tab w:val="left" w:pos="1134"/>
        <w:tab w:val="left" w:pos="1871"/>
        <w:tab w:val="left" w:pos="2268"/>
      </w:tabs>
      <w:spacing w:before="840"/>
      <w:jc w:val="center"/>
    </w:pPr>
    <w:rPr>
      <w:b/>
      <w:sz w:val="28"/>
    </w:rPr>
  </w:style>
  <w:style w:type="paragraph" w:customStyle="1" w:styleId="Title1">
    <w:name w:val="Title 1"/>
    <w:basedOn w:val="Source"/>
    <w:next w:val="Normal"/>
    <w:rsid w:val="003476A4"/>
    <w:pPr>
      <w:tabs>
        <w:tab w:val="left" w:pos="567"/>
        <w:tab w:val="left" w:pos="1701"/>
        <w:tab w:val="left" w:pos="2835"/>
      </w:tabs>
      <w:spacing w:before="240"/>
    </w:pPr>
    <w:rPr>
      <w:b w:val="0"/>
      <w:caps/>
    </w:rPr>
  </w:style>
  <w:style w:type="paragraph" w:customStyle="1" w:styleId="Title2">
    <w:name w:val="Title 2"/>
    <w:basedOn w:val="Source"/>
    <w:next w:val="Normal"/>
    <w:rsid w:val="003476A4"/>
    <w:pPr>
      <w:overflowPunct/>
      <w:autoSpaceDE/>
      <w:autoSpaceDN/>
      <w:adjustRightInd/>
      <w:spacing w:before="480"/>
      <w:textAlignment w:val="auto"/>
    </w:pPr>
    <w:rPr>
      <w:b w:val="0"/>
      <w:caps/>
    </w:rPr>
  </w:style>
  <w:style w:type="paragraph" w:customStyle="1" w:styleId="TopHeader">
    <w:name w:val="TopHeader"/>
    <w:basedOn w:val="Normal"/>
    <w:rsid w:val="003476A4"/>
    <w:pPr>
      <w:tabs>
        <w:tab w:val="clear" w:pos="794"/>
        <w:tab w:val="clear" w:pos="1191"/>
        <w:tab w:val="clear" w:pos="1588"/>
        <w:tab w:val="clear" w:pos="1985"/>
        <w:tab w:val="left" w:pos="1134"/>
        <w:tab w:val="left" w:pos="1871"/>
        <w:tab w:val="left" w:pos="2268"/>
      </w:tabs>
    </w:pPr>
    <w:rPr>
      <w:rFonts w:ascii="Verdana" w:hAnsi="Verdana" w:cs="Times New Roman Bold"/>
      <w:b/>
      <w:bCs/>
      <w:szCs w:val="24"/>
    </w:rPr>
  </w:style>
  <w:style w:type="paragraph" w:styleId="ListParagraph">
    <w:name w:val="List Paragraph"/>
    <w:basedOn w:val="Normal"/>
    <w:uiPriority w:val="34"/>
    <w:qFormat/>
    <w:rsid w:val="003476A4"/>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Heading1Char">
    <w:name w:val="Heading 1 Char"/>
    <w:basedOn w:val="DefaultParagraphFont"/>
    <w:link w:val="Heading1"/>
    <w:uiPriority w:val="9"/>
    <w:rsid w:val="003476A4"/>
    <w:rPr>
      <w:rFonts w:asciiTheme="majorHAnsi" w:eastAsiaTheme="majorEastAsia" w:hAnsiTheme="majorHAnsi" w:cstheme="majorBidi"/>
      <w:color w:val="2E74B5" w:themeColor="accent1" w:themeShade="BF"/>
      <w:sz w:val="32"/>
      <w:szCs w:val="32"/>
      <w:lang w:val="en-GB" w:eastAsia="en-US"/>
    </w:rPr>
  </w:style>
  <w:style w:type="character" w:styleId="FollowedHyperlink">
    <w:name w:val="FollowedHyperlink"/>
    <w:basedOn w:val="DefaultParagraphFont"/>
    <w:uiPriority w:val="99"/>
    <w:semiHidden/>
    <w:unhideWhenUsed/>
    <w:rsid w:val="00FB0942"/>
    <w:rPr>
      <w:color w:val="954F72" w:themeColor="followedHyperlink"/>
      <w:u w:val="single"/>
    </w:rPr>
  </w:style>
  <w:style w:type="paragraph" w:styleId="BalloonText">
    <w:name w:val="Balloon Text"/>
    <w:basedOn w:val="Normal"/>
    <w:link w:val="BalloonTextChar"/>
    <w:uiPriority w:val="99"/>
    <w:semiHidden/>
    <w:unhideWhenUsed/>
    <w:rsid w:val="004B055C"/>
    <w:pPr>
      <w:spacing w:before="0"/>
    </w:pPr>
    <w:rPr>
      <w:sz w:val="18"/>
      <w:szCs w:val="18"/>
    </w:rPr>
  </w:style>
  <w:style w:type="character" w:customStyle="1" w:styleId="BalloonTextChar">
    <w:name w:val="Balloon Text Char"/>
    <w:basedOn w:val="DefaultParagraphFont"/>
    <w:link w:val="BalloonText"/>
    <w:uiPriority w:val="99"/>
    <w:semiHidden/>
    <w:rsid w:val="004B055C"/>
    <w:rPr>
      <w:rFonts w:ascii="Times New Roman" w:eastAsia="Times New Roman" w:hAnsi="Times New Roman" w:cs="Times New Roman"/>
      <w:sz w:val="18"/>
      <w:szCs w:val="18"/>
      <w:lang w:val="en-GB" w:eastAsia="en-US"/>
    </w:rPr>
  </w:style>
  <w:style w:type="paragraph" w:styleId="Header">
    <w:name w:val="header"/>
    <w:basedOn w:val="Normal"/>
    <w:link w:val="HeaderChar"/>
    <w:uiPriority w:val="99"/>
    <w:unhideWhenUsed/>
    <w:rsid w:val="00F221AF"/>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F221AF"/>
    <w:rPr>
      <w:rFonts w:ascii="Times New Roman" w:eastAsia="Times New Roman" w:hAnsi="Times New Roman" w:cs="Times New Roman"/>
      <w:sz w:val="24"/>
      <w:szCs w:val="20"/>
      <w:lang w:val="en-GB" w:eastAsia="en-US"/>
    </w:rPr>
  </w:style>
  <w:style w:type="paragraph" w:styleId="Footer">
    <w:name w:val="footer"/>
    <w:basedOn w:val="Normal"/>
    <w:link w:val="FooterChar"/>
    <w:uiPriority w:val="99"/>
    <w:unhideWhenUsed/>
    <w:rsid w:val="00F221AF"/>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F221AF"/>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672BEC"/>
    <w:pPr>
      <w:spacing w:after="0" w:line="240" w:lineRule="auto"/>
    </w:pPr>
    <w:rPr>
      <w:rFonts w:ascii="Calibri" w:eastAsia="SimSun" w:hAnsi="Calibri" w:cs="Arial"/>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
    <w:name w:val="Heading_b"/>
    <w:basedOn w:val="Heading3"/>
    <w:next w:val="Normal"/>
    <w:rsid w:val="00672BEC"/>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Times New Roman Bold" w:eastAsia="SimSun" w:hAnsi="Times New Roman Bold" w:cs="Times New Roman"/>
      <w:b/>
      <w:color w:val="auto"/>
      <w:szCs w:val="20"/>
    </w:rPr>
  </w:style>
  <w:style w:type="character" w:customStyle="1" w:styleId="Heading3Char">
    <w:name w:val="Heading 3 Char"/>
    <w:basedOn w:val="DefaultParagraphFont"/>
    <w:link w:val="Heading3"/>
    <w:uiPriority w:val="9"/>
    <w:semiHidden/>
    <w:rsid w:val="00672BEC"/>
    <w:rPr>
      <w:rFonts w:asciiTheme="majorHAnsi" w:eastAsiaTheme="majorEastAsia" w:hAnsiTheme="majorHAnsi" w:cstheme="majorBidi"/>
      <w:color w:val="1F4D78" w:themeColor="accent1" w:themeShade="7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S16-CL-C-0115/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lo.org/wcmsp5/groups/public/---ed_norm/---relconf/documents/meetingdocument/wcms_358294.pdf" TargetMode="External"/><Relationship Id="rId1" Type="http://schemas.openxmlformats.org/officeDocument/2006/relationships/hyperlink" Target="http://ec.europa.eu/growth/smes/business-friendly-environment/sme-definition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08"/>
    <w:rsid w:val="00194B78"/>
    <w:rsid w:val="00274E61"/>
    <w:rsid w:val="004E2908"/>
    <w:rsid w:val="0064280E"/>
    <w:rsid w:val="00BB3CD8"/>
    <w:rsid w:val="00CB4FE4"/>
    <w:rsid w:val="00ED07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3CD8"/>
    <w:rPr>
      <w:color w:val="808080"/>
    </w:rPr>
  </w:style>
  <w:style w:type="paragraph" w:customStyle="1" w:styleId="ECF7A20BE8A443ACB70022C3AEEF206E">
    <w:name w:val="ECF7A20BE8A443ACB70022C3AEEF206E"/>
    <w:rsid w:val="004E2908"/>
  </w:style>
  <w:style w:type="paragraph" w:customStyle="1" w:styleId="D89A725FE9474BA197F3CFB523E47D4A">
    <w:name w:val="D89A725FE9474BA197F3CFB523E47D4A"/>
    <w:rsid w:val="00CB4FE4"/>
  </w:style>
  <w:style w:type="paragraph" w:customStyle="1" w:styleId="F6153EC492AF4783A3EAA67158B5F06A">
    <w:name w:val="F6153EC492AF4783A3EAA67158B5F06A"/>
    <w:rsid w:val="00BB3CD8"/>
  </w:style>
  <w:style w:type="paragraph" w:customStyle="1" w:styleId="F038C98D45AA4877BC17EE569EBC3401">
    <w:name w:val="F038C98D45AA4877BC17EE569EBC3401"/>
    <w:rsid w:val="00BB3C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34A71-19C8-4A25-AF38-D049308A1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1351</Words>
  <Characters>7701</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Christopher</dc:creator>
  <cp:keywords/>
  <dc:description/>
  <cp:lastModifiedBy>Brouard, Ricarda</cp:lastModifiedBy>
  <cp:revision>2</cp:revision>
  <dcterms:created xsi:type="dcterms:W3CDTF">2016-12-15T11:06:00Z</dcterms:created>
  <dcterms:modified xsi:type="dcterms:W3CDTF">2016-12-15T11:06:00Z</dcterms:modified>
</cp:coreProperties>
</file>