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F67992" w:rsidRPr="0020628E" w:rsidTr="00956AF2">
        <w:trPr>
          <w:cantSplit/>
        </w:trPr>
        <w:tc>
          <w:tcPr>
            <w:tcW w:w="6629" w:type="dxa"/>
          </w:tcPr>
          <w:p w:rsidR="00F67992" w:rsidRPr="00E544AC" w:rsidRDefault="00F67992" w:rsidP="00F67992">
            <w:pPr>
              <w:spacing w:before="360" w:after="48"/>
              <w:rPr>
                <w:rFonts w:asciiTheme="minorHAnsi" w:hAnsiTheme="minorHAnsi"/>
                <w:b/>
                <w:position w:val="6"/>
                <w:sz w:val="26"/>
                <w:szCs w:val="26"/>
              </w:rPr>
            </w:pPr>
            <w:bookmarkStart w:id="0" w:name="dc06"/>
            <w:bookmarkEnd w:id="0"/>
            <w:r w:rsidRPr="00FF6A76">
              <w:rPr>
                <w:rFonts w:asciiTheme="minorHAnsi" w:hAnsiTheme="minorHAnsi"/>
                <w:b/>
                <w:position w:val="6"/>
                <w:sz w:val="26"/>
                <w:szCs w:val="26"/>
                <w:lang w:val="en-US"/>
              </w:rPr>
              <w:t>COUNCIL WORKING GROUP ON</w:t>
            </w:r>
            <w:r w:rsidRPr="00FF6A76">
              <w:rPr>
                <w:rFonts w:asciiTheme="minorHAnsi" w:hAnsiTheme="minorHAnsi"/>
                <w:b/>
                <w:position w:val="6"/>
                <w:sz w:val="26"/>
                <w:szCs w:val="26"/>
                <w:lang w:val="en-US"/>
              </w:rPr>
              <w:br/>
              <w:t>FINANCIAL AND HUMAN RESOURCES</w:t>
            </w:r>
            <w:r w:rsidRPr="00FF6A76">
              <w:rPr>
                <w:rFonts w:asciiTheme="minorHAnsi" w:hAnsiTheme="minorHAnsi"/>
                <w:b/>
                <w:position w:val="6"/>
                <w:sz w:val="26"/>
                <w:szCs w:val="26"/>
                <w:lang w:val="en-US"/>
              </w:rPr>
              <w:br/>
            </w:r>
            <w:r>
              <w:rPr>
                <w:rFonts w:asciiTheme="minorHAnsi" w:hAnsiTheme="minorHAnsi" w:cs="Times New Roman Bold"/>
                <w:bCs/>
              </w:rPr>
              <w:t>7</w:t>
            </w:r>
            <w:r>
              <w:rPr>
                <w:rFonts w:asciiTheme="minorHAnsi" w:hAnsiTheme="minorHAnsi" w:cs="Times New Roman Bold"/>
                <w:bCs/>
                <w:vertAlign w:val="superscript"/>
              </w:rPr>
              <w:t>th</w:t>
            </w:r>
            <w:r>
              <w:rPr>
                <w:rFonts w:asciiTheme="minorHAnsi" w:hAnsiTheme="minorHAnsi" w:cs="Times New Roman Bold"/>
                <w:bCs/>
              </w:rPr>
              <w:t xml:space="preserve"> meeting, Geneva, 30 January - 1 February 2017</w:t>
            </w:r>
          </w:p>
        </w:tc>
        <w:tc>
          <w:tcPr>
            <w:tcW w:w="3685" w:type="dxa"/>
          </w:tcPr>
          <w:p w:rsidR="00F67992" w:rsidRPr="0020628E" w:rsidRDefault="00F67992" w:rsidP="00F67992">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6ACA36FF" wp14:editId="6AACBCEF">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67992" w:rsidRPr="00617BE4" w:rsidTr="00956AF2">
        <w:trPr>
          <w:cantSplit/>
        </w:trPr>
        <w:tc>
          <w:tcPr>
            <w:tcW w:w="6629" w:type="dxa"/>
            <w:tcBorders>
              <w:bottom w:val="single" w:sz="12" w:space="0" w:color="auto"/>
            </w:tcBorders>
          </w:tcPr>
          <w:p w:rsidR="00F67992" w:rsidRPr="00E544AC" w:rsidRDefault="00F67992" w:rsidP="00F67992">
            <w:pPr>
              <w:spacing w:before="0" w:after="48" w:line="240" w:lineRule="atLeast"/>
              <w:rPr>
                <w:rFonts w:asciiTheme="minorHAnsi" w:hAnsiTheme="minorHAnsi"/>
                <w:b/>
                <w:smallCaps/>
                <w:szCs w:val="24"/>
              </w:rPr>
            </w:pPr>
            <w:r w:rsidRPr="0020628E">
              <w:rPr>
                <w:rFonts w:asciiTheme="minorHAnsi" w:hAnsiTheme="minorHAnsi" w:cs="Times New Roman Bold"/>
                <w:bCs/>
              </w:rPr>
              <w:t>INTERNATIONAL TELECOMMUNICATION UNION</w:t>
            </w:r>
          </w:p>
        </w:tc>
        <w:tc>
          <w:tcPr>
            <w:tcW w:w="3685" w:type="dxa"/>
            <w:tcBorders>
              <w:bottom w:val="single" w:sz="12" w:space="0" w:color="auto"/>
            </w:tcBorders>
          </w:tcPr>
          <w:p w:rsidR="00F67992" w:rsidRPr="00617BE4" w:rsidRDefault="00F67992" w:rsidP="00F67992">
            <w:pPr>
              <w:spacing w:before="0" w:line="240" w:lineRule="atLeast"/>
              <w:rPr>
                <w:rFonts w:ascii="Verdana" w:hAnsi="Verdana"/>
                <w:szCs w:val="24"/>
              </w:rPr>
            </w:pPr>
          </w:p>
        </w:tc>
      </w:tr>
      <w:tr w:rsidR="00591DF7" w:rsidRPr="00617BE4" w:rsidTr="00956AF2">
        <w:trPr>
          <w:cantSplit/>
        </w:trPr>
        <w:tc>
          <w:tcPr>
            <w:tcW w:w="6629" w:type="dxa"/>
            <w:tcBorders>
              <w:top w:val="single" w:sz="12" w:space="0" w:color="auto"/>
            </w:tcBorders>
          </w:tcPr>
          <w:p w:rsidR="00591DF7" w:rsidRPr="00617BE4" w:rsidRDefault="00591DF7" w:rsidP="00956AF2">
            <w:pPr>
              <w:spacing w:before="0" w:after="48" w:line="240" w:lineRule="atLeast"/>
              <w:rPr>
                <w:b/>
                <w:smallCaps/>
                <w:szCs w:val="24"/>
              </w:rPr>
            </w:pPr>
          </w:p>
        </w:tc>
        <w:tc>
          <w:tcPr>
            <w:tcW w:w="3685" w:type="dxa"/>
            <w:tcBorders>
              <w:top w:val="single" w:sz="12" w:space="0" w:color="auto"/>
            </w:tcBorders>
          </w:tcPr>
          <w:p w:rsidR="00591DF7" w:rsidRPr="00617BE4" w:rsidRDefault="00591DF7" w:rsidP="00956AF2">
            <w:pPr>
              <w:spacing w:before="0" w:line="240" w:lineRule="atLeast"/>
              <w:rPr>
                <w:rFonts w:ascii="Verdana" w:hAnsi="Verdana"/>
                <w:szCs w:val="24"/>
              </w:rPr>
            </w:pPr>
          </w:p>
        </w:tc>
      </w:tr>
      <w:tr w:rsidR="00591DF7" w:rsidRPr="0010302C" w:rsidTr="00956AF2">
        <w:trPr>
          <w:cantSplit/>
          <w:trHeight w:val="23"/>
        </w:trPr>
        <w:tc>
          <w:tcPr>
            <w:tcW w:w="6629" w:type="dxa"/>
            <w:vMerge w:val="restart"/>
          </w:tcPr>
          <w:p w:rsidR="00591DF7" w:rsidRPr="00E544AC" w:rsidRDefault="00591DF7" w:rsidP="00956AF2">
            <w:pPr>
              <w:tabs>
                <w:tab w:val="left" w:pos="851"/>
              </w:tabs>
              <w:spacing w:line="240" w:lineRule="atLeast"/>
              <w:rPr>
                <w:rFonts w:asciiTheme="minorHAnsi" w:hAnsiTheme="minorHAnsi"/>
                <w:b/>
                <w:szCs w:val="24"/>
              </w:rPr>
            </w:pPr>
          </w:p>
        </w:tc>
        <w:tc>
          <w:tcPr>
            <w:tcW w:w="3685" w:type="dxa"/>
          </w:tcPr>
          <w:p w:rsidR="00591DF7" w:rsidRPr="0010302C" w:rsidRDefault="00591DF7" w:rsidP="006E7724">
            <w:pPr>
              <w:tabs>
                <w:tab w:val="left" w:pos="851"/>
              </w:tabs>
              <w:spacing w:before="0" w:line="240" w:lineRule="atLeast"/>
              <w:rPr>
                <w:rFonts w:asciiTheme="minorHAnsi" w:hAnsiTheme="minorHAnsi"/>
                <w:b/>
                <w:szCs w:val="24"/>
                <w:lang w:val="en-US"/>
              </w:rPr>
            </w:pPr>
            <w:r w:rsidRPr="0010302C">
              <w:rPr>
                <w:rFonts w:asciiTheme="minorHAnsi" w:hAnsiTheme="minorHAnsi"/>
                <w:b/>
                <w:szCs w:val="24"/>
                <w:lang w:val="en-US"/>
              </w:rPr>
              <w:t xml:space="preserve">Document CWG-FHR </w:t>
            </w:r>
            <w:r w:rsidR="00F67992">
              <w:rPr>
                <w:rFonts w:asciiTheme="minorHAnsi" w:hAnsiTheme="minorHAnsi"/>
                <w:b/>
                <w:szCs w:val="24"/>
                <w:lang w:val="en-US"/>
              </w:rPr>
              <w:t>7/</w:t>
            </w:r>
            <w:r w:rsidR="008D0638">
              <w:rPr>
                <w:rFonts w:asciiTheme="minorHAnsi" w:hAnsiTheme="minorHAnsi"/>
                <w:b/>
                <w:szCs w:val="24"/>
                <w:lang w:val="en-US"/>
              </w:rPr>
              <w:t>15</w:t>
            </w:r>
          </w:p>
        </w:tc>
      </w:tr>
      <w:tr w:rsidR="00591DF7" w:rsidRPr="00B27A9E" w:rsidTr="00956AF2">
        <w:trPr>
          <w:cantSplit/>
          <w:trHeight w:val="23"/>
        </w:trPr>
        <w:tc>
          <w:tcPr>
            <w:tcW w:w="6629" w:type="dxa"/>
            <w:vMerge/>
          </w:tcPr>
          <w:p w:rsidR="00591DF7" w:rsidRPr="0010302C" w:rsidRDefault="00591DF7" w:rsidP="00956AF2">
            <w:pPr>
              <w:tabs>
                <w:tab w:val="left" w:pos="851"/>
              </w:tabs>
              <w:spacing w:line="240" w:lineRule="atLeast"/>
              <w:rPr>
                <w:rFonts w:asciiTheme="minorHAnsi" w:hAnsiTheme="minorHAnsi"/>
                <w:b/>
                <w:szCs w:val="24"/>
                <w:lang w:val="en-US"/>
              </w:rPr>
            </w:pPr>
          </w:p>
        </w:tc>
        <w:tc>
          <w:tcPr>
            <w:tcW w:w="3685" w:type="dxa"/>
          </w:tcPr>
          <w:p w:rsidR="00591DF7" w:rsidRPr="00B27A9E" w:rsidRDefault="008D0638" w:rsidP="006E7724">
            <w:pPr>
              <w:tabs>
                <w:tab w:val="left" w:pos="993"/>
              </w:tabs>
              <w:spacing w:before="0"/>
              <w:rPr>
                <w:rFonts w:asciiTheme="minorHAnsi" w:hAnsiTheme="minorHAnsi"/>
                <w:b/>
                <w:szCs w:val="24"/>
              </w:rPr>
            </w:pPr>
            <w:r>
              <w:rPr>
                <w:rFonts w:asciiTheme="minorHAnsi" w:hAnsiTheme="minorHAnsi"/>
                <w:b/>
                <w:szCs w:val="24"/>
              </w:rPr>
              <w:t>20 December 2016</w:t>
            </w:r>
          </w:p>
        </w:tc>
      </w:tr>
      <w:tr w:rsidR="00591DF7" w:rsidRPr="00E544AC" w:rsidTr="00956AF2">
        <w:trPr>
          <w:cantSplit/>
          <w:trHeight w:val="80"/>
        </w:trPr>
        <w:tc>
          <w:tcPr>
            <w:tcW w:w="6629" w:type="dxa"/>
            <w:vMerge/>
          </w:tcPr>
          <w:p w:rsidR="00591DF7" w:rsidRPr="00E544AC" w:rsidRDefault="00591DF7" w:rsidP="00956AF2">
            <w:pPr>
              <w:tabs>
                <w:tab w:val="left" w:pos="851"/>
              </w:tabs>
              <w:spacing w:line="240" w:lineRule="atLeast"/>
              <w:rPr>
                <w:rFonts w:asciiTheme="minorHAnsi" w:hAnsiTheme="minorHAnsi"/>
                <w:b/>
                <w:szCs w:val="24"/>
              </w:rPr>
            </w:pPr>
          </w:p>
        </w:tc>
        <w:tc>
          <w:tcPr>
            <w:tcW w:w="3685" w:type="dxa"/>
          </w:tcPr>
          <w:p w:rsidR="00591DF7" w:rsidRPr="00E544AC" w:rsidRDefault="00591DF7" w:rsidP="00956AF2">
            <w:pPr>
              <w:tabs>
                <w:tab w:val="left" w:pos="993"/>
              </w:tabs>
              <w:spacing w:before="0"/>
              <w:rPr>
                <w:rFonts w:asciiTheme="minorHAnsi" w:hAnsiTheme="minorHAnsi"/>
                <w:b/>
                <w:szCs w:val="24"/>
              </w:rPr>
            </w:pPr>
            <w:r w:rsidRPr="00E544AC">
              <w:rPr>
                <w:rFonts w:asciiTheme="minorHAnsi" w:hAnsiTheme="minorHAnsi"/>
                <w:b/>
                <w:szCs w:val="24"/>
              </w:rPr>
              <w:t>English only</w:t>
            </w:r>
          </w:p>
        </w:tc>
      </w:tr>
    </w:tbl>
    <w:p w:rsidR="001E089D" w:rsidRDefault="001E089D" w:rsidP="00FA2B65">
      <w:pPr>
        <w:pStyle w:val="RecTitle0"/>
        <w:snapToGrid w:val="0"/>
        <w:spacing w:before="0"/>
        <w:rPr>
          <w:rFonts w:ascii="Calibri" w:hAnsi="Calibri" w:cs="Times New Roman Bold"/>
        </w:rPr>
      </w:pPr>
    </w:p>
    <w:p w:rsidR="00FA2B65" w:rsidRPr="00FA2B65" w:rsidRDefault="00FA2B65" w:rsidP="00FA2B65">
      <w:pPr>
        <w:pStyle w:val="Heading1"/>
        <w:rPr>
          <w:lang w:eastAsia="zh-CN"/>
        </w:rPr>
      </w:pPr>
    </w:p>
    <w:p w:rsidR="00824EB0" w:rsidRDefault="001E089D" w:rsidP="00FA2B65">
      <w:pPr>
        <w:pStyle w:val="RecTitle0"/>
        <w:snapToGrid w:val="0"/>
        <w:spacing w:before="0"/>
        <w:rPr>
          <w:rFonts w:ascii="Calibri" w:hAnsi="Calibri" w:cs="Times New Roman Bold"/>
          <w:bCs w:val="0"/>
        </w:rPr>
      </w:pPr>
      <w:r w:rsidRPr="00FA2B65">
        <w:rPr>
          <w:rFonts w:ascii="Calibri" w:hAnsi="Calibri" w:cs="Times New Roman Bold"/>
          <w:bCs w:val="0"/>
        </w:rPr>
        <w:t>CONTRIBUTION BY THE SECRETARIAT</w:t>
      </w:r>
    </w:p>
    <w:p w:rsidR="002E69D7" w:rsidRPr="00E54AED" w:rsidRDefault="002E69D7" w:rsidP="002E69D7">
      <w:pPr>
        <w:snapToGrid w:val="0"/>
        <w:jc w:val="center"/>
        <w:rPr>
          <w:rFonts w:asciiTheme="minorHAnsi" w:hAnsiTheme="minorHAnsi"/>
          <w:b/>
          <w:bCs/>
          <w:sz w:val="28"/>
          <w:szCs w:val="28"/>
        </w:rPr>
      </w:pPr>
      <w:r w:rsidRPr="00E54AED">
        <w:rPr>
          <w:rFonts w:asciiTheme="minorHAnsi" w:hAnsiTheme="minorHAnsi"/>
          <w:b/>
          <w:bCs/>
          <w:sz w:val="28"/>
          <w:szCs w:val="28"/>
        </w:rPr>
        <w:t>Follow-up on the recommendations of the External Auditor</w:t>
      </w:r>
    </w:p>
    <w:p w:rsidR="002E69D7" w:rsidRDefault="002E69D7" w:rsidP="002E69D7">
      <w:pPr>
        <w:snapToGrid w:val="0"/>
        <w:rPr>
          <w:rFonts w:asciiTheme="minorHAnsi" w:hAnsiTheme="minorHAnsi"/>
        </w:rPr>
      </w:pPr>
    </w:p>
    <w:p w:rsidR="002E69D7" w:rsidRDefault="002E69D7" w:rsidP="002E69D7">
      <w:pPr>
        <w:pStyle w:val="BodyText"/>
        <w:rPr>
          <w:rFonts w:asciiTheme="minorHAnsi" w:hAnsiTheme="minorHAnsi" w:cs="Calibri"/>
          <w:sz w:val="24"/>
          <w:lang w:val="en-GB"/>
        </w:rPr>
      </w:pPr>
      <w:bookmarkStart w:id="2" w:name="dstart"/>
      <w:bookmarkStart w:id="3" w:name="dbreak"/>
      <w:bookmarkEnd w:id="2"/>
      <w:bookmarkEnd w:id="3"/>
    </w:p>
    <w:p w:rsidR="00D270FA" w:rsidRDefault="00D270FA" w:rsidP="002E69D7">
      <w:pPr>
        <w:pStyle w:val="BodyText"/>
        <w:rPr>
          <w:rFonts w:asciiTheme="minorHAnsi" w:hAnsiTheme="minorHAnsi" w:cs="Calibri"/>
          <w:sz w:val="24"/>
          <w:lang w:val="en-GB"/>
        </w:rPr>
      </w:pPr>
    </w:p>
    <w:p w:rsidR="002E69D7" w:rsidRDefault="002E69D7" w:rsidP="002E69D7">
      <w:pPr>
        <w:pStyle w:val="BodyText"/>
        <w:rPr>
          <w:rFonts w:asciiTheme="minorHAnsi" w:hAnsiTheme="minorHAnsi" w:cs="Calibri"/>
          <w:sz w:val="24"/>
          <w:lang w:val="en-GB"/>
        </w:rPr>
      </w:pPr>
      <w:r>
        <w:rPr>
          <w:rFonts w:asciiTheme="minorHAnsi" w:hAnsiTheme="minorHAnsi" w:cs="Calibri"/>
          <w:sz w:val="24"/>
          <w:lang w:val="en-GB"/>
        </w:rPr>
        <w:t>The follow-up on the recommendations of the External Auditor includes:</w:t>
      </w:r>
    </w:p>
    <w:p w:rsidR="002E69D7" w:rsidRDefault="002E69D7" w:rsidP="001C2244">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r>
      <w:proofErr w:type="gramStart"/>
      <w:r>
        <w:rPr>
          <w:rFonts w:asciiTheme="minorHAnsi" w:hAnsiTheme="minorHAnsi" w:cs="Calibri"/>
          <w:sz w:val="24"/>
          <w:lang w:val="en-GB"/>
        </w:rPr>
        <w:t>the</w:t>
      </w:r>
      <w:proofErr w:type="gramEnd"/>
      <w:r>
        <w:rPr>
          <w:rFonts w:asciiTheme="minorHAnsi" w:hAnsiTheme="minorHAnsi" w:cs="Calibri"/>
          <w:sz w:val="24"/>
          <w:lang w:val="en-GB"/>
        </w:rPr>
        <w:t xml:space="preserve"> recommendations made in the External Auditor’s Report on the audit of the financial statements for 201</w:t>
      </w:r>
      <w:r w:rsidR="001C2244">
        <w:rPr>
          <w:rFonts w:asciiTheme="minorHAnsi" w:hAnsiTheme="minorHAnsi" w:cs="Calibri"/>
          <w:sz w:val="24"/>
          <w:lang w:val="en-GB"/>
        </w:rPr>
        <w:t>5</w:t>
      </w:r>
      <w:r>
        <w:rPr>
          <w:rFonts w:asciiTheme="minorHAnsi" w:hAnsiTheme="minorHAnsi" w:cs="Calibri"/>
          <w:sz w:val="24"/>
          <w:lang w:val="en-GB"/>
        </w:rPr>
        <w:t>;</w:t>
      </w:r>
    </w:p>
    <w:p w:rsidR="002E69D7" w:rsidRDefault="002E69D7" w:rsidP="009F3E07">
      <w:pPr>
        <w:pStyle w:val="BodyText"/>
        <w:tabs>
          <w:tab w:val="left" w:pos="1134"/>
        </w:tabs>
        <w:ind w:left="1134" w:hanging="425"/>
        <w:rPr>
          <w:rFonts w:asciiTheme="minorHAnsi" w:hAnsiTheme="minorHAnsi" w:cs="Calibri"/>
          <w:sz w:val="24"/>
          <w:lang w:val="en-GB"/>
        </w:rPr>
      </w:pPr>
      <w:r>
        <w:rPr>
          <w:rFonts w:asciiTheme="minorHAnsi" w:hAnsiTheme="minorHAnsi" w:cs="Calibri"/>
          <w:sz w:val="24"/>
          <w:lang w:val="en-GB"/>
        </w:rPr>
        <w:t>-</w:t>
      </w:r>
      <w:r>
        <w:rPr>
          <w:rFonts w:asciiTheme="minorHAnsi" w:hAnsiTheme="minorHAnsi" w:cs="Calibri"/>
          <w:sz w:val="24"/>
          <w:lang w:val="en-GB"/>
        </w:rPr>
        <w:tab/>
      </w:r>
      <w:proofErr w:type="gramStart"/>
      <w:r>
        <w:rPr>
          <w:rFonts w:asciiTheme="minorHAnsi" w:hAnsiTheme="minorHAnsi" w:cs="Calibri"/>
          <w:sz w:val="24"/>
          <w:lang w:val="en-GB"/>
        </w:rPr>
        <w:t>the</w:t>
      </w:r>
      <w:proofErr w:type="gramEnd"/>
      <w:r>
        <w:rPr>
          <w:rFonts w:asciiTheme="minorHAnsi" w:hAnsiTheme="minorHAnsi" w:cs="Calibri"/>
          <w:sz w:val="24"/>
          <w:lang w:val="en-GB"/>
        </w:rPr>
        <w:t xml:space="preserve"> recommendations made in the External Auditor’s Report on the Audit of the Union’s accounts on ITU Telecom World 201</w:t>
      </w:r>
      <w:r w:rsidR="001C2244">
        <w:rPr>
          <w:rFonts w:asciiTheme="minorHAnsi" w:hAnsiTheme="minorHAnsi" w:cs="Calibri"/>
          <w:sz w:val="24"/>
          <w:lang w:val="en-GB"/>
        </w:rPr>
        <w:t>5</w:t>
      </w:r>
      <w:r w:rsidR="009F3E07">
        <w:rPr>
          <w:rFonts w:asciiTheme="minorHAnsi" w:hAnsiTheme="minorHAnsi" w:cs="Calibri"/>
          <w:sz w:val="24"/>
          <w:lang w:val="en-GB"/>
        </w:rPr>
        <w:t>.</w:t>
      </w: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FA2B65" w:rsidRDefault="00FA2B65" w:rsidP="00111A58">
      <w:pPr>
        <w:snapToGrid w:val="0"/>
        <w:spacing w:before="0"/>
        <w:rPr>
          <w:rFonts w:ascii="Calibri" w:hAnsi="Calibri"/>
        </w:rPr>
      </w:pPr>
    </w:p>
    <w:p w:rsidR="00824EB0" w:rsidRPr="00776CB9" w:rsidRDefault="00824EB0" w:rsidP="00FA2B65">
      <w:pPr>
        <w:snapToGrid w:val="0"/>
        <w:spacing w:before="0"/>
        <w:jc w:val="center"/>
        <w:rPr>
          <w:rFonts w:ascii="Calibri" w:hAnsi="Calibri"/>
        </w:rPr>
      </w:pPr>
    </w:p>
    <w:p w:rsidR="00824EB0" w:rsidRDefault="00824EB0" w:rsidP="00FA2B65">
      <w:pPr>
        <w:snapToGrid w:val="0"/>
        <w:spacing w:before="0"/>
        <w:jc w:val="center"/>
        <w:rPr>
          <w:rFonts w:ascii="Calibri" w:hAnsi="Calibri"/>
          <w:u w:val="single"/>
        </w:rPr>
      </w:pPr>
    </w:p>
    <w:p w:rsidR="001652AD" w:rsidRDefault="001652AD" w:rsidP="002E69D7">
      <w:pPr>
        <w:pStyle w:val="Heading2"/>
        <w:spacing w:before="0"/>
        <w:rPr>
          <w:rFonts w:ascii="Calibri" w:hAnsi="Calibri"/>
          <w:lang w:eastAsia="it-IT"/>
        </w:rPr>
        <w:sectPr w:rsidR="001652AD" w:rsidSect="000851BF">
          <w:headerReference w:type="default" r:id="rId9"/>
          <w:pgSz w:w="11907" w:h="16834"/>
          <w:pgMar w:top="1418" w:right="1134" w:bottom="1134" w:left="1134" w:header="567" w:footer="567" w:gutter="0"/>
          <w:paperSrc w:first="15" w:other="15"/>
          <w:cols w:space="720"/>
          <w:titlePg/>
        </w:sectPr>
      </w:pPr>
    </w:p>
    <w:p w:rsidR="002E69D7" w:rsidRDefault="002E69D7" w:rsidP="00CF69AA">
      <w:pPr>
        <w:pStyle w:val="Heading2"/>
        <w:spacing w:before="0"/>
        <w:rPr>
          <w:rFonts w:ascii="Calibri" w:hAnsi="Calibri"/>
          <w:lang w:eastAsia="it-IT"/>
        </w:rPr>
      </w:pPr>
      <w:r>
        <w:rPr>
          <w:rFonts w:ascii="Calibri" w:hAnsi="Calibri"/>
          <w:lang w:eastAsia="it-IT"/>
        </w:rPr>
        <w:lastRenderedPageBreak/>
        <w:t xml:space="preserve">1.      </w:t>
      </w:r>
      <w:r w:rsidRPr="002536D5">
        <w:rPr>
          <w:rFonts w:ascii="Calibri" w:hAnsi="Calibri"/>
          <w:lang w:eastAsia="it-IT"/>
        </w:rPr>
        <w:t xml:space="preserve">Follow-up on the </w:t>
      </w:r>
      <w:r>
        <w:rPr>
          <w:rFonts w:ascii="Calibri" w:hAnsi="Calibri"/>
          <w:lang w:eastAsia="it-IT"/>
        </w:rPr>
        <w:t xml:space="preserve">External Auditor’s </w:t>
      </w:r>
      <w:r w:rsidRPr="002536D5">
        <w:rPr>
          <w:rFonts w:ascii="Calibri" w:hAnsi="Calibri"/>
          <w:lang w:eastAsia="it-IT"/>
        </w:rPr>
        <w:t>recommendations relat</w:t>
      </w:r>
      <w:r>
        <w:rPr>
          <w:rFonts w:ascii="Calibri" w:hAnsi="Calibri"/>
          <w:lang w:eastAsia="it-IT"/>
        </w:rPr>
        <w:t>ing</w:t>
      </w:r>
      <w:r w:rsidRPr="002536D5">
        <w:rPr>
          <w:rFonts w:ascii="Calibri" w:hAnsi="Calibri"/>
          <w:lang w:eastAsia="it-IT"/>
        </w:rPr>
        <w:t xml:space="preserve"> to </w:t>
      </w:r>
      <w:r w:rsidR="00FD0704">
        <w:rPr>
          <w:rFonts w:ascii="Calibri" w:hAnsi="Calibri"/>
          <w:lang w:eastAsia="it-IT"/>
        </w:rPr>
        <w:t xml:space="preserve">the </w:t>
      </w:r>
      <w:r>
        <w:rPr>
          <w:rFonts w:ascii="Calibri" w:hAnsi="Calibri"/>
          <w:lang w:eastAsia="it-IT"/>
        </w:rPr>
        <w:t xml:space="preserve">ITU Financial Operating </w:t>
      </w:r>
      <w:r w:rsidR="00FD0704">
        <w:rPr>
          <w:rFonts w:ascii="Calibri" w:hAnsi="Calibri"/>
          <w:lang w:eastAsia="it-IT"/>
        </w:rPr>
        <w:t>R</w:t>
      </w:r>
      <w:r>
        <w:rPr>
          <w:rFonts w:ascii="Calibri" w:hAnsi="Calibri"/>
          <w:lang w:eastAsia="it-IT"/>
        </w:rPr>
        <w:t>eport at 31.12.201</w:t>
      </w:r>
      <w:r w:rsidR="00CF69AA">
        <w:rPr>
          <w:rFonts w:ascii="Calibri" w:hAnsi="Calibri"/>
          <w:lang w:eastAsia="it-IT"/>
        </w:rPr>
        <w:t>5</w:t>
      </w:r>
    </w:p>
    <w:p w:rsidR="002E69D7" w:rsidRPr="00394AD5" w:rsidRDefault="002E69D7" w:rsidP="002E69D7">
      <w:pPr>
        <w:rPr>
          <w:lang w:eastAsia="it-IT"/>
        </w:rPr>
      </w:pPr>
    </w:p>
    <w:tbl>
      <w:tblPr>
        <w:tblW w:w="4811" w:type="pct"/>
        <w:tblLayout w:type="fixed"/>
        <w:tblCellMar>
          <w:left w:w="0" w:type="dxa"/>
          <w:right w:w="0" w:type="dxa"/>
        </w:tblCellMar>
        <w:tblLook w:val="0000" w:firstRow="0" w:lastRow="0" w:firstColumn="0" w:lastColumn="0" w:noHBand="0" w:noVBand="0"/>
      </w:tblPr>
      <w:tblGrid>
        <w:gridCol w:w="1266"/>
        <w:gridCol w:w="3922"/>
        <w:gridCol w:w="4164"/>
        <w:gridCol w:w="4381"/>
      </w:tblGrid>
      <w:tr w:rsidR="002E69D7" w:rsidRPr="00BD506C" w:rsidTr="00D6054C">
        <w:trPr>
          <w:trHeight w:hRule="exact" w:val="1148"/>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rPr>
                <w:rFonts w:ascii="Calibri" w:hAnsi="Calibri"/>
                <w:b/>
                <w:bCs/>
                <w:sz w:val="20"/>
              </w:rPr>
            </w:pPr>
          </w:p>
        </w:tc>
        <w:tc>
          <w:tcPr>
            <w:tcW w:w="1428"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Recommendation made</w:t>
            </w:r>
            <w:r w:rsidRPr="00BD506C">
              <w:rPr>
                <w:rFonts w:ascii="Calibri" w:hAnsi="Calibri"/>
                <w:b/>
                <w:bCs/>
                <w:spacing w:val="-1"/>
                <w:sz w:val="20"/>
                <w:lang w:eastAsia="it-IT"/>
              </w:rPr>
              <w:br/>
              <w:t xml:space="preserve">by </w:t>
            </w:r>
            <w:r w:rsidR="00FE51A7">
              <w:rPr>
                <w:rFonts w:ascii="Calibri" w:hAnsi="Calibri"/>
                <w:b/>
                <w:bCs/>
                <w:spacing w:val="-1"/>
                <w:sz w:val="20"/>
                <w:lang w:eastAsia="it-IT"/>
              </w:rPr>
              <w:t xml:space="preserve">the </w:t>
            </w:r>
            <w:r w:rsidRPr="00BD506C">
              <w:rPr>
                <w:rFonts w:ascii="Calibri" w:hAnsi="Calibri"/>
                <w:b/>
                <w:bCs/>
                <w:spacing w:val="-1"/>
                <w:sz w:val="20"/>
                <w:lang w:eastAsia="it-IT"/>
              </w:rPr>
              <w:t>External Auditor</w:t>
            </w:r>
          </w:p>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 xml:space="preserve">(Corte </w:t>
            </w:r>
            <w:proofErr w:type="spellStart"/>
            <w:r w:rsidRPr="00BD506C">
              <w:rPr>
                <w:rFonts w:ascii="Calibri" w:hAnsi="Calibri"/>
                <w:b/>
                <w:bCs/>
                <w:spacing w:val="-1"/>
                <w:sz w:val="20"/>
                <w:lang w:eastAsia="it-IT"/>
              </w:rPr>
              <w:t>dei</w:t>
            </w:r>
            <w:proofErr w:type="spellEnd"/>
            <w:r w:rsidRPr="00BD506C">
              <w:rPr>
                <w:rFonts w:ascii="Calibri" w:hAnsi="Calibri"/>
                <w:b/>
                <w:bCs/>
                <w:spacing w:val="-1"/>
                <w:sz w:val="20"/>
                <w:lang w:eastAsia="it-IT"/>
              </w:rPr>
              <w:t xml:space="preserve"> conti)</w:t>
            </w:r>
          </w:p>
          <w:p w:rsidR="002E69D7" w:rsidRPr="00BD506C" w:rsidRDefault="002E69D7" w:rsidP="00B90E87">
            <w:pPr>
              <w:widowControl w:val="0"/>
              <w:kinsoku w:val="0"/>
              <w:adjustRightInd/>
              <w:jc w:val="center"/>
              <w:rPr>
                <w:rFonts w:ascii="Calibri" w:hAnsi="Calibri"/>
                <w:b/>
                <w:bCs/>
                <w:spacing w:val="-1"/>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Comments received from</w:t>
            </w:r>
            <w:r w:rsidRPr="00BD506C">
              <w:rPr>
                <w:rFonts w:ascii="Calibri" w:hAnsi="Calibri"/>
                <w:b/>
                <w:bCs/>
                <w:spacing w:val="-1"/>
                <w:sz w:val="20"/>
                <w:lang w:eastAsia="it-IT"/>
              </w:rPr>
              <w:br/>
              <w:t>the Secretary-General at the time of issuance of the External Auditor’s Report</w:t>
            </w:r>
          </w:p>
        </w:tc>
        <w:tc>
          <w:tcPr>
            <w:tcW w:w="1595"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adjustRightInd/>
              <w:jc w:val="center"/>
              <w:rPr>
                <w:rFonts w:ascii="Calibri" w:hAnsi="Calibri"/>
                <w:b/>
                <w:bCs/>
                <w:spacing w:val="-1"/>
                <w:sz w:val="20"/>
                <w:lang w:eastAsia="it-IT"/>
              </w:rPr>
            </w:pPr>
            <w:r w:rsidRPr="00BD506C">
              <w:rPr>
                <w:rFonts w:ascii="Calibri" w:hAnsi="Calibri"/>
                <w:b/>
                <w:bCs/>
                <w:spacing w:val="-1"/>
                <w:sz w:val="20"/>
                <w:lang w:eastAsia="it-IT"/>
              </w:rPr>
              <w:t>Status as</w:t>
            </w:r>
            <w:r w:rsidRPr="00BD506C">
              <w:rPr>
                <w:rFonts w:ascii="Calibri" w:hAnsi="Calibri"/>
                <w:b/>
                <w:bCs/>
                <w:spacing w:val="-1"/>
                <w:sz w:val="20"/>
                <w:lang w:eastAsia="it-IT"/>
              </w:rPr>
              <w:br/>
              <w:t>reported by ITU Management</w:t>
            </w:r>
          </w:p>
        </w:tc>
      </w:tr>
      <w:tr w:rsidR="00CF69AA"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t>Rec 1/2015</w:t>
            </w:r>
          </w:p>
        </w:tc>
        <w:tc>
          <w:tcPr>
            <w:tcW w:w="1428" w:type="pct"/>
            <w:tcBorders>
              <w:top w:val="single" w:sz="4" w:space="0" w:color="auto"/>
              <w:left w:val="single" w:sz="4" w:space="0" w:color="auto"/>
              <w:bottom w:val="single" w:sz="4" w:space="0" w:color="auto"/>
              <w:right w:val="single" w:sz="4" w:space="0" w:color="auto"/>
            </w:tcBorders>
          </w:tcPr>
          <w:p w:rsidR="00CF69AA" w:rsidRPr="00CF69AA" w:rsidRDefault="00CF69AA" w:rsidP="00CF69AA">
            <w:pPr>
              <w:widowControl w:val="0"/>
              <w:kinsoku w:val="0"/>
              <w:ind w:left="93" w:right="57"/>
              <w:rPr>
                <w:rFonts w:ascii="Calibri" w:hAnsi="Calibri"/>
                <w:sz w:val="20"/>
                <w:lang w:eastAsia="it-IT"/>
              </w:rPr>
            </w:pPr>
            <w:r w:rsidRPr="00CF69AA">
              <w:rPr>
                <w:rFonts w:ascii="Calibri" w:hAnsi="Calibri"/>
                <w:sz w:val="20"/>
                <w:lang w:eastAsia="it-IT"/>
              </w:rPr>
              <w:t>We recommend that Management increase its efforts to recognize, label and capitalize the fixed assets located at ITU, in order to have a more accurate record of assets, through procedures and processes that will bolster coordination between different Departments.</w:t>
            </w:r>
          </w:p>
          <w:p w:rsidR="00CF69AA" w:rsidRPr="00BD506C" w:rsidRDefault="00CF69AA" w:rsidP="0006360F">
            <w:pPr>
              <w:widowControl w:val="0"/>
              <w:kinsoku w:val="0"/>
              <w:ind w:left="93" w:right="57"/>
              <w:rPr>
                <w:rFonts w:ascii="Calibri" w:hAnsi="Calibri"/>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CF69AA" w:rsidRPr="00CF69AA" w:rsidRDefault="00CF69AA" w:rsidP="00CF69AA">
            <w:pPr>
              <w:widowControl w:val="0"/>
              <w:kinsoku w:val="0"/>
              <w:ind w:left="167" w:right="57"/>
              <w:rPr>
                <w:rFonts w:ascii="Calibri" w:hAnsi="Calibri"/>
                <w:sz w:val="20"/>
                <w:lang w:eastAsia="it-IT"/>
              </w:rPr>
            </w:pPr>
            <w:r w:rsidRPr="00CF69AA">
              <w:rPr>
                <w:rFonts w:ascii="Calibri" w:hAnsi="Calibri"/>
                <w:sz w:val="20"/>
                <w:lang w:eastAsia="it-IT"/>
              </w:rPr>
              <w:t>The Secretariat will pursue the efforts already made to ensure that all assets are recorded in the respective databases.</w:t>
            </w:r>
          </w:p>
          <w:p w:rsidR="00CF69AA" w:rsidRPr="00BD506C" w:rsidRDefault="00CF69AA" w:rsidP="00CF69AA">
            <w:pPr>
              <w:widowControl w:val="0"/>
              <w:kinsoku w:val="0"/>
              <w:ind w:left="167" w:right="57"/>
              <w:rPr>
                <w:rFonts w:ascii="Calibri" w:hAnsi="Calibri"/>
                <w:sz w:val="20"/>
                <w:lang w:eastAsia="it-IT"/>
              </w:rPr>
            </w:pPr>
          </w:p>
        </w:tc>
        <w:tc>
          <w:tcPr>
            <w:tcW w:w="1595" w:type="pct"/>
            <w:tcBorders>
              <w:top w:val="single" w:sz="4" w:space="0" w:color="auto"/>
              <w:left w:val="single" w:sz="4" w:space="0" w:color="auto"/>
              <w:bottom w:val="single" w:sz="4" w:space="0" w:color="auto"/>
              <w:right w:val="single" w:sz="4" w:space="0" w:color="auto"/>
            </w:tcBorders>
          </w:tcPr>
          <w:p w:rsidR="00CF69AA" w:rsidRPr="00DD52D7" w:rsidRDefault="003707EC" w:rsidP="0018162C">
            <w:pPr>
              <w:ind w:left="167"/>
              <w:rPr>
                <w:rFonts w:ascii="Calibri" w:hAnsi="Calibri"/>
                <w:sz w:val="20"/>
                <w:lang w:eastAsia="it-IT"/>
              </w:rPr>
            </w:pPr>
            <w:r w:rsidRPr="00DD52D7">
              <w:rPr>
                <w:rFonts w:asciiTheme="majorHAnsi" w:hAnsiTheme="majorHAnsi"/>
                <w:sz w:val="20"/>
                <w:lang w:eastAsia="it-IT"/>
              </w:rPr>
              <w:t xml:space="preserve">Improvements were made </w:t>
            </w:r>
            <w:r w:rsidR="0018162C" w:rsidRPr="00DD52D7">
              <w:rPr>
                <w:rFonts w:asciiTheme="majorHAnsi" w:hAnsiTheme="majorHAnsi"/>
                <w:sz w:val="20"/>
                <w:lang w:eastAsia="it-IT"/>
              </w:rPr>
              <w:t xml:space="preserve">by a </w:t>
            </w:r>
            <w:r w:rsidRPr="00DD52D7">
              <w:rPr>
                <w:rFonts w:asciiTheme="majorHAnsi" w:hAnsiTheme="majorHAnsi"/>
                <w:sz w:val="20"/>
                <w:lang w:eastAsia="it-IT"/>
              </w:rPr>
              <w:t xml:space="preserve">close collaboration </w:t>
            </w:r>
            <w:r w:rsidR="0018162C" w:rsidRPr="00DD52D7">
              <w:rPr>
                <w:rFonts w:asciiTheme="majorHAnsi" w:hAnsiTheme="majorHAnsi"/>
                <w:sz w:val="20"/>
                <w:lang w:eastAsia="it-IT"/>
              </w:rPr>
              <w:t xml:space="preserve">between the </w:t>
            </w:r>
            <w:r w:rsidRPr="00DD52D7">
              <w:rPr>
                <w:rFonts w:asciiTheme="majorHAnsi" w:hAnsiTheme="majorHAnsi"/>
                <w:sz w:val="20"/>
                <w:lang w:eastAsia="it-IT"/>
              </w:rPr>
              <w:t xml:space="preserve">different Departments in terms of consistency of data in the two SAP modules intended for asset accounting and equipment management at headquarters and </w:t>
            </w:r>
            <w:r w:rsidR="00EE1696" w:rsidRPr="00DD52D7">
              <w:rPr>
                <w:rFonts w:asciiTheme="majorHAnsi" w:hAnsiTheme="majorHAnsi"/>
                <w:sz w:val="20"/>
                <w:lang w:eastAsia="it-IT"/>
              </w:rPr>
              <w:t xml:space="preserve">the </w:t>
            </w:r>
            <w:r w:rsidRPr="00DD52D7">
              <w:rPr>
                <w:rFonts w:asciiTheme="majorHAnsi" w:hAnsiTheme="majorHAnsi"/>
                <w:sz w:val="20"/>
                <w:lang w:eastAsia="it-IT"/>
              </w:rPr>
              <w:t xml:space="preserve">regional offices. In addition, a Service Order </w:t>
            </w:r>
            <w:r w:rsidR="008F22E5" w:rsidRPr="00DD52D7">
              <w:rPr>
                <w:rFonts w:asciiTheme="majorHAnsi" w:hAnsiTheme="majorHAnsi"/>
                <w:sz w:val="20"/>
                <w:lang w:eastAsia="it-IT"/>
              </w:rPr>
              <w:t xml:space="preserve">on inventory and protection of ITU equipment </w:t>
            </w:r>
            <w:r w:rsidRPr="00DD52D7">
              <w:rPr>
                <w:rFonts w:asciiTheme="majorHAnsi" w:hAnsiTheme="majorHAnsi"/>
                <w:sz w:val="20"/>
                <w:lang w:eastAsia="it-IT"/>
              </w:rPr>
              <w:t>has been issued.</w:t>
            </w:r>
          </w:p>
        </w:tc>
      </w:tr>
      <w:tr w:rsidR="00CF69AA"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t>Rec 2/2015</w:t>
            </w:r>
          </w:p>
        </w:tc>
        <w:tc>
          <w:tcPr>
            <w:tcW w:w="1428" w:type="pct"/>
            <w:tcBorders>
              <w:top w:val="single" w:sz="4" w:space="0" w:color="auto"/>
              <w:left w:val="single" w:sz="4" w:space="0" w:color="auto"/>
              <w:bottom w:val="single" w:sz="4" w:space="0" w:color="auto"/>
              <w:right w:val="single" w:sz="4" w:space="0" w:color="auto"/>
            </w:tcBorders>
          </w:tcPr>
          <w:p w:rsidR="00CF69AA" w:rsidRPr="00CF69AA" w:rsidRDefault="00CF69AA" w:rsidP="00CF69AA">
            <w:pPr>
              <w:widowControl w:val="0"/>
              <w:kinsoku w:val="0"/>
              <w:ind w:left="93" w:right="57"/>
              <w:rPr>
                <w:rFonts w:ascii="Calibri" w:hAnsi="Calibri"/>
                <w:sz w:val="20"/>
                <w:lang w:eastAsia="it-IT"/>
              </w:rPr>
            </w:pPr>
            <w:r w:rsidRPr="00CF69AA">
              <w:rPr>
                <w:rFonts w:ascii="Calibri" w:hAnsi="Calibri"/>
                <w:sz w:val="20"/>
                <w:lang w:eastAsia="it-IT"/>
              </w:rPr>
              <w:t>We recommend that Management should review the different categories’ lifetimes and their related depreciations according to UN practices. Where categories are updated, an adjustment of net book value will be needed.</w:t>
            </w:r>
          </w:p>
          <w:p w:rsidR="00CF69AA" w:rsidRPr="00BD506C" w:rsidRDefault="00CF69AA" w:rsidP="0006360F">
            <w:pPr>
              <w:widowControl w:val="0"/>
              <w:kinsoku w:val="0"/>
              <w:ind w:left="93" w:right="57"/>
              <w:rPr>
                <w:rFonts w:ascii="Calibri" w:hAnsi="Calibri"/>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CF69AA" w:rsidRPr="00BD506C" w:rsidRDefault="00CF69AA" w:rsidP="001E6D6F">
            <w:pPr>
              <w:widowControl w:val="0"/>
              <w:kinsoku w:val="0"/>
              <w:ind w:left="167" w:right="57"/>
              <w:rPr>
                <w:rFonts w:ascii="Calibri" w:hAnsi="Calibri"/>
                <w:sz w:val="20"/>
                <w:lang w:eastAsia="it-IT"/>
              </w:rPr>
            </w:pPr>
            <w:r w:rsidRPr="00CF69AA">
              <w:rPr>
                <w:rFonts w:ascii="Calibri" w:hAnsi="Calibri"/>
                <w:sz w:val="20"/>
                <w:lang w:val="en-US" w:eastAsia="it-IT"/>
              </w:rPr>
              <w:t xml:space="preserve">The </w:t>
            </w:r>
            <w:r w:rsidR="001E6D6F">
              <w:rPr>
                <w:rFonts w:ascii="Calibri" w:hAnsi="Calibri"/>
                <w:sz w:val="20"/>
                <w:lang w:val="en-US" w:eastAsia="it-IT"/>
              </w:rPr>
              <w:t>S</w:t>
            </w:r>
            <w:r w:rsidRPr="00CF69AA">
              <w:rPr>
                <w:rFonts w:ascii="Calibri" w:hAnsi="Calibri"/>
                <w:sz w:val="20"/>
                <w:lang w:val="en-US" w:eastAsia="it-IT"/>
              </w:rPr>
              <w:t xml:space="preserve">ecretariat will further </w:t>
            </w:r>
            <w:proofErr w:type="spellStart"/>
            <w:r w:rsidRPr="00CF69AA">
              <w:rPr>
                <w:rFonts w:ascii="Calibri" w:hAnsi="Calibri"/>
                <w:sz w:val="20"/>
                <w:lang w:val="en-US" w:eastAsia="it-IT"/>
              </w:rPr>
              <w:t>analyse</w:t>
            </w:r>
            <w:proofErr w:type="spellEnd"/>
            <w:r w:rsidRPr="00CF69AA">
              <w:rPr>
                <w:rFonts w:ascii="Calibri" w:hAnsi="Calibri"/>
                <w:sz w:val="20"/>
                <w:lang w:val="en-US" w:eastAsia="it-IT"/>
              </w:rPr>
              <w:t xml:space="preserve"> this recommendation and its potential consequences</w:t>
            </w:r>
          </w:p>
        </w:tc>
        <w:tc>
          <w:tcPr>
            <w:tcW w:w="1595" w:type="pct"/>
            <w:tcBorders>
              <w:top w:val="single" w:sz="4" w:space="0" w:color="auto"/>
              <w:left w:val="single" w:sz="4" w:space="0" w:color="auto"/>
              <w:bottom w:val="single" w:sz="4" w:space="0" w:color="auto"/>
              <w:right w:val="single" w:sz="4" w:space="0" w:color="auto"/>
            </w:tcBorders>
          </w:tcPr>
          <w:p w:rsidR="00CF69AA" w:rsidRPr="00DD52D7" w:rsidRDefault="003707EC" w:rsidP="0018162C">
            <w:pPr>
              <w:ind w:left="167"/>
              <w:rPr>
                <w:rFonts w:ascii="Calibri" w:hAnsi="Calibri"/>
                <w:sz w:val="20"/>
                <w:lang w:eastAsia="it-IT"/>
              </w:rPr>
            </w:pPr>
            <w:r w:rsidRPr="00DD52D7">
              <w:rPr>
                <w:rFonts w:asciiTheme="majorHAnsi" w:hAnsiTheme="majorHAnsi"/>
                <w:sz w:val="20"/>
                <w:lang w:eastAsia="it-IT"/>
              </w:rPr>
              <w:t>A study on the useful life was carried out in relation to other international organizations based in Geneva. The possible change in some categories</w:t>
            </w:r>
            <w:r w:rsidR="001A358B" w:rsidRPr="00DD52D7">
              <w:rPr>
                <w:rFonts w:asciiTheme="majorHAnsi" w:hAnsiTheme="majorHAnsi"/>
                <w:sz w:val="20"/>
                <w:lang w:eastAsia="it-IT"/>
              </w:rPr>
              <w:t>’</w:t>
            </w:r>
            <w:r w:rsidRPr="00DD52D7">
              <w:rPr>
                <w:rFonts w:asciiTheme="majorHAnsi" w:hAnsiTheme="majorHAnsi"/>
                <w:sz w:val="20"/>
                <w:lang w:eastAsia="it-IT"/>
              </w:rPr>
              <w:t xml:space="preserve"> lifetime is under consideration and the decision to implement</w:t>
            </w:r>
            <w:r w:rsidR="0018162C" w:rsidRPr="00DD52D7">
              <w:rPr>
                <w:rFonts w:asciiTheme="majorHAnsi" w:hAnsiTheme="majorHAnsi"/>
                <w:sz w:val="20"/>
                <w:lang w:eastAsia="it-IT"/>
              </w:rPr>
              <w:t xml:space="preserve"> this recommendation is related to </w:t>
            </w:r>
            <w:r w:rsidRPr="00DD52D7">
              <w:rPr>
                <w:rFonts w:asciiTheme="majorHAnsi" w:hAnsiTheme="majorHAnsi"/>
                <w:sz w:val="20"/>
                <w:lang w:eastAsia="it-IT"/>
              </w:rPr>
              <w:t>the construction of the new ITU building.</w:t>
            </w:r>
          </w:p>
        </w:tc>
      </w:tr>
      <w:tr w:rsidR="00CF69AA" w:rsidRPr="00DD52D7" w:rsidTr="00D6054C">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t>Rec 3/2015</w:t>
            </w:r>
          </w:p>
        </w:tc>
        <w:tc>
          <w:tcPr>
            <w:tcW w:w="1428" w:type="pct"/>
            <w:tcBorders>
              <w:top w:val="single" w:sz="4" w:space="0" w:color="auto"/>
              <w:left w:val="single" w:sz="4" w:space="0" w:color="auto"/>
              <w:bottom w:val="single" w:sz="4" w:space="0" w:color="auto"/>
              <w:right w:val="single" w:sz="4" w:space="0" w:color="auto"/>
            </w:tcBorders>
          </w:tcPr>
          <w:p w:rsidR="00CF69AA" w:rsidRPr="00BD506C" w:rsidRDefault="00CF69AA" w:rsidP="00CF69AA">
            <w:pPr>
              <w:widowControl w:val="0"/>
              <w:kinsoku w:val="0"/>
              <w:ind w:left="93" w:right="57"/>
              <w:rPr>
                <w:rFonts w:ascii="Calibri" w:hAnsi="Calibri"/>
                <w:sz w:val="20"/>
                <w:lang w:eastAsia="it-IT"/>
              </w:rPr>
            </w:pPr>
            <w:r w:rsidRPr="00CF69AA">
              <w:rPr>
                <w:rFonts w:ascii="Calibri" w:hAnsi="Calibri"/>
                <w:sz w:val="20"/>
                <w:lang w:val="en-US" w:eastAsia="it-IT"/>
              </w:rPr>
              <w:t xml:space="preserve">We consider that the asset management framework needs further improvement, therefore we </w:t>
            </w:r>
            <w:r w:rsidRPr="00CF69AA">
              <w:rPr>
                <w:rFonts w:ascii="Calibri" w:hAnsi="Calibri"/>
                <w:sz w:val="20"/>
                <w:u w:val="single"/>
                <w:lang w:val="en-US" w:eastAsia="it-IT"/>
              </w:rPr>
              <w:t>recommend</w:t>
            </w:r>
            <w:r w:rsidRPr="00CF69AA">
              <w:rPr>
                <w:rFonts w:ascii="Calibri" w:hAnsi="Calibri"/>
                <w:sz w:val="20"/>
                <w:lang w:val="en-US" w:eastAsia="it-IT"/>
              </w:rPr>
              <w:t xml:space="preserve"> that Management should: </w:t>
            </w:r>
            <w:proofErr w:type="spellStart"/>
            <w:r w:rsidRPr="00CF69AA">
              <w:rPr>
                <w:rFonts w:ascii="Calibri" w:hAnsi="Calibri"/>
                <w:sz w:val="20"/>
                <w:lang w:val="en-US" w:eastAsia="it-IT"/>
              </w:rPr>
              <w:t>i</w:t>
            </w:r>
            <w:proofErr w:type="spellEnd"/>
            <w:r w:rsidRPr="00CF69AA">
              <w:rPr>
                <w:rFonts w:ascii="Calibri" w:hAnsi="Calibri"/>
                <w:sz w:val="20"/>
                <w:lang w:val="en-US" w:eastAsia="it-IT"/>
              </w:rPr>
              <w:t>) consider the feasibility of assessing the status and the level of utilization of assets; ii) monitor regularly the obsolescence of items, also with a view to assessing the accuracy of the Asset Register; iii) extend these processes and procedures to all ITU Departments and Regional offices</w:t>
            </w:r>
          </w:p>
        </w:tc>
        <w:tc>
          <w:tcPr>
            <w:tcW w:w="1516" w:type="pct"/>
            <w:tcBorders>
              <w:top w:val="single" w:sz="4" w:space="0" w:color="auto"/>
              <w:left w:val="single" w:sz="4" w:space="0" w:color="auto"/>
              <w:bottom w:val="single" w:sz="4" w:space="0" w:color="auto"/>
              <w:right w:val="single" w:sz="4" w:space="0" w:color="auto"/>
            </w:tcBorders>
          </w:tcPr>
          <w:p w:rsidR="00CF69AA" w:rsidRPr="00BD506C" w:rsidRDefault="00CF69AA" w:rsidP="001E6D6F">
            <w:pPr>
              <w:widowControl w:val="0"/>
              <w:kinsoku w:val="0"/>
              <w:ind w:left="167" w:right="57"/>
              <w:rPr>
                <w:rFonts w:ascii="Calibri" w:hAnsi="Calibri"/>
                <w:sz w:val="20"/>
                <w:lang w:eastAsia="it-IT"/>
              </w:rPr>
            </w:pPr>
            <w:r w:rsidRPr="00CF69AA">
              <w:rPr>
                <w:rFonts w:ascii="Calibri" w:hAnsi="Calibri"/>
                <w:sz w:val="20"/>
                <w:lang w:val="en-US" w:eastAsia="it-IT"/>
              </w:rPr>
              <w:t xml:space="preserve">The </w:t>
            </w:r>
            <w:r w:rsidR="001E6D6F">
              <w:rPr>
                <w:rFonts w:ascii="Calibri" w:hAnsi="Calibri"/>
                <w:sz w:val="20"/>
                <w:lang w:val="en-US" w:eastAsia="it-IT"/>
              </w:rPr>
              <w:t>S</w:t>
            </w:r>
            <w:r w:rsidRPr="00CF69AA">
              <w:rPr>
                <w:rFonts w:ascii="Calibri" w:hAnsi="Calibri"/>
                <w:sz w:val="20"/>
                <w:lang w:val="en-US" w:eastAsia="it-IT"/>
              </w:rPr>
              <w:t xml:space="preserve">ecretariat will further </w:t>
            </w:r>
            <w:proofErr w:type="spellStart"/>
            <w:r w:rsidRPr="00CF69AA">
              <w:rPr>
                <w:rFonts w:ascii="Calibri" w:hAnsi="Calibri"/>
                <w:sz w:val="20"/>
                <w:lang w:val="en-US" w:eastAsia="it-IT"/>
              </w:rPr>
              <w:t>analyse</w:t>
            </w:r>
            <w:proofErr w:type="spellEnd"/>
            <w:r w:rsidRPr="00CF69AA">
              <w:rPr>
                <w:rFonts w:ascii="Calibri" w:hAnsi="Calibri"/>
                <w:sz w:val="20"/>
                <w:lang w:val="en-US" w:eastAsia="it-IT"/>
              </w:rPr>
              <w:t xml:space="preserve"> this recommendation and report on the findings and conclusions to the external auditors</w:t>
            </w:r>
          </w:p>
        </w:tc>
        <w:tc>
          <w:tcPr>
            <w:tcW w:w="1595" w:type="pct"/>
            <w:tcBorders>
              <w:top w:val="single" w:sz="4" w:space="0" w:color="auto"/>
              <w:left w:val="single" w:sz="4" w:space="0" w:color="auto"/>
              <w:bottom w:val="single" w:sz="4" w:space="0" w:color="auto"/>
              <w:right w:val="single" w:sz="4" w:space="0" w:color="auto"/>
            </w:tcBorders>
          </w:tcPr>
          <w:p w:rsidR="00CF69AA" w:rsidRPr="00DD52D7" w:rsidRDefault="003707EC" w:rsidP="001A08BA">
            <w:pPr>
              <w:ind w:left="167"/>
              <w:rPr>
                <w:rFonts w:ascii="Calibri" w:hAnsi="Calibri"/>
                <w:sz w:val="20"/>
                <w:lang w:eastAsia="it-IT"/>
              </w:rPr>
            </w:pPr>
            <w:r w:rsidRPr="00DD52D7">
              <w:rPr>
                <w:rFonts w:asciiTheme="majorHAnsi" w:hAnsiTheme="majorHAnsi"/>
                <w:sz w:val="20"/>
                <w:lang w:eastAsia="it-IT"/>
              </w:rPr>
              <w:t xml:space="preserve">A detailed study was undertaken in 2016 concerning the </w:t>
            </w:r>
            <w:r w:rsidR="001A08BA" w:rsidRPr="00DD52D7">
              <w:rPr>
                <w:rFonts w:asciiTheme="majorHAnsi" w:hAnsiTheme="majorHAnsi"/>
                <w:sz w:val="20"/>
                <w:lang w:eastAsia="it-IT"/>
              </w:rPr>
              <w:t xml:space="preserve">level of utilization of </w:t>
            </w:r>
            <w:r w:rsidRPr="00DD52D7">
              <w:rPr>
                <w:rFonts w:asciiTheme="majorHAnsi" w:hAnsiTheme="majorHAnsi"/>
                <w:sz w:val="20"/>
                <w:lang w:eastAsia="it-IT"/>
              </w:rPr>
              <w:t>assets under the responsibility of the ITU staff, which made it possible to identify the obsolete equipment in a significant way in order to update the accounting records. New procedures are being prepared for the management of equipment and its protection at headquarters and regional offices</w:t>
            </w:r>
          </w:p>
        </w:tc>
      </w:tr>
      <w:tr w:rsidR="00CF69AA" w:rsidRPr="00BD506C" w:rsidTr="00C72835">
        <w:trPr>
          <w:cantSplit/>
          <w:trHeight w:val="1876"/>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t>Rec 4/2015</w:t>
            </w:r>
          </w:p>
        </w:tc>
        <w:tc>
          <w:tcPr>
            <w:tcW w:w="1428" w:type="pct"/>
            <w:tcBorders>
              <w:top w:val="single" w:sz="4" w:space="0" w:color="auto"/>
              <w:left w:val="single" w:sz="4" w:space="0" w:color="auto"/>
              <w:bottom w:val="single" w:sz="4" w:space="0" w:color="auto"/>
              <w:right w:val="single" w:sz="4" w:space="0" w:color="auto"/>
            </w:tcBorders>
          </w:tcPr>
          <w:p w:rsidR="00CF69AA" w:rsidRPr="00BD506C" w:rsidRDefault="00CF69AA" w:rsidP="00C72835">
            <w:pPr>
              <w:widowControl w:val="0"/>
              <w:kinsoku w:val="0"/>
              <w:ind w:right="57"/>
              <w:rPr>
                <w:rFonts w:ascii="Calibri" w:hAnsi="Calibri"/>
                <w:sz w:val="20"/>
                <w:lang w:eastAsia="it-IT"/>
              </w:rPr>
            </w:pPr>
            <w:r w:rsidRPr="00CF69AA">
              <w:rPr>
                <w:rFonts w:ascii="Calibri" w:hAnsi="Calibri"/>
                <w:sz w:val="20"/>
                <w:lang w:eastAsia="it-IT"/>
              </w:rPr>
              <w:t xml:space="preserve">Given the purpose of the valuation required by IPSAS 25 and the directions provided in paragraph 92 to 94 thereof, </w:t>
            </w:r>
            <w:r w:rsidRPr="00CF69AA">
              <w:rPr>
                <w:rFonts w:ascii="Calibri" w:hAnsi="Calibri"/>
                <w:sz w:val="20"/>
                <w:u w:val="single"/>
                <w:lang w:eastAsia="it-IT"/>
              </w:rPr>
              <w:t>we recommend</w:t>
            </w:r>
            <w:r w:rsidRPr="00CF69AA">
              <w:rPr>
                <w:rFonts w:ascii="Calibri" w:hAnsi="Calibri"/>
                <w:sz w:val="20"/>
                <w:lang w:eastAsia="it-IT"/>
              </w:rPr>
              <w:t xml:space="preserve"> that, in the years to come, Management should ask the actuary to use a discount rate equal to the yield on long-term Swiss government bonds. </w:t>
            </w:r>
          </w:p>
        </w:tc>
        <w:tc>
          <w:tcPr>
            <w:tcW w:w="1516" w:type="pct"/>
            <w:tcBorders>
              <w:top w:val="single" w:sz="4" w:space="0" w:color="auto"/>
              <w:left w:val="single" w:sz="4" w:space="0" w:color="auto"/>
              <w:bottom w:val="single" w:sz="4" w:space="0" w:color="auto"/>
              <w:right w:val="single" w:sz="4" w:space="0" w:color="auto"/>
            </w:tcBorders>
          </w:tcPr>
          <w:p w:rsidR="00CF69AA" w:rsidRPr="00BD506C" w:rsidRDefault="00CF69AA" w:rsidP="00B90E87">
            <w:pPr>
              <w:widowControl w:val="0"/>
              <w:kinsoku w:val="0"/>
              <w:ind w:left="167" w:right="57"/>
              <w:rPr>
                <w:rFonts w:ascii="Calibri" w:hAnsi="Calibri"/>
                <w:sz w:val="20"/>
                <w:lang w:eastAsia="it-IT"/>
              </w:rPr>
            </w:pPr>
            <w:r w:rsidRPr="00CF69AA">
              <w:rPr>
                <w:rFonts w:ascii="Calibri" w:hAnsi="Calibri"/>
                <w:sz w:val="20"/>
                <w:lang w:eastAsia="it-IT"/>
              </w:rPr>
              <w:t>Management notes this recommendation and will discuss the matter with the appointed actuary to determine the most appropriate approach, taking into consideration the best practices of the UN organisations</w:t>
            </w:r>
          </w:p>
        </w:tc>
        <w:tc>
          <w:tcPr>
            <w:tcW w:w="1595" w:type="pct"/>
            <w:tcBorders>
              <w:top w:val="single" w:sz="4" w:space="0" w:color="auto"/>
              <w:left w:val="single" w:sz="4" w:space="0" w:color="auto"/>
              <w:bottom w:val="single" w:sz="4" w:space="0" w:color="auto"/>
              <w:right w:val="single" w:sz="4" w:space="0" w:color="auto"/>
            </w:tcBorders>
          </w:tcPr>
          <w:p w:rsidR="00CF69AA" w:rsidRPr="00C72835" w:rsidRDefault="00F67992" w:rsidP="00500CEA">
            <w:pPr>
              <w:ind w:left="167"/>
              <w:rPr>
                <w:rFonts w:ascii="Calibri" w:hAnsi="Calibri"/>
                <w:sz w:val="20"/>
                <w:lang w:eastAsia="it-IT"/>
              </w:rPr>
            </w:pPr>
            <w:r w:rsidRPr="00C72835">
              <w:rPr>
                <w:rFonts w:asciiTheme="majorHAnsi" w:hAnsiTheme="majorHAnsi"/>
                <w:sz w:val="20"/>
                <w:lang w:eastAsia="it-IT"/>
              </w:rPr>
              <w:t xml:space="preserve">A new actuary has been chosen further </w:t>
            </w:r>
            <w:r w:rsidR="001A358B">
              <w:rPr>
                <w:rFonts w:asciiTheme="majorHAnsi" w:hAnsiTheme="majorHAnsi"/>
                <w:sz w:val="20"/>
                <w:lang w:eastAsia="it-IT"/>
              </w:rPr>
              <w:t xml:space="preserve">to </w:t>
            </w:r>
            <w:r w:rsidRPr="00C72835">
              <w:rPr>
                <w:rFonts w:asciiTheme="majorHAnsi" w:hAnsiTheme="majorHAnsi"/>
                <w:sz w:val="20"/>
                <w:lang w:eastAsia="it-IT"/>
              </w:rPr>
              <w:t>a</w:t>
            </w:r>
            <w:r w:rsidR="002A057A">
              <w:rPr>
                <w:rFonts w:asciiTheme="majorHAnsi" w:hAnsiTheme="majorHAnsi"/>
                <w:sz w:val="20"/>
                <w:lang w:eastAsia="it-IT"/>
              </w:rPr>
              <w:t xml:space="preserve"> </w:t>
            </w:r>
            <w:r w:rsidR="001A358B">
              <w:rPr>
                <w:rFonts w:asciiTheme="majorHAnsi" w:hAnsiTheme="majorHAnsi"/>
                <w:sz w:val="20"/>
                <w:lang w:eastAsia="it-IT"/>
              </w:rPr>
              <w:t>C</w:t>
            </w:r>
            <w:r w:rsidRPr="00C72835">
              <w:rPr>
                <w:rFonts w:asciiTheme="majorHAnsi" w:hAnsiTheme="majorHAnsi"/>
                <w:sz w:val="20"/>
                <w:lang w:eastAsia="it-IT"/>
              </w:rPr>
              <w:t>all for bid</w:t>
            </w:r>
            <w:r w:rsidR="001A358B">
              <w:rPr>
                <w:rFonts w:asciiTheme="majorHAnsi" w:hAnsiTheme="majorHAnsi"/>
                <w:sz w:val="20"/>
                <w:lang w:eastAsia="it-IT"/>
              </w:rPr>
              <w:t>s</w:t>
            </w:r>
            <w:r w:rsidRPr="00C72835">
              <w:rPr>
                <w:rFonts w:asciiTheme="majorHAnsi" w:hAnsiTheme="majorHAnsi"/>
                <w:sz w:val="20"/>
                <w:lang w:eastAsia="it-IT"/>
              </w:rPr>
              <w:t xml:space="preserve">. This topic was discussed with them taking into consideration the recommendation made by the UN ASHI working group and submitted to the General </w:t>
            </w:r>
            <w:r w:rsidR="00AD799E" w:rsidRPr="00C72835">
              <w:rPr>
                <w:rFonts w:asciiTheme="majorHAnsi" w:hAnsiTheme="majorHAnsi"/>
                <w:sz w:val="20"/>
                <w:lang w:eastAsia="it-IT"/>
              </w:rPr>
              <w:t>Assembly</w:t>
            </w:r>
            <w:r w:rsidRPr="00C72835">
              <w:rPr>
                <w:rFonts w:asciiTheme="majorHAnsi" w:hAnsiTheme="majorHAnsi"/>
                <w:sz w:val="20"/>
                <w:lang w:eastAsia="it-IT"/>
              </w:rPr>
              <w:t xml:space="preserve"> </w:t>
            </w:r>
            <w:r w:rsidR="00C72835">
              <w:rPr>
                <w:rFonts w:asciiTheme="majorHAnsi" w:hAnsiTheme="majorHAnsi"/>
                <w:sz w:val="20"/>
                <w:lang w:eastAsia="it-IT"/>
              </w:rPr>
              <w:t xml:space="preserve">in </w:t>
            </w:r>
            <w:r w:rsidR="00C72835" w:rsidRPr="00C72835">
              <w:rPr>
                <w:rFonts w:asciiTheme="majorHAnsi" w:hAnsiTheme="majorHAnsi"/>
                <w:sz w:val="20"/>
                <w:lang w:eastAsia="it-IT"/>
              </w:rPr>
              <w:t>December</w:t>
            </w:r>
            <w:r w:rsidR="00AD799E" w:rsidRPr="00C72835">
              <w:rPr>
                <w:rFonts w:asciiTheme="majorHAnsi" w:hAnsiTheme="majorHAnsi"/>
                <w:sz w:val="20"/>
                <w:lang w:eastAsia="it-IT"/>
              </w:rPr>
              <w:t xml:space="preserve">. </w:t>
            </w:r>
            <w:r w:rsidR="000048B6" w:rsidRPr="00C72835">
              <w:rPr>
                <w:rFonts w:asciiTheme="majorHAnsi" w:hAnsiTheme="majorHAnsi"/>
                <w:sz w:val="20"/>
                <w:lang w:eastAsia="it-IT"/>
              </w:rPr>
              <w:t xml:space="preserve"> This recommendation</w:t>
            </w:r>
            <w:bookmarkStart w:id="4" w:name="_GoBack"/>
            <w:bookmarkEnd w:id="4"/>
            <w:r w:rsidR="000048B6" w:rsidRPr="00C72835">
              <w:rPr>
                <w:rFonts w:asciiTheme="majorHAnsi" w:hAnsiTheme="majorHAnsi"/>
                <w:sz w:val="20"/>
                <w:lang w:eastAsia="it-IT"/>
              </w:rPr>
              <w:t xml:space="preserve"> is based on the work of the UN IPSAS task Force, which agreed</w:t>
            </w:r>
            <w:r w:rsidR="001A358B">
              <w:rPr>
                <w:rFonts w:asciiTheme="majorHAnsi" w:hAnsiTheme="majorHAnsi"/>
                <w:sz w:val="20"/>
                <w:lang w:eastAsia="it-IT"/>
              </w:rPr>
              <w:t xml:space="preserve">, in principle, </w:t>
            </w:r>
            <w:r w:rsidR="000048B6" w:rsidRPr="00C72835">
              <w:rPr>
                <w:rFonts w:asciiTheme="majorHAnsi" w:hAnsiTheme="majorHAnsi"/>
                <w:sz w:val="20"/>
                <w:lang w:eastAsia="it-IT"/>
              </w:rPr>
              <w:t>that a thirty-year yield curve for high-quality corporate bonds would be identified each year for each of the three currencies in which health insurance benefits are most commonly paid: US Dollar; Euro; and Swiss Franc</w:t>
            </w:r>
            <w:r w:rsidR="00C72835">
              <w:rPr>
                <w:rFonts w:asciiTheme="majorHAnsi" w:hAnsiTheme="majorHAnsi"/>
                <w:sz w:val="20"/>
                <w:lang w:eastAsia="it-IT"/>
              </w:rPr>
              <w:t>s</w:t>
            </w:r>
            <w:r w:rsidR="001A358B">
              <w:rPr>
                <w:rFonts w:asciiTheme="majorHAnsi" w:hAnsiTheme="majorHAnsi"/>
                <w:sz w:val="20"/>
                <w:lang w:eastAsia="it-IT"/>
              </w:rPr>
              <w:t>.</w:t>
            </w:r>
          </w:p>
        </w:tc>
      </w:tr>
      <w:tr w:rsidR="00CF69AA" w:rsidRPr="00BD506C" w:rsidTr="006558FE">
        <w:trPr>
          <w:cantSplit/>
          <w:trHeight w:val="1530"/>
        </w:trPr>
        <w:tc>
          <w:tcPr>
            <w:tcW w:w="461" w:type="pct"/>
            <w:tcBorders>
              <w:top w:val="single" w:sz="4" w:space="0" w:color="auto"/>
              <w:left w:val="single" w:sz="4" w:space="0" w:color="auto"/>
              <w:bottom w:val="single" w:sz="4" w:space="0" w:color="auto"/>
              <w:right w:val="single" w:sz="4" w:space="0" w:color="auto"/>
            </w:tcBorders>
          </w:tcPr>
          <w:p w:rsidR="00CF69AA" w:rsidRPr="00BD506C" w:rsidRDefault="00CF69AA" w:rsidP="002E69D7">
            <w:pPr>
              <w:widowControl w:val="0"/>
              <w:kinsoku w:val="0"/>
              <w:adjustRightInd/>
              <w:jc w:val="center"/>
              <w:rPr>
                <w:rFonts w:ascii="Calibri" w:hAnsi="Calibri"/>
                <w:b/>
                <w:bCs/>
                <w:sz w:val="20"/>
                <w:lang w:eastAsia="it-IT"/>
              </w:rPr>
            </w:pPr>
            <w:r>
              <w:rPr>
                <w:rFonts w:ascii="Calibri" w:hAnsi="Calibri"/>
                <w:b/>
                <w:bCs/>
                <w:sz w:val="20"/>
                <w:lang w:eastAsia="it-IT"/>
              </w:rPr>
              <w:t>Rec 5/2015</w:t>
            </w:r>
          </w:p>
        </w:tc>
        <w:tc>
          <w:tcPr>
            <w:tcW w:w="1428" w:type="pct"/>
            <w:tcBorders>
              <w:top w:val="single" w:sz="4" w:space="0" w:color="auto"/>
              <w:left w:val="single" w:sz="4" w:space="0" w:color="auto"/>
              <w:bottom w:val="single" w:sz="4" w:space="0" w:color="auto"/>
              <w:right w:val="single" w:sz="4" w:space="0" w:color="auto"/>
            </w:tcBorders>
          </w:tcPr>
          <w:p w:rsidR="00CF69AA" w:rsidRPr="00CF69AA" w:rsidRDefault="00CF69AA" w:rsidP="00CF69AA">
            <w:pPr>
              <w:widowControl w:val="0"/>
              <w:kinsoku w:val="0"/>
              <w:ind w:left="93" w:right="57"/>
              <w:rPr>
                <w:rFonts w:ascii="Calibri" w:hAnsi="Calibri"/>
                <w:sz w:val="20"/>
                <w:lang w:eastAsia="it-IT"/>
              </w:rPr>
            </w:pPr>
            <w:r w:rsidRPr="00CF69AA">
              <w:rPr>
                <w:rFonts w:ascii="Calibri" w:hAnsi="Calibri"/>
                <w:sz w:val="20"/>
                <w:lang w:eastAsia="it-IT"/>
              </w:rPr>
              <w:t xml:space="preserve">We acknowledge the fact that Management is providing information to council and membership in a transparent manner on the regional presence in several documents and reports. However, in order to better respond to Resolution 25 requirements and in conformity with IPSAS, </w:t>
            </w:r>
            <w:r w:rsidRPr="00CF69AA">
              <w:rPr>
                <w:rFonts w:ascii="Calibri" w:hAnsi="Calibri"/>
                <w:sz w:val="20"/>
                <w:u w:val="single"/>
                <w:lang w:eastAsia="it-IT"/>
              </w:rPr>
              <w:t>we recommend</w:t>
            </w:r>
            <w:r w:rsidRPr="00CF69AA">
              <w:rPr>
                <w:rFonts w:ascii="Calibri" w:hAnsi="Calibri"/>
                <w:sz w:val="20"/>
                <w:lang w:eastAsia="it-IT"/>
              </w:rPr>
              <w:t xml:space="preserve"> adding a segment disclosure on the Regional Presence to the Financial Operating Report that will set forth details on the appropriations and actuals of the regional offices.</w:t>
            </w:r>
          </w:p>
          <w:p w:rsidR="00CF69AA" w:rsidRPr="00BD506C" w:rsidRDefault="00CF69AA" w:rsidP="0006360F">
            <w:pPr>
              <w:widowControl w:val="0"/>
              <w:kinsoku w:val="0"/>
              <w:ind w:left="93" w:right="57"/>
              <w:rPr>
                <w:rFonts w:ascii="Calibri" w:hAnsi="Calibri"/>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CF69AA" w:rsidRPr="00BD506C" w:rsidRDefault="00CF69AA" w:rsidP="00CF69AA">
            <w:pPr>
              <w:widowControl w:val="0"/>
              <w:kinsoku w:val="0"/>
              <w:ind w:left="167" w:right="57"/>
              <w:rPr>
                <w:rFonts w:ascii="Calibri" w:hAnsi="Calibri"/>
                <w:sz w:val="20"/>
                <w:lang w:eastAsia="it-IT"/>
              </w:rPr>
            </w:pPr>
            <w:r w:rsidRPr="00CF69AA">
              <w:rPr>
                <w:rFonts w:ascii="Calibri" w:hAnsi="Calibri"/>
                <w:sz w:val="20"/>
                <w:lang w:val="en-US" w:eastAsia="it-IT"/>
              </w:rPr>
              <w:t>This recommendation will be taken into consideration in the framework of the preparation of the 2016 financial operating report that will be submitted to Council at its 2017 session. A specific note relating to the regional presence together with a financial table will be included in the 2017 financial operating report</w:t>
            </w:r>
          </w:p>
        </w:tc>
        <w:tc>
          <w:tcPr>
            <w:tcW w:w="1595" w:type="pct"/>
            <w:tcBorders>
              <w:top w:val="single" w:sz="4" w:space="0" w:color="auto"/>
              <w:left w:val="single" w:sz="4" w:space="0" w:color="auto"/>
              <w:bottom w:val="single" w:sz="4" w:space="0" w:color="auto"/>
              <w:right w:val="single" w:sz="4" w:space="0" w:color="auto"/>
            </w:tcBorders>
          </w:tcPr>
          <w:p w:rsidR="00CF69AA" w:rsidRPr="00BD506C" w:rsidRDefault="006558FE" w:rsidP="00871229">
            <w:pPr>
              <w:ind w:left="167"/>
              <w:rPr>
                <w:rFonts w:ascii="Calibri" w:hAnsi="Calibri"/>
                <w:sz w:val="20"/>
                <w:lang w:eastAsia="it-IT"/>
              </w:rPr>
            </w:pPr>
            <w:r w:rsidRPr="00CF69AA">
              <w:rPr>
                <w:rFonts w:ascii="Calibri" w:hAnsi="Calibri"/>
                <w:sz w:val="20"/>
                <w:lang w:val="en-US" w:eastAsia="it-IT"/>
              </w:rPr>
              <w:t>A specific note relating to the regional presence together with a financial table will be included in the 201</w:t>
            </w:r>
            <w:r w:rsidR="00871229">
              <w:rPr>
                <w:rFonts w:ascii="Calibri" w:hAnsi="Calibri"/>
                <w:sz w:val="20"/>
                <w:lang w:val="en-US" w:eastAsia="it-IT"/>
              </w:rPr>
              <w:t>6</w:t>
            </w:r>
            <w:r w:rsidRPr="00CF69AA">
              <w:rPr>
                <w:rFonts w:ascii="Calibri" w:hAnsi="Calibri"/>
                <w:sz w:val="20"/>
                <w:lang w:val="en-US" w:eastAsia="it-IT"/>
              </w:rPr>
              <w:t xml:space="preserve"> financial operating report</w:t>
            </w:r>
            <w:r>
              <w:rPr>
                <w:rFonts w:ascii="Calibri" w:hAnsi="Calibri"/>
                <w:sz w:val="20"/>
                <w:lang w:val="en-US" w:eastAsia="it-IT"/>
              </w:rPr>
              <w:t>.</w:t>
            </w:r>
          </w:p>
        </w:tc>
      </w:tr>
      <w:tr w:rsidR="002E69D7" w:rsidRPr="00BD506C" w:rsidTr="006558FE">
        <w:trPr>
          <w:cantSplit/>
          <w:trHeight w:val="945"/>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2E69D7">
            <w:pPr>
              <w:widowControl w:val="0"/>
              <w:kinsoku w:val="0"/>
              <w:adjustRightInd/>
              <w:jc w:val="center"/>
              <w:rPr>
                <w:rFonts w:ascii="Calibri" w:hAnsi="Calibri"/>
                <w:b/>
                <w:bCs/>
                <w:sz w:val="20"/>
                <w:lang w:eastAsia="it-IT"/>
              </w:rPr>
            </w:pPr>
            <w:r>
              <w:rPr>
                <w:rFonts w:ascii="Calibri" w:hAnsi="Calibri"/>
                <w:b/>
                <w:bCs/>
                <w:sz w:val="20"/>
                <w:lang w:eastAsia="it-IT"/>
              </w:rPr>
              <w:t>Rec. 2/2</w:t>
            </w:r>
            <w:r w:rsidRPr="00BD506C">
              <w:rPr>
                <w:rFonts w:ascii="Calibri" w:hAnsi="Calibri"/>
                <w:b/>
                <w:bCs/>
                <w:sz w:val="20"/>
                <w:lang w:eastAsia="it-IT"/>
              </w:rPr>
              <w:t>014</w:t>
            </w:r>
          </w:p>
        </w:tc>
        <w:tc>
          <w:tcPr>
            <w:tcW w:w="1428"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ind w:left="93" w:right="57"/>
              <w:rPr>
                <w:rFonts w:ascii="Calibri" w:hAnsi="Calibri"/>
                <w:sz w:val="20"/>
                <w:lang w:eastAsia="it-IT"/>
              </w:rPr>
            </w:pPr>
            <w:r w:rsidRPr="00BD506C">
              <w:rPr>
                <w:rFonts w:ascii="Calibri" w:hAnsi="Calibri"/>
                <w:sz w:val="20"/>
                <w:lang w:eastAsia="it-IT"/>
              </w:rPr>
              <w:t xml:space="preserve">We </w:t>
            </w:r>
            <w:r w:rsidRPr="00BD506C">
              <w:rPr>
                <w:rFonts w:ascii="Calibri" w:hAnsi="Calibri"/>
                <w:sz w:val="20"/>
                <w:u w:val="single"/>
                <w:lang w:eastAsia="it-IT"/>
              </w:rPr>
              <w:t>recommend</w:t>
            </w:r>
            <w:r w:rsidRPr="00BD506C">
              <w:rPr>
                <w:rFonts w:ascii="Calibri" w:hAnsi="Calibri"/>
                <w:sz w:val="20"/>
                <w:lang w:eastAsia="it-IT"/>
              </w:rPr>
              <w:t xml:space="preserve"> Management to start a tender procedure to select the actuary for performing the IPSAS 25 related actuarial valuations</w:t>
            </w:r>
          </w:p>
        </w:tc>
        <w:tc>
          <w:tcPr>
            <w:tcW w:w="1516"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ind w:left="233" w:right="57"/>
              <w:rPr>
                <w:rFonts w:ascii="Calibri" w:hAnsi="Calibri"/>
                <w:sz w:val="20"/>
                <w:lang w:eastAsia="it-IT"/>
              </w:rPr>
            </w:pPr>
            <w:r w:rsidRPr="00BD506C">
              <w:rPr>
                <w:rFonts w:ascii="Calibri" w:hAnsi="Calibri"/>
                <w:sz w:val="20"/>
                <w:lang w:eastAsia="it-IT"/>
              </w:rPr>
              <w:t>Procurement rules are and will be scrupulously followed when proceeding to the tender for the IPSAS 25 actuarial valuations.</w:t>
            </w:r>
          </w:p>
          <w:p w:rsidR="002E69D7" w:rsidRPr="00BD506C" w:rsidRDefault="002E69D7" w:rsidP="00B90E87">
            <w:pPr>
              <w:widowControl w:val="0"/>
              <w:kinsoku w:val="0"/>
              <w:ind w:left="233" w:right="57"/>
              <w:rPr>
                <w:rFonts w:ascii="Calibri" w:hAnsi="Calibri"/>
                <w:sz w:val="20"/>
                <w:lang w:eastAsia="it-IT"/>
              </w:rPr>
            </w:pPr>
          </w:p>
        </w:tc>
        <w:tc>
          <w:tcPr>
            <w:tcW w:w="1595" w:type="pct"/>
            <w:tcBorders>
              <w:top w:val="single" w:sz="4" w:space="0" w:color="auto"/>
              <w:left w:val="single" w:sz="4" w:space="0" w:color="auto"/>
              <w:bottom w:val="single" w:sz="4" w:space="0" w:color="auto"/>
              <w:right w:val="single" w:sz="4" w:space="0" w:color="auto"/>
            </w:tcBorders>
          </w:tcPr>
          <w:p w:rsidR="002E69D7" w:rsidRPr="00BD506C" w:rsidRDefault="002E69D7" w:rsidP="0006360F">
            <w:pPr>
              <w:widowControl w:val="0"/>
              <w:kinsoku w:val="0"/>
              <w:ind w:left="167" w:right="57"/>
              <w:rPr>
                <w:rFonts w:ascii="Calibri" w:hAnsi="Calibri"/>
                <w:sz w:val="20"/>
                <w:lang w:eastAsia="it-IT"/>
              </w:rPr>
            </w:pPr>
            <w:r w:rsidRPr="00BD506C">
              <w:rPr>
                <w:rFonts w:ascii="Calibri" w:hAnsi="Calibri"/>
                <w:sz w:val="20"/>
                <w:lang w:eastAsia="it-IT"/>
              </w:rPr>
              <w:t>The ITU is linked by contract up to the end of 2015.</w:t>
            </w:r>
          </w:p>
          <w:p w:rsidR="002E69D7" w:rsidRDefault="00CC106C" w:rsidP="0006360F">
            <w:pPr>
              <w:widowControl w:val="0"/>
              <w:kinsoku w:val="0"/>
              <w:ind w:left="167" w:right="57"/>
              <w:rPr>
                <w:rFonts w:ascii="Calibri" w:hAnsi="Calibri"/>
                <w:sz w:val="20"/>
                <w:lang w:eastAsia="it-IT"/>
              </w:rPr>
            </w:pPr>
            <w:r>
              <w:rPr>
                <w:rFonts w:ascii="Calibri" w:hAnsi="Calibri"/>
                <w:sz w:val="20"/>
                <w:lang w:eastAsia="it-IT"/>
              </w:rPr>
              <w:t>In line with</w:t>
            </w:r>
            <w:r w:rsidR="002E69D7" w:rsidRPr="00BD506C">
              <w:rPr>
                <w:rFonts w:ascii="Calibri" w:hAnsi="Calibri"/>
                <w:sz w:val="20"/>
                <w:lang w:eastAsia="it-IT"/>
              </w:rPr>
              <w:t xml:space="preserve"> the procurement rules and regulations in force, a call for bids will be </w:t>
            </w:r>
            <w:r>
              <w:rPr>
                <w:rFonts w:ascii="Calibri" w:hAnsi="Calibri"/>
                <w:sz w:val="20"/>
                <w:lang w:eastAsia="it-IT"/>
              </w:rPr>
              <w:t>published</w:t>
            </w:r>
            <w:r w:rsidR="002E69D7" w:rsidRPr="00BD506C">
              <w:rPr>
                <w:rFonts w:ascii="Calibri" w:hAnsi="Calibri"/>
                <w:sz w:val="20"/>
                <w:lang w:eastAsia="it-IT"/>
              </w:rPr>
              <w:t xml:space="preserve"> at </w:t>
            </w:r>
            <w:r>
              <w:rPr>
                <w:rFonts w:ascii="Calibri" w:hAnsi="Calibri"/>
                <w:sz w:val="20"/>
                <w:lang w:eastAsia="it-IT"/>
              </w:rPr>
              <w:t xml:space="preserve">the </w:t>
            </w:r>
            <w:r w:rsidR="002E69D7" w:rsidRPr="00BD506C">
              <w:rPr>
                <w:rFonts w:ascii="Calibri" w:hAnsi="Calibri"/>
                <w:sz w:val="20"/>
                <w:lang w:eastAsia="it-IT"/>
              </w:rPr>
              <w:t>beginning of 2016.</w:t>
            </w:r>
          </w:p>
          <w:p w:rsidR="004E5F0E" w:rsidRDefault="004E5F0E" w:rsidP="00A632F1">
            <w:pPr>
              <w:widowControl w:val="0"/>
              <w:kinsoku w:val="0"/>
              <w:ind w:left="167" w:right="57"/>
              <w:rPr>
                <w:rFonts w:ascii="Calibri" w:hAnsi="Calibri"/>
                <w:sz w:val="20"/>
                <w:lang w:eastAsia="it-IT"/>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r w:rsidRPr="00C81D54">
              <w:rPr>
                <w:rFonts w:asciiTheme="majorHAnsi" w:hAnsiTheme="majorHAnsi"/>
                <w:b/>
                <w:bCs/>
                <w:sz w:val="20"/>
                <w:lang w:eastAsia="it-IT"/>
              </w:rPr>
              <w:t>201</w:t>
            </w:r>
            <w:r>
              <w:rPr>
                <w:rFonts w:asciiTheme="majorHAnsi" w:hAnsiTheme="majorHAnsi"/>
                <w:b/>
                <w:bCs/>
                <w:sz w:val="20"/>
                <w:lang w:eastAsia="it-IT"/>
              </w:rPr>
              <w:t>6</w:t>
            </w:r>
            <w:r w:rsidRPr="00C81D54">
              <w:rPr>
                <w:rFonts w:asciiTheme="majorHAnsi" w:hAnsiTheme="majorHAnsi"/>
                <w:sz w:val="20"/>
                <w:lang w:eastAsia="it-IT"/>
              </w:rPr>
              <w:t xml:space="preserve">: </w:t>
            </w:r>
            <w:r>
              <w:rPr>
                <w:rFonts w:asciiTheme="majorHAnsi" w:hAnsiTheme="majorHAnsi"/>
                <w:sz w:val="20"/>
                <w:lang w:eastAsia="it-IT"/>
              </w:rPr>
              <w:t xml:space="preserve">  </w:t>
            </w:r>
            <w:r w:rsidRPr="004E5F0E">
              <w:rPr>
                <w:rFonts w:ascii="Calibri" w:hAnsi="Calibri"/>
                <w:sz w:val="20"/>
                <w:lang w:eastAsia="it-IT"/>
              </w:rPr>
              <w:t>Discussion</w:t>
            </w:r>
            <w:r w:rsidR="00AE6CCF">
              <w:rPr>
                <w:rFonts w:ascii="Calibri" w:hAnsi="Calibri"/>
                <w:sz w:val="20"/>
                <w:lang w:eastAsia="it-IT"/>
              </w:rPr>
              <w:t>s</w:t>
            </w:r>
            <w:r w:rsidRPr="004E5F0E">
              <w:rPr>
                <w:rFonts w:ascii="Calibri" w:hAnsi="Calibri"/>
                <w:sz w:val="20"/>
                <w:lang w:eastAsia="it-IT"/>
              </w:rPr>
              <w:t xml:space="preserve"> </w:t>
            </w:r>
            <w:r w:rsidR="00A632F1">
              <w:rPr>
                <w:rFonts w:ascii="Calibri" w:hAnsi="Calibri"/>
                <w:sz w:val="20"/>
                <w:lang w:eastAsia="it-IT"/>
              </w:rPr>
              <w:t>between HRMD and FRMD to define the ITU requirement</w:t>
            </w:r>
            <w:r w:rsidR="00F02683">
              <w:rPr>
                <w:rFonts w:ascii="Calibri" w:hAnsi="Calibri"/>
                <w:sz w:val="20"/>
                <w:lang w:eastAsia="it-IT"/>
              </w:rPr>
              <w:t xml:space="preserve">s will start beginning of March </w:t>
            </w:r>
            <w:r w:rsidRPr="004E5F0E">
              <w:rPr>
                <w:rFonts w:ascii="Calibri" w:hAnsi="Calibri"/>
                <w:sz w:val="20"/>
                <w:lang w:eastAsia="it-IT"/>
              </w:rPr>
              <w:t>and</w:t>
            </w:r>
            <w:r w:rsidR="00F02683">
              <w:rPr>
                <w:rFonts w:ascii="Calibri" w:hAnsi="Calibri"/>
                <w:sz w:val="20"/>
                <w:lang w:eastAsia="it-IT"/>
              </w:rPr>
              <w:t>,</w:t>
            </w:r>
            <w:r w:rsidRPr="004E5F0E">
              <w:rPr>
                <w:rFonts w:ascii="Calibri" w:hAnsi="Calibri"/>
                <w:sz w:val="20"/>
                <w:lang w:eastAsia="it-IT"/>
              </w:rPr>
              <w:t xml:space="preserve"> the call for bid </w:t>
            </w:r>
            <w:r>
              <w:rPr>
                <w:rFonts w:ascii="Calibri" w:hAnsi="Calibri"/>
                <w:sz w:val="20"/>
                <w:lang w:eastAsia="it-IT"/>
              </w:rPr>
              <w:t>should be published by the end of April.</w:t>
            </w:r>
          </w:p>
          <w:p w:rsidR="002A057A" w:rsidRDefault="00CF69AA" w:rsidP="002A057A">
            <w:pPr>
              <w:widowControl w:val="0"/>
              <w:kinsoku w:val="0"/>
              <w:ind w:left="167" w:right="57"/>
              <w:rPr>
                <w:rFonts w:ascii="Calibri" w:hAnsi="Calibri"/>
                <w:sz w:val="20"/>
                <w:lang w:eastAsia="it-IT"/>
              </w:rPr>
            </w:pPr>
            <w:r w:rsidRPr="00CF69AA">
              <w:rPr>
                <w:rFonts w:ascii="Calibri" w:hAnsi="Calibri"/>
                <w:b/>
                <w:bCs/>
                <w:sz w:val="20"/>
                <w:lang w:eastAsia="it-IT"/>
              </w:rPr>
              <w:t>Update as of end February 2016:</w:t>
            </w:r>
            <w:r w:rsidRPr="00CF69AA">
              <w:rPr>
                <w:rFonts w:ascii="Calibri" w:hAnsi="Calibri"/>
                <w:sz w:val="20"/>
                <w:lang w:eastAsia="it-IT"/>
              </w:rPr>
              <w:t xml:space="preserve"> In March 2016, the Financial Resources Management Department (FRMD) in collaboration with the Human Resources Management Department (HRMD), will define the requirements related to a global actuarial study for IPSAS 25. The relevant Call for Bids is scheduled to be published by the end of April 2016</w:t>
            </w:r>
            <w:r w:rsidR="002A057A">
              <w:rPr>
                <w:rFonts w:ascii="Calibri" w:hAnsi="Calibri"/>
                <w:sz w:val="20"/>
                <w:lang w:eastAsia="it-IT"/>
              </w:rPr>
              <w:t>.</w:t>
            </w:r>
          </w:p>
          <w:p w:rsidR="001C2244" w:rsidRDefault="00E244C1" w:rsidP="002A057A">
            <w:pPr>
              <w:widowControl w:val="0"/>
              <w:kinsoku w:val="0"/>
              <w:ind w:left="167" w:right="57"/>
              <w:rPr>
                <w:rFonts w:ascii="Calibri" w:hAnsi="Calibri"/>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 xml:space="preserve">December </w:t>
            </w:r>
            <w:r w:rsidR="0093428B">
              <w:rPr>
                <w:rFonts w:asciiTheme="majorHAnsi" w:hAnsiTheme="majorHAnsi"/>
                <w:b/>
                <w:bCs/>
                <w:sz w:val="20"/>
                <w:lang w:eastAsia="it-IT"/>
              </w:rPr>
              <w:t xml:space="preserve">2016: </w:t>
            </w:r>
            <w:r w:rsidR="007E4D7C" w:rsidRPr="00345F30">
              <w:rPr>
                <w:rFonts w:ascii="Calibri" w:hAnsi="Calibri"/>
                <w:sz w:val="20"/>
                <w:lang w:eastAsia="it-IT"/>
              </w:rPr>
              <w:t>A new actuar</w:t>
            </w:r>
            <w:r w:rsidR="002A057A">
              <w:rPr>
                <w:rFonts w:ascii="Calibri" w:hAnsi="Calibri"/>
                <w:sz w:val="20"/>
                <w:lang w:eastAsia="it-IT"/>
              </w:rPr>
              <w:t>y</w:t>
            </w:r>
            <w:r w:rsidR="007E4D7C" w:rsidRPr="00345F30">
              <w:rPr>
                <w:rFonts w:ascii="Calibri" w:hAnsi="Calibri"/>
                <w:sz w:val="20"/>
                <w:lang w:eastAsia="it-IT"/>
              </w:rPr>
              <w:t xml:space="preserve"> has been chosen to perform the IPSAS 25 related valuations. The result of the study will be include</w:t>
            </w:r>
            <w:r w:rsidR="006558FE">
              <w:rPr>
                <w:rFonts w:ascii="Calibri" w:hAnsi="Calibri"/>
                <w:sz w:val="20"/>
                <w:lang w:eastAsia="it-IT"/>
              </w:rPr>
              <w:t>d</w:t>
            </w:r>
            <w:r w:rsidR="007E4D7C" w:rsidRPr="006558FE">
              <w:rPr>
                <w:rFonts w:ascii="Calibri" w:hAnsi="Calibri"/>
                <w:sz w:val="20"/>
                <w:lang w:eastAsia="it-IT"/>
              </w:rPr>
              <w:t xml:space="preserve"> in the </w:t>
            </w:r>
            <w:r w:rsidR="002A057A">
              <w:rPr>
                <w:rFonts w:ascii="Calibri" w:hAnsi="Calibri"/>
                <w:sz w:val="20"/>
                <w:lang w:eastAsia="it-IT"/>
              </w:rPr>
              <w:t>F</w:t>
            </w:r>
            <w:r w:rsidR="007E4D7C" w:rsidRPr="006558FE">
              <w:rPr>
                <w:rFonts w:ascii="Calibri" w:hAnsi="Calibri"/>
                <w:sz w:val="20"/>
                <w:lang w:eastAsia="it-IT"/>
              </w:rPr>
              <w:t xml:space="preserve">inancial </w:t>
            </w:r>
            <w:r w:rsidR="002A057A">
              <w:rPr>
                <w:rFonts w:ascii="Calibri" w:hAnsi="Calibri"/>
                <w:sz w:val="20"/>
                <w:lang w:eastAsia="it-IT"/>
              </w:rPr>
              <w:t>O</w:t>
            </w:r>
            <w:r w:rsidR="007E4D7C" w:rsidRPr="006558FE">
              <w:rPr>
                <w:rFonts w:ascii="Calibri" w:hAnsi="Calibri"/>
                <w:sz w:val="20"/>
                <w:lang w:eastAsia="it-IT"/>
              </w:rPr>
              <w:t xml:space="preserve">perating </w:t>
            </w:r>
            <w:r w:rsidR="002A057A">
              <w:rPr>
                <w:rFonts w:ascii="Calibri" w:hAnsi="Calibri"/>
                <w:sz w:val="20"/>
                <w:lang w:eastAsia="it-IT"/>
              </w:rPr>
              <w:t>R</w:t>
            </w:r>
            <w:r w:rsidR="007E4D7C" w:rsidRPr="006558FE">
              <w:rPr>
                <w:rFonts w:ascii="Calibri" w:hAnsi="Calibri"/>
                <w:sz w:val="20"/>
                <w:lang w:eastAsia="it-IT"/>
              </w:rPr>
              <w:t>eport</w:t>
            </w:r>
            <w:r w:rsidR="00871229">
              <w:rPr>
                <w:rFonts w:ascii="Calibri" w:hAnsi="Calibri"/>
                <w:sz w:val="20"/>
                <w:lang w:eastAsia="it-IT"/>
              </w:rPr>
              <w:t xml:space="preserve"> 2016</w:t>
            </w:r>
            <w:r w:rsidR="002A057A">
              <w:rPr>
                <w:rFonts w:ascii="Calibri" w:hAnsi="Calibri"/>
                <w:sz w:val="20"/>
                <w:lang w:eastAsia="it-IT"/>
              </w:rPr>
              <w:t>.</w:t>
            </w:r>
          </w:p>
          <w:p w:rsidR="00CF69AA" w:rsidRPr="00BD506C" w:rsidRDefault="00CF69AA" w:rsidP="00A632F1">
            <w:pPr>
              <w:widowControl w:val="0"/>
              <w:kinsoku w:val="0"/>
              <w:ind w:left="167" w:right="57"/>
              <w:rPr>
                <w:rFonts w:ascii="Calibri" w:hAnsi="Calibri"/>
                <w:sz w:val="20"/>
                <w:lang w:eastAsia="it-IT"/>
              </w:rPr>
            </w:pPr>
          </w:p>
        </w:tc>
      </w:tr>
      <w:tr w:rsidR="002E69D7" w:rsidRPr="00BD506C" w:rsidTr="006558FE">
        <w:trPr>
          <w:cantSplit/>
          <w:trHeight w:val="2820"/>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2E69D7">
            <w:pPr>
              <w:widowControl w:val="0"/>
              <w:kinsoku w:val="0"/>
              <w:adjustRightInd/>
              <w:jc w:val="center"/>
              <w:rPr>
                <w:rFonts w:ascii="Calibri" w:hAnsi="Calibri"/>
                <w:b/>
                <w:bCs/>
                <w:sz w:val="20"/>
                <w:lang w:eastAsia="it-IT"/>
              </w:rPr>
            </w:pPr>
            <w:r w:rsidRPr="00BD506C">
              <w:rPr>
                <w:rFonts w:ascii="Calibri" w:hAnsi="Calibri"/>
                <w:b/>
                <w:bCs/>
                <w:sz w:val="20"/>
                <w:lang w:eastAsia="it-IT"/>
              </w:rPr>
              <w:t>Rec. 3</w:t>
            </w:r>
            <w:r>
              <w:rPr>
                <w:rFonts w:ascii="Calibri" w:hAnsi="Calibri"/>
                <w:b/>
                <w:bCs/>
                <w:sz w:val="20"/>
                <w:lang w:eastAsia="it-IT"/>
              </w:rPr>
              <w:t>/</w:t>
            </w:r>
            <w:r w:rsidRPr="00BD506C">
              <w:rPr>
                <w:rFonts w:ascii="Calibri" w:hAnsi="Calibri"/>
                <w:b/>
                <w:bCs/>
                <w:sz w:val="20"/>
                <w:lang w:eastAsia="it-IT"/>
              </w:rPr>
              <w:t>2014</w:t>
            </w:r>
          </w:p>
        </w:tc>
        <w:tc>
          <w:tcPr>
            <w:tcW w:w="1428"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ind w:left="93" w:right="57"/>
              <w:rPr>
                <w:rFonts w:ascii="Calibri" w:hAnsi="Calibri"/>
                <w:sz w:val="20"/>
                <w:lang w:eastAsia="it-IT"/>
              </w:rPr>
            </w:pPr>
            <w:r w:rsidRPr="00BD506C">
              <w:rPr>
                <w:rFonts w:ascii="Calibri" w:hAnsi="Calibri"/>
                <w:sz w:val="20"/>
                <w:lang w:eastAsia="it-IT"/>
              </w:rPr>
              <w:t xml:space="preserve">We </w:t>
            </w:r>
            <w:r w:rsidRPr="00BD506C">
              <w:rPr>
                <w:rFonts w:ascii="Calibri" w:hAnsi="Calibri"/>
                <w:sz w:val="20"/>
                <w:u w:val="single"/>
                <w:lang w:eastAsia="it-IT"/>
              </w:rPr>
              <w:t>recommend</w:t>
            </w:r>
            <w:r w:rsidRPr="00BD506C">
              <w:rPr>
                <w:rFonts w:ascii="Calibri" w:hAnsi="Calibri"/>
                <w:sz w:val="20"/>
                <w:lang w:eastAsia="it-IT"/>
              </w:rPr>
              <w:t xml:space="preserve"> Management to perform a full actuarial review study, to evaluate when the ITU financial health, in the long-term scenario, might be compromised by the provisions of the Health Insurance Scheme. However, considering that the transition to the new scheme is still in progress, this study has to be performed after the separation from the SHIF and after sufficient data is available under the CMIP, not before the end of 2016. This recommendation replaces the previous n. 6/2012 and n. 3/2013, which are to be considered closed.</w:t>
            </w:r>
          </w:p>
          <w:p w:rsidR="002E69D7" w:rsidRPr="00BD506C" w:rsidRDefault="002E69D7" w:rsidP="00B90E87">
            <w:pPr>
              <w:widowControl w:val="0"/>
              <w:kinsoku w:val="0"/>
              <w:ind w:left="93" w:right="57"/>
              <w:rPr>
                <w:rFonts w:ascii="Calibri" w:hAnsi="Calibri"/>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ind w:left="233" w:right="57"/>
              <w:rPr>
                <w:rFonts w:ascii="Calibri" w:hAnsi="Calibri"/>
                <w:sz w:val="20"/>
                <w:lang w:eastAsia="it-IT"/>
              </w:rPr>
            </w:pPr>
            <w:r w:rsidRPr="00BD506C">
              <w:rPr>
                <w:rFonts w:ascii="Calibri" w:hAnsi="Calibri"/>
                <w:sz w:val="20"/>
                <w:lang w:eastAsia="it-IT"/>
              </w:rPr>
              <w:t>It is taken note of this recommendation. A full actuarial study will be performed according to the recommendation.</w:t>
            </w:r>
          </w:p>
          <w:p w:rsidR="002E69D7" w:rsidRPr="00BD506C" w:rsidRDefault="002E69D7" w:rsidP="00B90E87">
            <w:pPr>
              <w:widowControl w:val="0"/>
              <w:kinsoku w:val="0"/>
              <w:ind w:left="233" w:right="57"/>
              <w:rPr>
                <w:rFonts w:ascii="Calibri" w:hAnsi="Calibri"/>
                <w:sz w:val="20"/>
                <w:lang w:eastAsia="it-IT"/>
              </w:rPr>
            </w:pPr>
          </w:p>
        </w:tc>
        <w:tc>
          <w:tcPr>
            <w:tcW w:w="1595" w:type="pct"/>
            <w:tcBorders>
              <w:top w:val="single" w:sz="4" w:space="0" w:color="auto"/>
              <w:left w:val="single" w:sz="4" w:space="0" w:color="auto"/>
              <w:bottom w:val="single" w:sz="4" w:space="0" w:color="auto"/>
              <w:right w:val="single" w:sz="4" w:space="0" w:color="auto"/>
            </w:tcBorders>
          </w:tcPr>
          <w:p w:rsidR="006558FE" w:rsidRDefault="002E69D7" w:rsidP="004E5F0E">
            <w:pPr>
              <w:widowControl w:val="0"/>
              <w:kinsoku w:val="0"/>
              <w:ind w:left="167" w:right="57"/>
              <w:rPr>
                <w:rFonts w:ascii="Calibri" w:hAnsi="Calibri"/>
                <w:sz w:val="20"/>
                <w:lang w:eastAsia="it-IT"/>
              </w:rPr>
            </w:pPr>
            <w:r w:rsidRPr="00BD506C">
              <w:rPr>
                <w:rFonts w:ascii="Calibri" w:hAnsi="Calibri"/>
                <w:sz w:val="20"/>
                <w:lang w:eastAsia="it-IT"/>
              </w:rPr>
              <w:t>As recommended</w:t>
            </w:r>
            <w:r w:rsidR="002A057A">
              <w:rPr>
                <w:rFonts w:ascii="Calibri" w:hAnsi="Calibri"/>
                <w:sz w:val="20"/>
                <w:lang w:eastAsia="it-IT"/>
              </w:rPr>
              <w:t>,</w:t>
            </w:r>
            <w:r w:rsidRPr="00BD506C">
              <w:rPr>
                <w:rFonts w:ascii="Calibri" w:hAnsi="Calibri"/>
                <w:sz w:val="20"/>
                <w:lang w:eastAsia="it-IT"/>
              </w:rPr>
              <w:t xml:space="preserve"> a full actuarial study will be performed at the end of 2016 based on the data and results provided by the </w:t>
            </w:r>
            <w:r w:rsidR="00C81D54">
              <w:rPr>
                <w:rFonts w:ascii="Calibri" w:hAnsi="Calibri"/>
                <w:sz w:val="20"/>
                <w:lang w:eastAsia="it-IT"/>
              </w:rPr>
              <w:t>Collective Medical Insurance Plan (</w:t>
            </w:r>
            <w:r w:rsidRPr="00BD506C">
              <w:rPr>
                <w:rFonts w:ascii="Calibri" w:hAnsi="Calibri"/>
                <w:sz w:val="20"/>
                <w:lang w:eastAsia="it-IT"/>
              </w:rPr>
              <w:t>CMIP</w:t>
            </w:r>
            <w:r w:rsidR="00C81D54">
              <w:rPr>
                <w:rFonts w:ascii="Calibri" w:hAnsi="Calibri"/>
                <w:sz w:val="20"/>
                <w:lang w:eastAsia="it-IT"/>
              </w:rPr>
              <w:t>)</w:t>
            </w:r>
            <w:r w:rsidRPr="00BD506C">
              <w:rPr>
                <w:rFonts w:ascii="Calibri" w:hAnsi="Calibri"/>
                <w:sz w:val="20"/>
                <w:lang w:eastAsia="it-IT"/>
              </w:rPr>
              <w:t>.</w:t>
            </w:r>
          </w:p>
          <w:p w:rsidR="004E5F0E" w:rsidRDefault="004E5F0E" w:rsidP="004E5F0E">
            <w:pPr>
              <w:widowControl w:val="0"/>
              <w:kinsoku w:val="0"/>
              <w:ind w:left="167" w:right="57"/>
              <w:rPr>
                <w:rFonts w:ascii="Calibri" w:hAnsi="Calibri"/>
                <w:sz w:val="20"/>
                <w:lang w:eastAsia="it-IT"/>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r w:rsidRPr="00C81D54">
              <w:rPr>
                <w:rFonts w:asciiTheme="majorHAnsi" w:hAnsiTheme="majorHAnsi"/>
                <w:b/>
                <w:bCs/>
                <w:sz w:val="20"/>
                <w:lang w:eastAsia="it-IT"/>
              </w:rPr>
              <w:t>201</w:t>
            </w:r>
            <w:r>
              <w:rPr>
                <w:rFonts w:asciiTheme="majorHAnsi" w:hAnsiTheme="majorHAnsi"/>
                <w:b/>
                <w:bCs/>
                <w:sz w:val="20"/>
                <w:lang w:eastAsia="it-IT"/>
              </w:rPr>
              <w:t xml:space="preserve">6 : </w:t>
            </w:r>
            <w:r w:rsidRPr="004E5F0E">
              <w:rPr>
                <w:rFonts w:ascii="Calibri" w:hAnsi="Calibri"/>
                <w:sz w:val="20"/>
                <w:lang w:eastAsia="it-IT"/>
              </w:rPr>
              <w:t>The requirement of this study will be included in the main actuary study related to IPSAS 25</w:t>
            </w:r>
            <w:r w:rsidR="00F02683">
              <w:rPr>
                <w:rFonts w:ascii="Calibri" w:hAnsi="Calibri"/>
                <w:sz w:val="20"/>
                <w:lang w:eastAsia="it-IT"/>
              </w:rPr>
              <w:t xml:space="preserve"> (Rec 2/2014)</w:t>
            </w:r>
          </w:p>
          <w:p w:rsidR="007E4D7C" w:rsidRPr="00BD506C" w:rsidRDefault="00E244C1" w:rsidP="0099697C">
            <w:pPr>
              <w:widowControl w:val="0"/>
              <w:kinsoku w:val="0"/>
              <w:ind w:left="167" w:right="57"/>
              <w:rPr>
                <w:rFonts w:ascii="Calibri" w:hAnsi="Calibri"/>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December 2016</w:t>
            </w:r>
            <w:r w:rsidR="006558FE">
              <w:rPr>
                <w:rFonts w:asciiTheme="majorHAnsi" w:hAnsiTheme="majorHAnsi"/>
                <w:b/>
                <w:bCs/>
                <w:sz w:val="20"/>
                <w:lang w:eastAsia="it-IT"/>
              </w:rPr>
              <w:t>:</w:t>
            </w:r>
            <w:r w:rsidR="006558FE">
              <w:rPr>
                <w:rFonts w:asciiTheme="majorHAnsi" w:hAnsiTheme="majorHAnsi"/>
                <w:sz w:val="20"/>
                <w:lang w:eastAsia="it-IT"/>
              </w:rPr>
              <w:t xml:space="preserve"> New </w:t>
            </w:r>
            <w:r w:rsidR="007E4D7C" w:rsidRPr="006558FE">
              <w:rPr>
                <w:rFonts w:asciiTheme="majorHAnsi" w:hAnsiTheme="majorHAnsi"/>
                <w:sz w:val="20"/>
                <w:lang w:eastAsia="it-IT"/>
              </w:rPr>
              <w:t xml:space="preserve">actuaries has been chosen to </w:t>
            </w:r>
            <w:r w:rsidR="006558FE" w:rsidRPr="006558FE">
              <w:rPr>
                <w:rFonts w:asciiTheme="majorHAnsi" w:hAnsiTheme="majorHAnsi"/>
                <w:sz w:val="20"/>
                <w:lang w:eastAsia="it-IT"/>
              </w:rPr>
              <w:t xml:space="preserve">perform </w:t>
            </w:r>
            <w:r w:rsidR="006558FE">
              <w:rPr>
                <w:rFonts w:asciiTheme="majorHAnsi" w:hAnsiTheme="majorHAnsi"/>
                <w:sz w:val="20"/>
                <w:lang w:eastAsia="it-IT"/>
              </w:rPr>
              <w:t>a</w:t>
            </w:r>
            <w:r w:rsidR="006558FE" w:rsidRPr="006558FE">
              <w:rPr>
                <w:rFonts w:asciiTheme="majorHAnsi" w:hAnsiTheme="majorHAnsi"/>
                <w:sz w:val="20"/>
                <w:lang w:eastAsia="it-IT"/>
              </w:rPr>
              <w:t xml:space="preserve"> full actuarial study </w:t>
            </w:r>
            <w:r w:rsidR="006558FE">
              <w:rPr>
                <w:rFonts w:asciiTheme="majorHAnsi" w:hAnsiTheme="majorHAnsi"/>
                <w:sz w:val="20"/>
                <w:lang w:eastAsia="it-IT"/>
              </w:rPr>
              <w:t>o</w:t>
            </w:r>
            <w:r w:rsidR="006558FE" w:rsidRPr="006558FE">
              <w:rPr>
                <w:rFonts w:asciiTheme="majorHAnsi" w:hAnsiTheme="majorHAnsi"/>
                <w:sz w:val="20"/>
                <w:lang w:eastAsia="it-IT"/>
              </w:rPr>
              <w:t>f the Health Insurance Scheme</w:t>
            </w:r>
            <w:r w:rsidR="007E4D7C" w:rsidRPr="006558FE">
              <w:rPr>
                <w:rFonts w:asciiTheme="majorHAnsi" w:hAnsiTheme="majorHAnsi"/>
                <w:sz w:val="20"/>
                <w:lang w:eastAsia="it-IT"/>
              </w:rPr>
              <w:t xml:space="preserve">. </w:t>
            </w:r>
          </w:p>
        </w:tc>
      </w:tr>
      <w:tr w:rsidR="002E69D7" w:rsidRPr="00871229" w:rsidTr="006558FE">
        <w:trPr>
          <w:cantSplit/>
          <w:trHeight w:val="1560"/>
        </w:trPr>
        <w:tc>
          <w:tcPr>
            <w:tcW w:w="461" w:type="pct"/>
            <w:tcBorders>
              <w:top w:val="single" w:sz="4" w:space="0" w:color="auto"/>
              <w:left w:val="single" w:sz="4" w:space="0" w:color="auto"/>
              <w:bottom w:val="single" w:sz="4" w:space="0" w:color="auto"/>
              <w:right w:val="single" w:sz="4" w:space="0" w:color="auto"/>
            </w:tcBorders>
          </w:tcPr>
          <w:p w:rsidR="002E69D7" w:rsidRPr="00BD506C" w:rsidRDefault="002E69D7" w:rsidP="002E69D7">
            <w:pPr>
              <w:widowControl w:val="0"/>
              <w:kinsoku w:val="0"/>
              <w:adjustRightInd/>
              <w:jc w:val="center"/>
              <w:rPr>
                <w:rFonts w:ascii="Calibri" w:hAnsi="Calibri"/>
                <w:b/>
                <w:bCs/>
                <w:sz w:val="20"/>
                <w:lang w:eastAsia="it-IT"/>
              </w:rPr>
            </w:pPr>
            <w:r w:rsidRPr="00BD506C">
              <w:rPr>
                <w:rFonts w:ascii="Calibri" w:hAnsi="Calibri"/>
                <w:b/>
                <w:bCs/>
                <w:sz w:val="20"/>
                <w:lang w:eastAsia="it-IT"/>
              </w:rPr>
              <w:t>Rec. 4</w:t>
            </w:r>
            <w:r>
              <w:rPr>
                <w:rFonts w:ascii="Calibri" w:hAnsi="Calibri"/>
                <w:b/>
                <w:bCs/>
                <w:sz w:val="20"/>
                <w:lang w:eastAsia="it-IT"/>
              </w:rPr>
              <w:t>/</w:t>
            </w:r>
            <w:r w:rsidRPr="00BD506C">
              <w:rPr>
                <w:rFonts w:ascii="Calibri" w:hAnsi="Calibri"/>
                <w:b/>
                <w:bCs/>
                <w:sz w:val="20"/>
                <w:lang w:eastAsia="it-IT"/>
              </w:rPr>
              <w:t>2014</w:t>
            </w:r>
          </w:p>
        </w:tc>
        <w:tc>
          <w:tcPr>
            <w:tcW w:w="1428" w:type="pct"/>
            <w:tcBorders>
              <w:top w:val="single" w:sz="4" w:space="0" w:color="auto"/>
              <w:left w:val="single" w:sz="4" w:space="0" w:color="auto"/>
              <w:bottom w:val="single" w:sz="4" w:space="0" w:color="auto"/>
              <w:right w:val="single" w:sz="4" w:space="0" w:color="auto"/>
            </w:tcBorders>
          </w:tcPr>
          <w:p w:rsidR="002E69D7" w:rsidRPr="00BD506C" w:rsidRDefault="002E69D7" w:rsidP="00B90E87">
            <w:pPr>
              <w:widowControl w:val="0"/>
              <w:kinsoku w:val="0"/>
              <w:ind w:left="93" w:right="57"/>
              <w:rPr>
                <w:rFonts w:ascii="Calibri" w:hAnsi="Calibri"/>
                <w:sz w:val="20"/>
                <w:lang w:eastAsia="it-IT"/>
              </w:rPr>
            </w:pPr>
            <w:r w:rsidRPr="00BD506C">
              <w:rPr>
                <w:rFonts w:ascii="Calibri" w:hAnsi="Calibri"/>
                <w:sz w:val="20"/>
                <w:lang w:eastAsia="it-IT"/>
              </w:rPr>
              <w:t>As remedial measures are needed, these drivers might be considered by the Council: we</w:t>
            </w:r>
            <w:r w:rsidRPr="00BD506C">
              <w:rPr>
                <w:rFonts w:ascii="Calibri" w:hAnsi="Calibri"/>
                <w:sz w:val="20"/>
                <w:u w:val="single"/>
                <w:lang w:eastAsia="it-IT"/>
              </w:rPr>
              <w:t xml:space="preserve"> recommend</w:t>
            </w:r>
            <w:r w:rsidRPr="00BD506C">
              <w:rPr>
                <w:rFonts w:ascii="Calibri" w:hAnsi="Calibri"/>
                <w:sz w:val="20"/>
                <w:lang w:eastAsia="it-IT"/>
              </w:rPr>
              <w:t xml:space="preserve"> Management, to monitor these drivers to ensure adequate pay-as-you-go and long-term funding</w:t>
            </w:r>
          </w:p>
        </w:tc>
        <w:tc>
          <w:tcPr>
            <w:tcW w:w="1516" w:type="pct"/>
            <w:tcBorders>
              <w:top w:val="single" w:sz="4" w:space="0" w:color="auto"/>
              <w:left w:val="single" w:sz="4" w:space="0" w:color="auto"/>
              <w:bottom w:val="single" w:sz="4" w:space="0" w:color="auto"/>
              <w:right w:val="single" w:sz="4" w:space="0" w:color="auto"/>
            </w:tcBorders>
          </w:tcPr>
          <w:p w:rsidR="002E69D7" w:rsidRPr="00BD506C" w:rsidRDefault="002E69D7" w:rsidP="00D6054C">
            <w:pPr>
              <w:widowControl w:val="0"/>
              <w:kinsoku w:val="0"/>
              <w:ind w:right="57"/>
              <w:rPr>
                <w:rFonts w:ascii="Calibri" w:hAnsi="Calibri"/>
                <w:sz w:val="20"/>
                <w:lang w:eastAsia="it-IT"/>
              </w:rPr>
            </w:pPr>
            <w:r w:rsidRPr="00BD506C">
              <w:rPr>
                <w:rFonts w:ascii="Calibri" w:hAnsi="Calibri"/>
                <w:sz w:val="20"/>
                <w:lang w:eastAsia="it-IT"/>
              </w:rPr>
              <w:t xml:space="preserve">The funding of the health Insurance on a pay-as-you-go basis as well as of the ASHI actuarial liability is of upmost concern for the Union and is carefully monitored. The drivers mentioned here above have been, among others, taken into account while planning the transition to the CMIP and producing the 2014-2015 budget, the 2016-2019 financial plan as well as the 2016-2017 budget, which will be presented during Council 2015. The continuous monitoring of the CMIP results with regular pro-active communication with all the stakeholders and timely proposed </w:t>
            </w:r>
            <w:r w:rsidR="00CC106C" w:rsidRPr="00BD506C">
              <w:rPr>
                <w:rFonts w:ascii="Calibri" w:hAnsi="Calibri"/>
                <w:sz w:val="20"/>
                <w:lang w:eastAsia="it-IT"/>
              </w:rPr>
              <w:t>adjustments</w:t>
            </w:r>
            <w:r w:rsidRPr="00BD506C">
              <w:rPr>
                <w:rFonts w:ascii="Calibri" w:hAnsi="Calibri"/>
                <w:sz w:val="20"/>
                <w:lang w:eastAsia="it-IT"/>
              </w:rPr>
              <w:t xml:space="preserve"> and decisions will enable the funding on a pay-as-you-go-basis.</w:t>
            </w:r>
          </w:p>
        </w:tc>
        <w:tc>
          <w:tcPr>
            <w:tcW w:w="1595" w:type="pct"/>
            <w:tcBorders>
              <w:top w:val="single" w:sz="4" w:space="0" w:color="auto"/>
              <w:left w:val="single" w:sz="4" w:space="0" w:color="auto"/>
              <w:bottom w:val="single" w:sz="4" w:space="0" w:color="auto"/>
              <w:right w:val="single" w:sz="4" w:space="0" w:color="auto"/>
            </w:tcBorders>
          </w:tcPr>
          <w:p w:rsidR="003E5F22" w:rsidRDefault="002E69D7" w:rsidP="00E93E3A">
            <w:pPr>
              <w:widowControl w:val="0"/>
              <w:kinsoku w:val="0"/>
              <w:ind w:left="167" w:right="57"/>
              <w:rPr>
                <w:rFonts w:asciiTheme="majorHAnsi" w:hAnsiTheme="majorHAnsi"/>
                <w:b/>
                <w:bCs/>
                <w:sz w:val="20"/>
                <w:lang w:eastAsia="it-IT"/>
              </w:rPr>
            </w:pPr>
            <w:r w:rsidRPr="00BD506C">
              <w:rPr>
                <w:rFonts w:ascii="Calibri" w:hAnsi="Calibri"/>
                <w:sz w:val="20"/>
                <w:lang w:eastAsia="it-IT"/>
              </w:rPr>
              <w:t xml:space="preserve">The </w:t>
            </w:r>
            <w:r w:rsidR="00CC106C">
              <w:rPr>
                <w:rFonts w:ascii="Calibri" w:hAnsi="Calibri"/>
                <w:sz w:val="20"/>
                <w:lang w:eastAsia="it-IT"/>
              </w:rPr>
              <w:t>M</w:t>
            </w:r>
            <w:r w:rsidRPr="00BD506C">
              <w:rPr>
                <w:rFonts w:ascii="Calibri" w:hAnsi="Calibri"/>
                <w:sz w:val="20"/>
                <w:lang w:eastAsia="it-IT"/>
              </w:rPr>
              <w:t>anagement follows this recommendation</w:t>
            </w:r>
            <w:r w:rsidR="00DE0FB0">
              <w:rPr>
                <w:rFonts w:ascii="Calibri" w:hAnsi="Calibri"/>
                <w:sz w:val="20"/>
                <w:lang w:eastAsia="it-IT"/>
              </w:rPr>
              <w:t xml:space="preserve"> </w:t>
            </w:r>
            <w:r w:rsidRPr="00BD506C">
              <w:rPr>
                <w:rFonts w:ascii="Calibri" w:hAnsi="Calibri"/>
                <w:sz w:val="20"/>
                <w:lang w:eastAsia="it-IT"/>
              </w:rPr>
              <w:t>and monitor</w:t>
            </w:r>
            <w:r w:rsidR="00CC106C">
              <w:rPr>
                <w:rFonts w:ascii="Calibri" w:hAnsi="Calibri"/>
                <w:sz w:val="20"/>
                <w:lang w:eastAsia="it-IT"/>
              </w:rPr>
              <w:t>s</w:t>
            </w:r>
            <w:r w:rsidRPr="00BD506C">
              <w:rPr>
                <w:rFonts w:ascii="Calibri" w:hAnsi="Calibri"/>
                <w:sz w:val="20"/>
                <w:lang w:eastAsia="it-IT"/>
              </w:rPr>
              <w:t xml:space="preserve"> </w:t>
            </w:r>
            <w:r w:rsidR="003B63BB" w:rsidRPr="00BD506C">
              <w:rPr>
                <w:rFonts w:ascii="Calibri" w:hAnsi="Calibri"/>
                <w:sz w:val="20"/>
                <w:lang w:eastAsia="it-IT"/>
              </w:rPr>
              <w:t>carefully the</w:t>
            </w:r>
            <w:r w:rsidRPr="00BD506C">
              <w:rPr>
                <w:rFonts w:ascii="Calibri" w:hAnsi="Calibri"/>
                <w:sz w:val="20"/>
                <w:lang w:eastAsia="it-IT"/>
              </w:rPr>
              <w:t xml:space="preserve"> different drivers to ensure ITU</w:t>
            </w:r>
            <w:r w:rsidR="000F4B41">
              <w:rPr>
                <w:rFonts w:ascii="Calibri" w:hAnsi="Calibri"/>
                <w:sz w:val="20"/>
                <w:lang w:eastAsia="it-IT"/>
              </w:rPr>
              <w:t>’s good</w:t>
            </w:r>
            <w:r w:rsidRPr="00BD506C">
              <w:rPr>
                <w:rFonts w:ascii="Calibri" w:hAnsi="Calibri"/>
                <w:sz w:val="20"/>
                <w:lang w:eastAsia="it-IT"/>
              </w:rPr>
              <w:t xml:space="preserve"> financial health.</w:t>
            </w:r>
          </w:p>
          <w:p w:rsidR="001C2244" w:rsidRPr="003E5F22" w:rsidRDefault="00E244C1" w:rsidP="00D95C37">
            <w:pPr>
              <w:widowControl w:val="0"/>
              <w:kinsoku w:val="0"/>
              <w:ind w:left="167" w:right="57"/>
              <w:rPr>
                <w:rFonts w:ascii="Calibri" w:hAnsi="Calibri"/>
                <w:bCs/>
                <w:sz w:val="20"/>
                <w:lang w:val="en-US"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December 2016</w:t>
            </w:r>
            <w:r w:rsidR="006558FE" w:rsidRPr="00D6054C">
              <w:rPr>
                <w:rFonts w:asciiTheme="majorHAnsi" w:hAnsiTheme="majorHAnsi"/>
                <w:sz w:val="20"/>
                <w:lang w:eastAsia="it-IT"/>
              </w:rPr>
              <w:t xml:space="preserve">: The management </w:t>
            </w:r>
            <w:r w:rsidR="00E3611F" w:rsidRPr="00D6054C">
              <w:rPr>
                <w:rFonts w:asciiTheme="majorHAnsi" w:hAnsiTheme="majorHAnsi"/>
                <w:sz w:val="20"/>
                <w:lang w:eastAsia="it-IT"/>
              </w:rPr>
              <w:t xml:space="preserve">still monitors carefully </w:t>
            </w:r>
            <w:r w:rsidR="006558FE" w:rsidRPr="00D6054C">
              <w:rPr>
                <w:rFonts w:asciiTheme="majorHAnsi" w:hAnsiTheme="majorHAnsi"/>
                <w:sz w:val="20"/>
                <w:lang w:eastAsia="it-IT"/>
              </w:rPr>
              <w:t>the drivers</w:t>
            </w:r>
            <w:r w:rsidR="00E3611F" w:rsidRPr="00D6054C">
              <w:rPr>
                <w:rFonts w:asciiTheme="majorHAnsi" w:hAnsiTheme="majorHAnsi"/>
                <w:sz w:val="20"/>
                <w:lang w:eastAsia="it-IT"/>
              </w:rPr>
              <w:t xml:space="preserve"> and will review and adjust it based on the results of the global actuarial study</w:t>
            </w:r>
            <w:r w:rsidR="00E3611F">
              <w:rPr>
                <w:rFonts w:asciiTheme="majorHAnsi" w:hAnsiTheme="majorHAnsi"/>
                <w:sz w:val="20"/>
                <w:lang w:eastAsia="it-IT"/>
              </w:rPr>
              <w:t xml:space="preserve"> performed at the end of 2016</w:t>
            </w:r>
            <w:r w:rsidR="00E93E3A">
              <w:rPr>
                <w:rFonts w:asciiTheme="majorHAnsi" w:hAnsiTheme="majorHAnsi"/>
                <w:sz w:val="20"/>
                <w:lang w:eastAsia="it-IT"/>
              </w:rPr>
              <w:t>.</w:t>
            </w:r>
            <w:r w:rsidR="0099697C" w:rsidRPr="003E5F22">
              <w:rPr>
                <w:rFonts w:asciiTheme="majorHAnsi" w:hAnsiTheme="majorHAnsi"/>
                <w:sz w:val="20"/>
                <w:lang w:eastAsia="it-IT"/>
              </w:rPr>
              <w:t xml:space="preserve">Each year ITU Management presents the situation of the After-Service Health Insurance (ASHI) liability. ITU will continue to focus on cost containment with </w:t>
            </w:r>
            <w:r w:rsidR="003E5F22" w:rsidRPr="003E5F22">
              <w:rPr>
                <w:rFonts w:asciiTheme="majorHAnsi" w:hAnsiTheme="majorHAnsi"/>
                <w:sz w:val="20"/>
                <w:lang w:eastAsia="it-IT"/>
              </w:rPr>
              <w:t>the service</w:t>
            </w:r>
            <w:r w:rsidR="0099697C" w:rsidRPr="003E5F22">
              <w:rPr>
                <w:rFonts w:asciiTheme="majorHAnsi" w:hAnsiTheme="majorHAnsi"/>
                <w:sz w:val="20"/>
                <w:lang w:eastAsia="it-IT"/>
              </w:rPr>
              <w:t xml:space="preserve"> provider and has proposed an increase in the percentage of contributions for the CMIP members and for ITU in the 2016-2017 budget in order to ensure the financing of health insurance on a pay-as-you-go basis. Furthermore, ITU will continue to fund the ASHI reserve as far as possible according to the budgetary surpluses</w:t>
            </w:r>
            <w:r w:rsidR="003E5F22">
              <w:rPr>
                <w:rFonts w:asciiTheme="majorHAnsi" w:hAnsiTheme="majorHAnsi"/>
                <w:sz w:val="20"/>
                <w:lang w:eastAsia="it-IT"/>
              </w:rPr>
              <w:t>.</w:t>
            </w:r>
          </w:p>
        </w:tc>
      </w:tr>
      <w:tr w:rsidR="002E69D7" w:rsidRPr="0093428B" w:rsidTr="006558FE">
        <w:trPr>
          <w:cantSplit/>
          <w:trHeight w:val="1560"/>
        </w:trPr>
        <w:tc>
          <w:tcPr>
            <w:tcW w:w="461" w:type="pct"/>
            <w:tcBorders>
              <w:top w:val="single" w:sz="4" w:space="0" w:color="auto"/>
              <w:left w:val="single" w:sz="4" w:space="0" w:color="auto"/>
              <w:bottom w:val="single" w:sz="4" w:space="0" w:color="auto"/>
              <w:right w:val="single" w:sz="4" w:space="0" w:color="auto"/>
            </w:tcBorders>
          </w:tcPr>
          <w:p w:rsidR="002E69D7" w:rsidRPr="00D6054C" w:rsidRDefault="002E69D7" w:rsidP="00B90E87">
            <w:pPr>
              <w:widowControl w:val="0"/>
              <w:kinsoku w:val="0"/>
              <w:adjustRightInd/>
              <w:jc w:val="center"/>
              <w:rPr>
                <w:rFonts w:asciiTheme="majorHAnsi" w:hAnsiTheme="majorHAnsi"/>
                <w:b/>
                <w:bCs/>
                <w:sz w:val="20"/>
                <w:lang w:val="fr-CH" w:eastAsia="it-IT"/>
              </w:rPr>
            </w:pPr>
            <w:r w:rsidRPr="00D6054C">
              <w:rPr>
                <w:rFonts w:asciiTheme="majorHAnsi" w:hAnsiTheme="majorHAnsi"/>
                <w:b/>
                <w:bCs/>
                <w:sz w:val="20"/>
                <w:lang w:val="fr-CH" w:eastAsia="it-IT"/>
              </w:rPr>
              <w:t>Rec. 3/2012</w:t>
            </w:r>
          </w:p>
          <w:p w:rsidR="002E69D7" w:rsidRPr="00D6054C" w:rsidRDefault="002E69D7" w:rsidP="00B90E87">
            <w:pPr>
              <w:widowControl w:val="0"/>
              <w:kinsoku w:val="0"/>
              <w:adjustRightInd/>
              <w:jc w:val="center"/>
              <w:rPr>
                <w:rFonts w:asciiTheme="majorHAnsi" w:hAnsiTheme="majorHAnsi"/>
                <w:sz w:val="20"/>
                <w:lang w:val="fr-CH" w:eastAsia="it-IT"/>
              </w:rPr>
            </w:pPr>
          </w:p>
        </w:tc>
        <w:tc>
          <w:tcPr>
            <w:tcW w:w="1428" w:type="pct"/>
            <w:tcBorders>
              <w:top w:val="single" w:sz="4" w:space="0" w:color="auto"/>
              <w:left w:val="single" w:sz="4" w:space="0" w:color="auto"/>
              <w:bottom w:val="single" w:sz="4" w:space="0" w:color="auto"/>
              <w:right w:val="single" w:sz="4" w:space="0" w:color="auto"/>
            </w:tcBorders>
          </w:tcPr>
          <w:p w:rsidR="002E69D7" w:rsidRPr="003E5F22" w:rsidRDefault="002E69D7" w:rsidP="00B90E87">
            <w:pPr>
              <w:widowControl w:val="0"/>
              <w:kinsoku w:val="0"/>
              <w:ind w:left="57" w:right="57"/>
              <w:rPr>
                <w:rFonts w:asciiTheme="majorHAnsi" w:hAnsiTheme="majorHAnsi"/>
                <w:b/>
                <w:bCs/>
                <w:i/>
                <w:iCs/>
                <w:sz w:val="20"/>
                <w:lang w:val="en-US" w:eastAsia="it-IT"/>
              </w:rPr>
            </w:pPr>
            <w:r w:rsidRPr="003E5F22">
              <w:rPr>
                <w:rFonts w:asciiTheme="majorHAnsi" w:hAnsiTheme="majorHAnsi"/>
                <w:b/>
                <w:bCs/>
                <w:i/>
                <w:iCs/>
                <w:sz w:val="20"/>
                <w:lang w:val="en-US" w:eastAsia="it-IT"/>
              </w:rPr>
              <w:t xml:space="preserve">“Droit de </w:t>
            </w:r>
            <w:proofErr w:type="spellStart"/>
            <w:r w:rsidRPr="003E5F22">
              <w:rPr>
                <w:rFonts w:asciiTheme="majorHAnsi" w:hAnsiTheme="majorHAnsi"/>
                <w:b/>
                <w:bCs/>
                <w:i/>
                <w:iCs/>
                <w:sz w:val="20"/>
                <w:lang w:val="en-US" w:eastAsia="it-IT"/>
              </w:rPr>
              <w:t>superficie</w:t>
            </w:r>
            <w:proofErr w:type="spellEnd"/>
            <w:r w:rsidRPr="003E5F22">
              <w:rPr>
                <w:rFonts w:asciiTheme="majorHAnsi" w:hAnsiTheme="majorHAnsi"/>
                <w:b/>
                <w:bCs/>
                <w:i/>
                <w:iCs/>
                <w:sz w:val="20"/>
                <w:lang w:val="en-US" w:eastAsia="it-IT"/>
              </w:rPr>
              <w:t>”</w:t>
            </w:r>
          </w:p>
          <w:p w:rsidR="002E69D7" w:rsidRDefault="002E69D7" w:rsidP="00B90E87">
            <w:pPr>
              <w:widowControl w:val="0"/>
              <w:kinsoku w:val="0"/>
              <w:ind w:left="57" w:right="57"/>
              <w:rPr>
                <w:rFonts w:asciiTheme="majorHAnsi" w:hAnsiTheme="majorHAnsi"/>
                <w:sz w:val="20"/>
                <w:lang w:eastAsia="it-IT"/>
              </w:rPr>
            </w:pPr>
            <w:r w:rsidRPr="003E5F22">
              <w:rPr>
                <w:rFonts w:asciiTheme="majorHAnsi" w:hAnsiTheme="majorHAnsi"/>
                <w:sz w:val="20"/>
                <w:lang w:val="en-US" w:eastAsia="it-IT"/>
              </w:rPr>
              <w:t xml:space="preserve">Considering that it is important and in </w:t>
            </w:r>
            <w:r w:rsidRPr="00C81D54">
              <w:rPr>
                <w:rFonts w:asciiTheme="majorHAnsi" w:hAnsiTheme="majorHAnsi"/>
                <w:sz w:val="20"/>
                <w:lang w:eastAsia="it-IT"/>
              </w:rPr>
              <w:t xml:space="preserve">ITU’s interest to extend the “droit de </w:t>
            </w:r>
            <w:proofErr w:type="spellStart"/>
            <w:r w:rsidRPr="00C81D54">
              <w:rPr>
                <w:rFonts w:asciiTheme="majorHAnsi" w:hAnsiTheme="majorHAnsi"/>
                <w:sz w:val="20"/>
                <w:lang w:eastAsia="it-IT"/>
              </w:rPr>
              <w:t>superficie</w:t>
            </w:r>
            <w:proofErr w:type="spellEnd"/>
            <w:r w:rsidRPr="00C81D54">
              <w:rPr>
                <w:rFonts w:asciiTheme="majorHAnsi" w:hAnsiTheme="majorHAnsi"/>
                <w:sz w:val="20"/>
                <w:lang w:eastAsia="it-IT"/>
              </w:rPr>
              <w:t>” granted to ITU by the State of Geneva since 1967, we recommend Management to start, as soon as possible, the negotiations in this respect with the competent Host Country Authorities.</w:t>
            </w:r>
          </w:p>
          <w:p w:rsidR="006F74C5" w:rsidRDefault="006F74C5" w:rsidP="00B90E87">
            <w:pPr>
              <w:widowControl w:val="0"/>
              <w:kinsoku w:val="0"/>
              <w:ind w:left="57" w:right="57"/>
              <w:rPr>
                <w:rFonts w:asciiTheme="majorHAnsi" w:hAnsiTheme="majorHAnsi"/>
                <w:sz w:val="20"/>
                <w:lang w:eastAsia="it-IT"/>
              </w:rPr>
            </w:pPr>
          </w:p>
          <w:p w:rsidR="006F74C5" w:rsidRDefault="006F74C5" w:rsidP="00B90E87">
            <w:pPr>
              <w:widowControl w:val="0"/>
              <w:kinsoku w:val="0"/>
              <w:ind w:left="57" w:right="57"/>
              <w:rPr>
                <w:rFonts w:asciiTheme="majorHAnsi" w:hAnsiTheme="majorHAnsi"/>
                <w:sz w:val="20"/>
                <w:lang w:eastAsia="it-IT"/>
              </w:rPr>
            </w:pPr>
          </w:p>
          <w:p w:rsidR="006F74C5" w:rsidRPr="00C81D54" w:rsidRDefault="006F74C5" w:rsidP="00B90E87">
            <w:pPr>
              <w:widowControl w:val="0"/>
              <w:kinsoku w:val="0"/>
              <w:ind w:left="57" w:right="57"/>
              <w:rPr>
                <w:rFonts w:asciiTheme="majorHAnsi" w:hAnsiTheme="majorHAnsi"/>
                <w:b/>
                <w:i/>
                <w:sz w:val="20"/>
                <w:lang w:eastAsia="it-IT"/>
              </w:rPr>
            </w:pPr>
          </w:p>
        </w:tc>
        <w:tc>
          <w:tcPr>
            <w:tcW w:w="1516" w:type="pct"/>
            <w:tcBorders>
              <w:top w:val="single" w:sz="4" w:space="0" w:color="auto"/>
              <w:left w:val="single" w:sz="4" w:space="0" w:color="auto"/>
              <w:bottom w:val="single" w:sz="4" w:space="0" w:color="auto"/>
              <w:right w:val="single" w:sz="4" w:space="0" w:color="auto"/>
            </w:tcBorders>
          </w:tcPr>
          <w:p w:rsidR="002E69D7" w:rsidRDefault="002E69D7" w:rsidP="00B90E87">
            <w:pPr>
              <w:widowControl w:val="0"/>
              <w:kinsoku w:val="0"/>
              <w:ind w:left="233" w:right="57"/>
              <w:rPr>
                <w:rFonts w:asciiTheme="majorHAnsi" w:hAnsiTheme="majorHAnsi"/>
                <w:sz w:val="20"/>
                <w:lang w:eastAsia="it-IT"/>
              </w:rPr>
            </w:pPr>
            <w:r w:rsidRPr="00C81D54">
              <w:rPr>
                <w:rFonts w:asciiTheme="majorHAnsi" w:hAnsiTheme="majorHAnsi"/>
                <w:sz w:val="20"/>
                <w:lang w:eastAsia="it-IT"/>
              </w:rPr>
              <w:t>In January 2013, the Legal Adviser has already successfully contacted the Host Country competent Authorities in order to initiate a negotiation process.</w:t>
            </w:r>
          </w:p>
          <w:p w:rsidR="006F74C5" w:rsidRDefault="006F74C5" w:rsidP="00B90E87">
            <w:pPr>
              <w:widowControl w:val="0"/>
              <w:kinsoku w:val="0"/>
              <w:ind w:left="233" w:right="57"/>
              <w:rPr>
                <w:rFonts w:asciiTheme="majorHAnsi" w:hAnsiTheme="majorHAnsi"/>
                <w:sz w:val="20"/>
                <w:lang w:eastAsia="it-IT"/>
              </w:rPr>
            </w:pPr>
          </w:p>
          <w:p w:rsidR="006F74C5" w:rsidRDefault="006F74C5" w:rsidP="00B90E87">
            <w:pPr>
              <w:widowControl w:val="0"/>
              <w:kinsoku w:val="0"/>
              <w:ind w:left="233" w:right="57"/>
              <w:rPr>
                <w:rFonts w:asciiTheme="majorHAnsi" w:hAnsiTheme="majorHAnsi"/>
                <w:sz w:val="20"/>
                <w:lang w:eastAsia="it-IT"/>
              </w:rPr>
            </w:pPr>
          </w:p>
          <w:p w:rsidR="006F74C5" w:rsidRDefault="006F74C5" w:rsidP="00B90E87">
            <w:pPr>
              <w:widowControl w:val="0"/>
              <w:kinsoku w:val="0"/>
              <w:ind w:left="233" w:right="57"/>
              <w:rPr>
                <w:rFonts w:asciiTheme="majorHAnsi" w:hAnsiTheme="majorHAnsi"/>
                <w:sz w:val="20"/>
                <w:lang w:eastAsia="it-IT"/>
              </w:rPr>
            </w:pPr>
          </w:p>
          <w:p w:rsidR="006F74C5" w:rsidRDefault="006F74C5" w:rsidP="00B90E87">
            <w:pPr>
              <w:widowControl w:val="0"/>
              <w:kinsoku w:val="0"/>
              <w:ind w:left="233" w:right="57"/>
              <w:rPr>
                <w:rFonts w:asciiTheme="majorHAnsi" w:hAnsiTheme="majorHAnsi"/>
                <w:sz w:val="20"/>
                <w:lang w:eastAsia="it-IT"/>
              </w:rPr>
            </w:pPr>
          </w:p>
          <w:p w:rsidR="006F74C5" w:rsidRDefault="006F74C5" w:rsidP="00B90E87">
            <w:pPr>
              <w:widowControl w:val="0"/>
              <w:kinsoku w:val="0"/>
              <w:ind w:left="233" w:right="57"/>
              <w:rPr>
                <w:rFonts w:asciiTheme="majorHAnsi" w:hAnsiTheme="majorHAnsi"/>
                <w:sz w:val="20"/>
                <w:lang w:eastAsia="it-IT"/>
              </w:rPr>
            </w:pPr>
          </w:p>
          <w:p w:rsidR="006F74C5" w:rsidRDefault="006F74C5" w:rsidP="00B90E87">
            <w:pPr>
              <w:widowControl w:val="0"/>
              <w:kinsoku w:val="0"/>
              <w:ind w:left="233" w:right="57"/>
              <w:rPr>
                <w:rFonts w:asciiTheme="majorHAnsi" w:hAnsiTheme="majorHAnsi"/>
                <w:sz w:val="20"/>
                <w:lang w:eastAsia="it-IT"/>
              </w:rPr>
            </w:pPr>
          </w:p>
          <w:p w:rsidR="006F74C5" w:rsidRDefault="006F74C5" w:rsidP="00B90E87">
            <w:pPr>
              <w:widowControl w:val="0"/>
              <w:kinsoku w:val="0"/>
              <w:ind w:left="233" w:right="57"/>
              <w:rPr>
                <w:rFonts w:asciiTheme="majorHAnsi" w:hAnsiTheme="majorHAnsi"/>
                <w:sz w:val="20"/>
                <w:lang w:eastAsia="it-IT"/>
              </w:rPr>
            </w:pPr>
          </w:p>
          <w:p w:rsidR="006F74C5" w:rsidRPr="00C81D54" w:rsidRDefault="006F74C5" w:rsidP="0093428B">
            <w:pPr>
              <w:widowControl w:val="0"/>
              <w:kinsoku w:val="0"/>
              <w:ind w:left="233" w:right="57"/>
              <w:rPr>
                <w:rFonts w:asciiTheme="majorHAnsi" w:hAnsiTheme="majorHAnsi"/>
                <w:sz w:val="20"/>
                <w:lang w:eastAsia="it-IT"/>
              </w:rPr>
            </w:pPr>
          </w:p>
        </w:tc>
        <w:tc>
          <w:tcPr>
            <w:tcW w:w="1593" w:type="pct"/>
            <w:tcBorders>
              <w:top w:val="single" w:sz="4" w:space="0" w:color="auto"/>
              <w:left w:val="single" w:sz="4" w:space="0" w:color="auto"/>
              <w:bottom w:val="single" w:sz="4" w:space="0" w:color="auto"/>
              <w:right w:val="single" w:sz="4" w:space="0" w:color="auto"/>
            </w:tcBorders>
          </w:tcPr>
          <w:p w:rsidR="002E69D7" w:rsidRPr="00C81D54" w:rsidRDefault="002E69D7" w:rsidP="000F4B41">
            <w:pPr>
              <w:widowControl w:val="0"/>
              <w:kinsoku w:val="0"/>
              <w:ind w:left="57" w:right="57"/>
              <w:rPr>
                <w:rFonts w:asciiTheme="majorHAnsi" w:hAnsiTheme="majorHAnsi"/>
                <w:sz w:val="20"/>
                <w:lang w:eastAsia="it-IT"/>
              </w:rPr>
            </w:pPr>
            <w:r w:rsidRPr="00C81D54">
              <w:rPr>
                <w:rFonts w:asciiTheme="majorHAnsi" w:hAnsiTheme="majorHAnsi"/>
                <w:sz w:val="20"/>
                <w:lang w:eastAsia="it-IT"/>
              </w:rPr>
              <w:t>PP-14 decided the creation of a Council Working Group. The CWG will, with the support of the Secretariat, examine the status of HQ premises of the Union and continue to analyse the options so far submitted and any other proposal by Member States, for prudent treatment of the premises in the long-term, in order to prepare a recommendation for Council. The first meeting of the CWG took place on 28 January 2015</w:t>
            </w:r>
            <w:r w:rsidR="000F4B41" w:rsidRPr="00C81D54">
              <w:rPr>
                <w:rFonts w:asciiTheme="majorHAnsi" w:hAnsiTheme="majorHAnsi"/>
                <w:sz w:val="20"/>
                <w:lang w:eastAsia="it-IT"/>
              </w:rPr>
              <w:t>.</w:t>
            </w:r>
          </w:p>
          <w:p w:rsidR="002E69D7" w:rsidRDefault="00710493" w:rsidP="002E2CEC">
            <w:pPr>
              <w:widowControl w:val="0"/>
              <w:kinsoku w:val="0"/>
              <w:ind w:left="57" w:right="57"/>
              <w:rPr>
                <w:rFonts w:asciiTheme="majorHAnsi" w:hAnsiTheme="majorHAnsi"/>
                <w:sz w:val="20"/>
                <w:lang w:eastAsia="it-IT"/>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proofErr w:type="gramStart"/>
            <w:r w:rsidRPr="00C81D54">
              <w:rPr>
                <w:rFonts w:asciiTheme="majorHAnsi" w:hAnsiTheme="majorHAnsi"/>
                <w:b/>
                <w:bCs/>
                <w:sz w:val="20"/>
                <w:lang w:eastAsia="it-IT"/>
              </w:rPr>
              <w:t>201</w:t>
            </w:r>
            <w:r>
              <w:rPr>
                <w:rFonts w:asciiTheme="majorHAnsi" w:hAnsiTheme="majorHAnsi"/>
                <w:b/>
                <w:bCs/>
                <w:sz w:val="20"/>
                <w:lang w:eastAsia="it-IT"/>
              </w:rPr>
              <w:t xml:space="preserve">6 </w:t>
            </w:r>
            <w:r w:rsidR="003B63BB" w:rsidRPr="00C81D54">
              <w:rPr>
                <w:rFonts w:asciiTheme="majorHAnsi" w:hAnsiTheme="majorHAnsi"/>
                <w:b/>
                <w:bCs/>
                <w:sz w:val="20"/>
                <w:lang w:eastAsia="it-IT"/>
              </w:rPr>
              <w:t>:</w:t>
            </w:r>
            <w:proofErr w:type="gramEnd"/>
            <w:r w:rsidR="002E69D7" w:rsidRPr="00C81D54">
              <w:rPr>
                <w:rFonts w:asciiTheme="majorHAnsi" w:hAnsiTheme="majorHAnsi"/>
                <w:b/>
                <w:bCs/>
                <w:sz w:val="20"/>
                <w:lang w:eastAsia="it-IT"/>
              </w:rPr>
              <w:t xml:space="preserve"> </w:t>
            </w:r>
            <w:r w:rsidR="00213115" w:rsidRPr="00C81D54">
              <w:rPr>
                <w:rFonts w:asciiTheme="majorHAnsi" w:hAnsiTheme="majorHAnsi"/>
                <w:b/>
                <w:bCs/>
                <w:sz w:val="20"/>
                <w:lang w:eastAsia="it-IT"/>
              </w:rPr>
              <w:t xml:space="preserve"> </w:t>
            </w:r>
            <w:r w:rsidR="00213115" w:rsidRPr="00C81D54">
              <w:rPr>
                <w:rFonts w:asciiTheme="majorHAnsi" w:hAnsiTheme="majorHAnsi"/>
                <w:sz w:val="20"/>
                <w:lang w:eastAsia="it-IT"/>
              </w:rPr>
              <w:t>The work of the CWG on options for the Union's HQ premises</w:t>
            </w:r>
            <w:r w:rsidR="00213115" w:rsidRPr="00C81D54">
              <w:rPr>
                <w:rFonts w:asciiTheme="majorHAnsi" w:hAnsiTheme="majorHAnsi" w:cs="Segoe UI"/>
                <w:color w:val="000000"/>
                <w:sz w:val="20"/>
              </w:rPr>
              <w:t xml:space="preserve"> over </w:t>
            </w:r>
            <w:r w:rsidR="00213115" w:rsidRPr="0093428B">
              <w:rPr>
                <w:rFonts w:asciiTheme="majorHAnsi" w:hAnsiTheme="majorHAnsi"/>
                <w:color w:val="000000"/>
                <w:sz w:val="20"/>
              </w:rPr>
              <w:t xml:space="preserve">the long term is still </w:t>
            </w:r>
            <w:r w:rsidR="00213115" w:rsidRPr="002E2CEC">
              <w:rPr>
                <w:rFonts w:asciiTheme="majorHAnsi" w:hAnsiTheme="majorHAnsi"/>
                <w:color w:val="000000"/>
                <w:sz w:val="20"/>
              </w:rPr>
              <w:t>on</w:t>
            </w:r>
            <w:r w:rsidR="000F4B41" w:rsidRPr="002E2CEC">
              <w:rPr>
                <w:rFonts w:asciiTheme="majorHAnsi" w:hAnsiTheme="majorHAnsi"/>
                <w:color w:val="000000"/>
                <w:sz w:val="20"/>
              </w:rPr>
              <w:t>-</w:t>
            </w:r>
            <w:r w:rsidR="002E69D7" w:rsidRPr="002E2CEC">
              <w:rPr>
                <w:rFonts w:asciiTheme="majorHAnsi" w:hAnsiTheme="majorHAnsi"/>
                <w:sz w:val="20"/>
                <w:lang w:eastAsia="it-IT"/>
              </w:rPr>
              <w:t>going</w:t>
            </w:r>
            <w:r w:rsidR="002E69D7" w:rsidRPr="00C81D54">
              <w:rPr>
                <w:rFonts w:asciiTheme="majorHAnsi" w:hAnsiTheme="majorHAnsi"/>
                <w:sz w:val="20"/>
                <w:lang w:eastAsia="it-IT"/>
              </w:rPr>
              <w:t>.</w:t>
            </w:r>
            <w:r w:rsidR="00213115" w:rsidRPr="00C81D54">
              <w:rPr>
                <w:rFonts w:asciiTheme="majorHAnsi" w:hAnsiTheme="majorHAnsi"/>
                <w:sz w:val="20"/>
                <w:lang w:eastAsia="it-IT"/>
              </w:rPr>
              <w:t xml:space="preserve"> A second meeting was held on 28 </w:t>
            </w:r>
            <w:r w:rsidR="00DE0FB0" w:rsidRPr="00C81D54">
              <w:rPr>
                <w:rFonts w:asciiTheme="majorHAnsi" w:hAnsiTheme="majorHAnsi"/>
                <w:sz w:val="20"/>
                <w:lang w:eastAsia="it-IT"/>
              </w:rPr>
              <w:t>September</w:t>
            </w:r>
            <w:r w:rsidR="002E2CEC">
              <w:rPr>
                <w:rFonts w:asciiTheme="majorHAnsi" w:hAnsiTheme="majorHAnsi"/>
                <w:sz w:val="20"/>
                <w:lang w:eastAsia="it-IT"/>
              </w:rPr>
              <w:t xml:space="preserve"> 2015</w:t>
            </w:r>
            <w:r w:rsidR="00213115" w:rsidRPr="00C81D54">
              <w:rPr>
                <w:rFonts w:asciiTheme="majorHAnsi" w:hAnsiTheme="majorHAnsi"/>
                <w:sz w:val="20"/>
                <w:lang w:eastAsia="it-IT"/>
              </w:rPr>
              <w:t>.</w:t>
            </w:r>
          </w:p>
          <w:p w:rsidR="00E244C1" w:rsidRDefault="00E244C1" w:rsidP="002E2CEC">
            <w:pPr>
              <w:widowControl w:val="0"/>
              <w:kinsoku w:val="0"/>
              <w:ind w:left="57" w:right="57"/>
              <w:rPr>
                <w:rFonts w:asciiTheme="majorHAnsi" w:hAnsiTheme="majorHAnsi"/>
                <w:sz w:val="20"/>
                <w:lang w:eastAsia="it-IT"/>
              </w:rPr>
            </w:pPr>
          </w:p>
          <w:p w:rsidR="00E244C1" w:rsidRDefault="00E244C1" w:rsidP="00C571DA">
            <w:pPr>
              <w:widowControl w:val="0"/>
              <w:kinsoku w:val="0"/>
              <w:ind w:left="57" w:right="57"/>
              <w:rPr>
                <w:rFonts w:asciiTheme="majorHAnsi" w:hAnsiTheme="majorHAnsi"/>
                <w:b/>
                <w:bCs/>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December 2016</w:t>
            </w:r>
          </w:p>
          <w:p w:rsidR="0093428B" w:rsidRPr="0093428B" w:rsidRDefault="0093428B" w:rsidP="0093428B">
            <w:pPr>
              <w:ind w:right="57"/>
              <w:rPr>
                <w:rFonts w:asciiTheme="majorHAnsi" w:hAnsiTheme="majorHAnsi"/>
                <w:sz w:val="20"/>
                <w:lang w:eastAsia="it-IT"/>
              </w:rPr>
            </w:pPr>
            <w:r w:rsidRPr="0093428B">
              <w:rPr>
                <w:rFonts w:asciiTheme="majorHAnsi" w:hAnsiTheme="majorHAnsi"/>
                <w:sz w:val="20"/>
                <w:lang w:eastAsia="it-IT"/>
              </w:rPr>
              <w:t xml:space="preserve">The Council, by its Decision 588, decided to replace ITU’s </w:t>
            </w:r>
            <w:proofErr w:type="spellStart"/>
            <w:r w:rsidRPr="0093428B">
              <w:rPr>
                <w:rFonts w:asciiTheme="majorHAnsi" w:hAnsiTheme="majorHAnsi"/>
                <w:sz w:val="20"/>
                <w:lang w:eastAsia="it-IT"/>
              </w:rPr>
              <w:t>Varembé</w:t>
            </w:r>
            <w:proofErr w:type="spellEnd"/>
            <w:r w:rsidRPr="0093428B">
              <w:rPr>
                <w:rFonts w:asciiTheme="majorHAnsi" w:hAnsiTheme="majorHAnsi"/>
                <w:sz w:val="20"/>
                <w:lang w:eastAsia="it-IT"/>
              </w:rPr>
              <w:t xml:space="preserve"> building by a new construction that would also include the offices and facilities of the Tower building and complement the </w:t>
            </w:r>
            <w:proofErr w:type="spellStart"/>
            <w:r w:rsidRPr="0093428B">
              <w:rPr>
                <w:rFonts w:asciiTheme="majorHAnsi" w:hAnsiTheme="majorHAnsi"/>
                <w:sz w:val="20"/>
                <w:lang w:eastAsia="it-IT"/>
              </w:rPr>
              <w:t>Montbrillant</w:t>
            </w:r>
            <w:proofErr w:type="spellEnd"/>
            <w:r w:rsidRPr="0093428B">
              <w:rPr>
                <w:rFonts w:asciiTheme="majorHAnsi" w:hAnsiTheme="majorHAnsi"/>
                <w:sz w:val="20"/>
                <w:lang w:eastAsia="it-IT"/>
              </w:rPr>
              <w:t xml:space="preserve"> Building. In this context, the </w:t>
            </w:r>
            <w:r w:rsidR="00F67992" w:rsidRPr="00C81D54">
              <w:rPr>
                <w:rFonts w:asciiTheme="majorHAnsi" w:hAnsiTheme="majorHAnsi"/>
                <w:sz w:val="20"/>
                <w:lang w:eastAsia="it-IT"/>
              </w:rPr>
              <w:t xml:space="preserve">“droit de </w:t>
            </w:r>
            <w:proofErr w:type="spellStart"/>
            <w:r w:rsidR="00F67992" w:rsidRPr="00C81D54">
              <w:rPr>
                <w:rFonts w:asciiTheme="majorHAnsi" w:hAnsiTheme="majorHAnsi"/>
                <w:sz w:val="20"/>
                <w:lang w:eastAsia="it-IT"/>
              </w:rPr>
              <w:t>superficie</w:t>
            </w:r>
            <w:proofErr w:type="spellEnd"/>
            <w:r w:rsidR="00F67992" w:rsidRPr="00C81D54">
              <w:rPr>
                <w:rFonts w:asciiTheme="majorHAnsi" w:hAnsiTheme="majorHAnsi"/>
                <w:sz w:val="20"/>
                <w:lang w:eastAsia="it-IT"/>
              </w:rPr>
              <w:t xml:space="preserve">” </w:t>
            </w:r>
            <w:r w:rsidRPr="0093428B">
              <w:rPr>
                <w:rFonts w:asciiTheme="majorHAnsi" w:hAnsiTheme="majorHAnsi"/>
                <w:sz w:val="20"/>
                <w:lang w:eastAsia="it-IT"/>
              </w:rPr>
              <w:t xml:space="preserve">currently enjoyed by the ITU until 2079 for all of its buildings will have to be renegotiated with the Swiss authorities. However, the ITU has already obtained the insurances from the Swiss authorities that the conditions presently granted to the ITU cannot be revised downwards and that the 2079 deadline will not, in any event,  be questioned.  A working group composed of representatives from the ITU, the Canton of Geneva (landowner), the Swiss Confederation and FIPOI will be set up in early 2017 to discuss specifically the issue of the </w:t>
            </w:r>
            <w:r w:rsidR="00F67992" w:rsidRPr="00C81D54">
              <w:rPr>
                <w:rFonts w:asciiTheme="majorHAnsi" w:hAnsiTheme="majorHAnsi"/>
                <w:sz w:val="20"/>
                <w:lang w:eastAsia="it-IT"/>
              </w:rPr>
              <w:t xml:space="preserve">“droit de </w:t>
            </w:r>
            <w:proofErr w:type="spellStart"/>
            <w:r w:rsidR="00F67992" w:rsidRPr="00C81D54">
              <w:rPr>
                <w:rFonts w:asciiTheme="majorHAnsi" w:hAnsiTheme="majorHAnsi"/>
                <w:sz w:val="20"/>
                <w:lang w:eastAsia="it-IT"/>
              </w:rPr>
              <w:t>superficie</w:t>
            </w:r>
            <w:proofErr w:type="spellEnd"/>
            <w:r w:rsidR="00F67992" w:rsidRPr="00C81D54">
              <w:rPr>
                <w:rFonts w:asciiTheme="majorHAnsi" w:hAnsiTheme="majorHAnsi"/>
                <w:sz w:val="20"/>
                <w:lang w:eastAsia="it-IT"/>
              </w:rPr>
              <w:t>”</w:t>
            </w:r>
            <w:r w:rsidRPr="0093428B">
              <w:rPr>
                <w:rFonts w:asciiTheme="majorHAnsi" w:hAnsiTheme="majorHAnsi"/>
                <w:sz w:val="20"/>
                <w:lang w:eastAsia="it-IT"/>
              </w:rPr>
              <w:t>.</w:t>
            </w:r>
          </w:p>
          <w:p w:rsidR="0093428B" w:rsidRPr="00F67992" w:rsidRDefault="0093428B" w:rsidP="003A518B">
            <w:pPr>
              <w:widowControl w:val="0"/>
              <w:kinsoku w:val="0"/>
              <w:ind w:left="57" w:right="57"/>
              <w:rPr>
                <w:rFonts w:asciiTheme="majorHAnsi" w:hAnsiTheme="majorHAnsi"/>
                <w:sz w:val="20"/>
                <w:lang w:eastAsia="it-IT"/>
              </w:rPr>
            </w:pPr>
          </w:p>
          <w:p w:rsidR="00E244C1" w:rsidRPr="0093428B" w:rsidRDefault="00E244C1" w:rsidP="0093428B">
            <w:pPr>
              <w:widowControl w:val="0"/>
              <w:kinsoku w:val="0"/>
              <w:ind w:left="57" w:right="57"/>
              <w:rPr>
                <w:rFonts w:asciiTheme="majorHAnsi" w:hAnsiTheme="majorHAnsi"/>
                <w:sz w:val="20"/>
                <w:lang w:val="en-US" w:eastAsia="it-IT"/>
              </w:rPr>
            </w:pPr>
          </w:p>
        </w:tc>
      </w:tr>
      <w:tr w:rsidR="002E69D7" w:rsidRPr="00C81D54" w:rsidTr="006558FE">
        <w:trPr>
          <w:cantSplit/>
          <w:trHeight w:val="1560"/>
        </w:trPr>
        <w:tc>
          <w:tcPr>
            <w:tcW w:w="461"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z w:val="20"/>
                <w:lang w:eastAsia="it-IT"/>
              </w:rPr>
            </w:pPr>
            <w:r w:rsidRPr="00C81D54">
              <w:rPr>
                <w:rFonts w:asciiTheme="majorHAnsi" w:hAnsiTheme="majorHAnsi"/>
                <w:b/>
                <w:bCs/>
                <w:sz w:val="20"/>
                <w:lang w:eastAsia="it-IT"/>
              </w:rPr>
              <w:t>Rec. 4/2012</w:t>
            </w:r>
          </w:p>
          <w:p w:rsidR="002E69D7" w:rsidRPr="00C81D54" w:rsidRDefault="002E69D7" w:rsidP="00B90E87">
            <w:pPr>
              <w:widowControl w:val="0"/>
              <w:kinsoku w:val="0"/>
              <w:adjustRightInd/>
              <w:jc w:val="center"/>
              <w:rPr>
                <w:rFonts w:asciiTheme="majorHAnsi" w:hAnsiTheme="majorHAnsi"/>
                <w:sz w:val="20"/>
                <w:lang w:eastAsia="it-IT"/>
              </w:rPr>
            </w:pPr>
          </w:p>
        </w:tc>
        <w:tc>
          <w:tcPr>
            <w:tcW w:w="1428"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ind w:left="57" w:right="57"/>
              <w:rPr>
                <w:rFonts w:asciiTheme="majorHAnsi" w:hAnsiTheme="majorHAnsi"/>
                <w:b/>
                <w:bCs/>
                <w:i/>
                <w:iCs/>
                <w:sz w:val="20"/>
                <w:lang w:eastAsia="it-IT"/>
              </w:rPr>
            </w:pPr>
            <w:r w:rsidRPr="00C81D54">
              <w:rPr>
                <w:rFonts w:asciiTheme="majorHAnsi" w:hAnsiTheme="majorHAnsi"/>
                <w:b/>
                <w:bCs/>
                <w:i/>
                <w:iCs/>
                <w:sz w:val="20"/>
                <w:lang w:eastAsia="it-IT"/>
              </w:rPr>
              <w:t>Assets’ recording in the register</w:t>
            </w:r>
          </w:p>
          <w:p w:rsidR="002E69D7" w:rsidRPr="00C81D54" w:rsidRDefault="002E69D7" w:rsidP="00B90E87">
            <w:pPr>
              <w:widowControl w:val="0"/>
              <w:kinsoku w:val="0"/>
              <w:ind w:left="57" w:right="57"/>
              <w:rPr>
                <w:rFonts w:asciiTheme="majorHAnsi" w:hAnsiTheme="majorHAnsi"/>
                <w:b/>
                <w:i/>
                <w:sz w:val="20"/>
                <w:lang w:eastAsia="it-IT"/>
              </w:rPr>
            </w:pPr>
            <w:r w:rsidRPr="00C81D54">
              <w:rPr>
                <w:rFonts w:asciiTheme="majorHAnsi" w:hAnsiTheme="majorHAnsi"/>
                <w:sz w:val="20"/>
                <w:lang w:eastAsia="it-IT"/>
              </w:rPr>
              <w:t>[…] we have performed a physical stock checking of some fixed assets categories, such as a sample of items of furniture and IT equipment and we have traced them into the accounts. We observed that the ITU responsible in Facilities Management Division (HRMD Department) have not found some of the assets during the physical stock checking at year end (around 0.73% of the acquisition value of the assets concerned). We are aware that controls have detected part of these assets not found at year end, however we recommend Management to continue its research and to write-off the item that will not be found during 2013.</w:t>
            </w:r>
          </w:p>
        </w:tc>
        <w:tc>
          <w:tcPr>
            <w:tcW w:w="1516"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ind w:left="233" w:right="57"/>
              <w:rPr>
                <w:rFonts w:asciiTheme="majorHAnsi" w:hAnsiTheme="majorHAnsi"/>
                <w:sz w:val="20"/>
                <w:lang w:eastAsia="it-IT"/>
              </w:rPr>
            </w:pPr>
            <w:r w:rsidRPr="00C81D54">
              <w:rPr>
                <w:rFonts w:asciiTheme="majorHAnsi" w:hAnsiTheme="majorHAnsi"/>
                <w:sz w:val="20"/>
                <w:lang w:eastAsia="it-IT"/>
              </w:rPr>
              <w:t>I will instruct FRMD to coordinate with the Facilities Management Division to ensure the continuation of efforts in 2013 and will clarify the existence and treatment of the items not captured in the stock checking.</w:t>
            </w:r>
          </w:p>
        </w:tc>
        <w:tc>
          <w:tcPr>
            <w:tcW w:w="1593"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ind w:left="57" w:right="57"/>
              <w:rPr>
                <w:rFonts w:asciiTheme="majorHAnsi" w:hAnsiTheme="majorHAnsi"/>
                <w:sz w:val="20"/>
                <w:lang w:eastAsia="it-IT"/>
              </w:rPr>
            </w:pPr>
            <w:r w:rsidRPr="00C81D54">
              <w:rPr>
                <w:rFonts w:asciiTheme="majorHAnsi" w:hAnsiTheme="majorHAnsi"/>
                <w:sz w:val="20"/>
                <w:lang w:eastAsia="it-IT"/>
              </w:rPr>
              <w:t>The process of the identification and localisation and/or write-off of the assets not found during the stock checking has been initiated in past years and is progressing according to plan.</w:t>
            </w:r>
          </w:p>
          <w:p w:rsidR="002E69D7" w:rsidRPr="00C81D54" w:rsidRDefault="002E69D7" w:rsidP="00B90E87">
            <w:pPr>
              <w:widowControl w:val="0"/>
              <w:kinsoku w:val="0"/>
              <w:ind w:left="57" w:right="57"/>
              <w:rPr>
                <w:rFonts w:asciiTheme="majorHAnsi" w:hAnsiTheme="majorHAnsi"/>
                <w:sz w:val="20"/>
                <w:lang w:eastAsia="it-IT"/>
              </w:rPr>
            </w:pPr>
            <w:r w:rsidRPr="00C81D54">
              <w:rPr>
                <w:rFonts w:asciiTheme="majorHAnsi" w:hAnsiTheme="majorHAnsi"/>
                <w:b/>
                <w:bCs/>
                <w:sz w:val="20"/>
                <w:lang w:eastAsia="it-IT"/>
              </w:rPr>
              <w:t>At the end of 2014</w:t>
            </w:r>
            <w:r w:rsidR="00D95C37">
              <w:rPr>
                <w:rFonts w:asciiTheme="majorHAnsi" w:hAnsiTheme="majorHAnsi"/>
                <w:b/>
                <w:bCs/>
                <w:sz w:val="20"/>
                <w:lang w:eastAsia="it-IT"/>
              </w:rPr>
              <w:t xml:space="preserve">: </w:t>
            </w:r>
            <w:r w:rsidRPr="00C81D54">
              <w:rPr>
                <w:rFonts w:asciiTheme="majorHAnsi" w:hAnsiTheme="majorHAnsi"/>
                <w:bCs/>
                <w:sz w:val="20"/>
                <w:lang w:eastAsia="it-IT"/>
              </w:rPr>
              <w:t xml:space="preserve"> the value of non</w:t>
            </w:r>
            <w:r w:rsidRPr="00C81D54">
              <w:rPr>
                <w:rFonts w:asciiTheme="majorHAnsi" w:hAnsiTheme="majorHAnsi"/>
                <w:sz w:val="20"/>
                <w:lang w:eastAsia="it-IT"/>
              </w:rPr>
              <w:t>-found assets has been significantly reduced by 83% of the 2012 value.</w:t>
            </w:r>
          </w:p>
          <w:p w:rsidR="002E69D7" w:rsidRDefault="00710493" w:rsidP="006A4705">
            <w:pPr>
              <w:widowControl w:val="0"/>
              <w:kinsoku w:val="0"/>
              <w:ind w:left="57" w:right="57"/>
              <w:rPr>
                <w:rFonts w:asciiTheme="majorHAnsi" w:hAnsiTheme="majorHAnsi"/>
                <w:bCs/>
                <w:sz w:val="20"/>
                <w:lang w:eastAsia="it-IT"/>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proofErr w:type="gramStart"/>
            <w:r w:rsidRPr="00C81D54">
              <w:rPr>
                <w:rFonts w:asciiTheme="majorHAnsi" w:hAnsiTheme="majorHAnsi"/>
                <w:b/>
                <w:bCs/>
                <w:sz w:val="20"/>
                <w:lang w:eastAsia="it-IT"/>
              </w:rPr>
              <w:t>201</w:t>
            </w:r>
            <w:r>
              <w:rPr>
                <w:rFonts w:asciiTheme="majorHAnsi" w:hAnsiTheme="majorHAnsi"/>
                <w:b/>
                <w:bCs/>
                <w:sz w:val="20"/>
                <w:lang w:eastAsia="it-IT"/>
              </w:rPr>
              <w:t xml:space="preserve">6 </w:t>
            </w:r>
            <w:r w:rsidR="002E69D7" w:rsidRPr="00C81D54">
              <w:rPr>
                <w:rFonts w:asciiTheme="majorHAnsi" w:hAnsiTheme="majorHAnsi"/>
                <w:b/>
                <w:bCs/>
                <w:sz w:val="20"/>
                <w:lang w:eastAsia="it-IT"/>
              </w:rPr>
              <w:t>:</w:t>
            </w:r>
            <w:proofErr w:type="gramEnd"/>
            <w:r w:rsidR="002E69D7" w:rsidRPr="00C81D54">
              <w:rPr>
                <w:rFonts w:asciiTheme="majorHAnsi" w:hAnsiTheme="majorHAnsi"/>
                <w:b/>
                <w:bCs/>
                <w:sz w:val="20"/>
                <w:lang w:eastAsia="it-IT"/>
              </w:rPr>
              <w:t xml:space="preserve"> </w:t>
            </w:r>
            <w:r w:rsidR="006A4705">
              <w:rPr>
                <w:rFonts w:asciiTheme="majorHAnsi" w:hAnsiTheme="majorHAnsi"/>
                <w:b/>
                <w:bCs/>
                <w:sz w:val="20"/>
                <w:lang w:eastAsia="it-IT"/>
              </w:rPr>
              <w:t xml:space="preserve"> </w:t>
            </w:r>
            <w:r w:rsidR="009B133B" w:rsidRPr="00C81D54">
              <w:rPr>
                <w:rFonts w:asciiTheme="majorHAnsi" w:hAnsiTheme="majorHAnsi"/>
                <w:bCs/>
                <w:sz w:val="20"/>
                <w:lang w:eastAsia="it-IT"/>
              </w:rPr>
              <w:t>The level of the identification of the assets</w:t>
            </w:r>
            <w:r w:rsidR="000F4B41" w:rsidRPr="00C81D54">
              <w:rPr>
                <w:rFonts w:asciiTheme="majorHAnsi" w:hAnsiTheme="majorHAnsi"/>
                <w:bCs/>
                <w:sz w:val="20"/>
                <w:lang w:eastAsia="it-IT"/>
              </w:rPr>
              <w:t xml:space="preserve"> which have </w:t>
            </w:r>
            <w:r w:rsidR="009B133B" w:rsidRPr="00C81D54">
              <w:rPr>
                <w:rFonts w:asciiTheme="majorHAnsi" w:hAnsiTheme="majorHAnsi"/>
                <w:bCs/>
                <w:sz w:val="20"/>
                <w:lang w:eastAsia="it-IT"/>
              </w:rPr>
              <w:t xml:space="preserve">not </w:t>
            </w:r>
            <w:r w:rsidR="000F4B41" w:rsidRPr="00C81D54">
              <w:rPr>
                <w:rFonts w:asciiTheme="majorHAnsi" w:hAnsiTheme="majorHAnsi"/>
                <w:bCs/>
                <w:sz w:val="20"/>
                <w:lang w:eastAsia="it-IT"/>
              </w:rPr>
              <w:t xml:space="preserve">been </w:t>
            </w:r>
            <w:r w:rsidR="009B133B" w:rsidRPr="00C81D54">
              <w:rPr>
                <w:rFonts w:asciiTheme="majorHAnsi" w:hAnsiTheme="majorHAnsi"/>
                <w:bCs/>
                <w:sz w:val="20"/>
                <w:lang w:eastAsia="it-IT"/>
              </w:rPr>
              <w:t xml:space="preserve">found will be known </w:t>
            </w:r>
            <w:r w:rsidR="000F4B41" w:rsidRPr="00C81D54">
              <w:rPr>
                <w:rFonts w:asciiTheme="majorHAnsi" w:hAnsiTheme="majorHAnsi"/>
                <w:bCs/>
                <w:sz w:val="20"/>
                <w:lang w:eastAsia="it-IT"/>
              </w:rPr>
              <w:t>by the</w:t>
            </w:r>
            <w:r w:rsidR="009B133B" w:rsidRPr="00C81D54">
              <w:rPr>
                <w:rFonts w:asciiTheme="majorHAnsi" w:hAnsiTheme="majorHAnsi"/>
                <w:bCs/>
                <w:sz w:val="20"/>
                <w:lang w:eastAsia="it-IT"/>
              </w:rPr>
              <w:t xml:space="preserve"> completion of the physical inventory </w:t>
            </w:r>
            <w:r w:rsidR="000F4B41" w:rsidRPr="00C81D54">
              <w:rPr>
                <w:rFonts w:asciiTheme="majorHAnsi" w:hAnsiTheme="majorHAnsi"/>
                <w:bCs/>
                <w:sz w:val="20"/>
                <w:lang w:eastAsia="it-IT"/>
              </w:rPr>
              <w:t>on</w:t>
            </w:r>
            <w:r w:rsidR="009B133B" w:rsidRPr="00C81D54">
              <w:rPr>
                <w:rFonts w:asciiTheme="majorHAnsi" w:hAnsiTheme="majorHAnsi"/>
                <w:bCs/>
                <w:sz w:val="20"/>
                <w:lang w:eastAsia="it-IT"/>
              </w:rPr>
              <w:t xml:space="preserve"> 31 December 2015.</w:t>
            </w:r>
          </w:p>
          <w:p w:rsidR="00E244C1" w:rsidRPr="00C81D54" w:rsidRDefault="00E244C1" w:rsidP="00D95C37">
            <w:pPr>
              <w:widowControl w:val="0"/>
              <w:kinsoku w:val="0"/>
              <w:ind w:left="57" w:right="57"/>
              <w:rPr>
                <w:rFonts w:asciiTheme="majorHAnsi" w:hAnsiTheme="majorHAnsi"/>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 xml:space="preserve">December </w:t>
            </w:r>
            <w:proofErr w:type="gramStart"/>
            <w:r w:rsidR="00C809B4">
              <w:rPr>
                <w:rFonts w:asciiTheme="majorHAnsi" w:hAnsiTheme="majorHAnsi"/>
                <w:b/>
                <w:bCs/>
                <w:sz w:val="20"/>
                <w:lang w:eastAsia="it-IT"/>
              </w:rPr>
              <w:t>2016</w:t>
            </w:r>
            <w:r w:rsidR="00345F30">
              <w:rPr>
                <w:rFonts w:asciiTheme="majorHAnsi" w:hAnsiTheme="majorHAnsi"/>
                <w:b/>
                <w:bCs/>
                <w:sz w:val="20"/>
                <w:lang w:eastAsia="it-IT"/>
              </w:rPr>
              <w:t xml:space="preserve"> :</w:t>
            </w:r>
            <w:proofErr w:type="gramEnd"/>
            <w:r w:rsidR="00345F30">
              <w:rPr>
                <w:rFonts w:asciiTheme="majorHAnsi" w:hAnsiTheme="majorHAnsi"/>
                <w:b/>
                <w:bCs/>
                <w:sz w:val="20"/>
                <w:lang w:eastAsia="it-IT"/>
              </w:rPr>
              <w:t xml:space="preserve"> </w:t>
            </w:r>
            <w:r w:rsidR="007D77D3" w:rsidRPr="007D77D3">
              <w:rPr>
                <w:rFonts w:asciiTheme="majorHAnsi" w:hAnsiTheme="majorHAnsi"/>
                <w:bCs/>
                <w:sz w:val="20"/>
                <w:lang w:eastAsia="it-IT"/>
              </w:rPr>
              <w:t>The situation of recovered assets had improved considerably as at 31</w:t>
            </w:r>
            <w:r w:rsidR="00D95C37">
              <w:rPr>
                <w:rFonts w:asciiTheme="majorHAnsi" w:hAnsiTheme="majorHAnsi"/>
                <w:bCs/>
                <w:sz w:val="20"/>
                <w:lang w:eastAsia="it-IT"/>
              </w:rPr>
              <w:t> </w:t>
            </w:r>
            <w:r w:rsidR="007D77D3" w:rsidRPr="007D77D3">
              <w:rPr>
                <w:rFonts w:asciiTheme="majorHAnsi" w:hAnsiTheme="majorHAnsi"/>
                <w:bCs/>
                <w:sz w:val="20"/>
                <w:lang w:eastAsia="it-IT"/>
              </w:rPr>
              <w:t>December 2015 compared to 2014 and previous years. The same effort was made during 2016 for which the final result will be known at the end of the financial year. By way of comparison, the value of the assets not found on 31 December 2012 was 392’744 CHF, compared to 31,348 CHF on 31</w:t>
            </w:r>
            <w:r w:rsidR="00D95C37">
              <w:rPr>
                <w:rFonts w:asciiTheme="majorHAnsi" w:hAnsiTheme="majorHAnsi"/>
                <w:bCs/>
                <w:sz w:val="20"/>
                <w:lang w:eastAsia="it-IT"/>
              </w:rPr>
              <w:t> </w:t>
            </w:r>
            <w:r w:rsidR="007D77D3" w:rsidRPr="007D77D3">
              <w:rPr>
                <w:rFonts w:asciiTheme="majorHAnsi" w:hAnsiTheme="majorHAnsi"/>
                <w:bCs/>
                <w:sz w:val="20"/>
                <w:lang w:eastAsia="it-IT"/>
              </w:rPr>
              <w:t>December 2015.</w:t>
            </w:r>
          </w:p>
        </w:tc>
      </w:tr>
      <w:tr w:rsidR="002E69D7" w:rsidRPr="00C81D54" w:rsidTr="00C72835">
        <w:trPr>
          <w:cantSplit/>
          <w:trHeight w:val="7971"/>
        </w:trPr>
        <w:tc>
          <w:tcPr>
            <w:tcW w:w="461"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z w:val="20"/>
                <w:lang w:eastAsia="it-IT"/>
              </w:rPr>
            </w:pPr>
            <w:r w:rsidRPr="00C81D54">
              <w:rPr>
                <w:rFonts w:asciiTheme="majorHAnsi" w:hAnsiTheme="majorHAnsi"/>
                <w:b/>
                <w:bCs/>
                <w:sz w:val="20"/>
                <w:lang w:eastAsia="it-IT"/>
              </w:rPr>
              <w:t>Rec. 10/2012</w:t>
            </w:r>
          </w:p>
          <w:p w:rsidR="002E69D7" w:rsidRPr="00C81D54" w:rsidRDefault="002E69D7" w:rsidP="00B90E87">
            <w:pPr>
              <w:widowControl w:val="0"/>
              <w:kinsoku w:val="0"/>
              <w:adjustRightInd/>
              <w:jc w:val="center"/>
              <w:rPr>
                <w:rFonts w:asciiTheme="majorHAnsi" w:hAnsiTheme="majorHAnsi"/>
                <w:b/>
                <w:bCs/>
                <w:sz w:val="20"/>
                <w:lang w:eastAsia="it-IT"/>
              </w:rPr>
            </w:pPr>
          </w:p>
        </w:tc>
        <w:tc>
          <w:tcPr>
            <w:tcW w:w="1428"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ind w:left="57" w:right="57"/>
              <w:rPr>
                <w:rFonts w:asciiTheme="majorHAnsi" w:hAnsiTheme="majorHAnsi"/>
                <w:b/>
                <w:bCs/>
                <w:i/>
                <w:iCs/>
                <w:sz w:val="20"/>
                <w:lang w:eastAsia="it-IT"/>
              </w:rPr>
            </w:pPr>
            <w:r w:rsidRPr="00C81D54">
              <w:rPr>
                <w:rFonts w:asciiTheme="majorHAnsi" w:hAnsiTheme="majorHAnsi"/>
                <w:b/>
                <w:bCs/>
                <w:i/>
                <w:iCs/>
                <w:sz w:val="20"/>
                <w:lang w:eastAsia="it-IT"/>
              </w:rPr>
              <w:t>Digitalisation of personnel dossiers</w:t>
            </w:r>
          </w:p>
          <w:p w:rsidR="002E69D7" w:rsidRPr="00C81D54" w:rsidRDefault="002E69D7" w:rsidP="00B90E87">
            <w:pPr>
              <w:widowControl w:val="0"/>
              <w:kinsoku w:val="0"/>
              <w:ind w:left="57" w:right="57"/>
              <w:rPr>
                <w:rFonts w:asciiTheme="majorHAnsi" w:hAnsiTheme="majorHAnsi"/>
                <w:b/>
                <w:bCs/>
                <w:i/>
                <w:iCs/>
                <w:sz w:val="20"/>
                <w:lang w:eastAsia="it-IT"/>
              </w:rPr>
            </w:pPr>
            <w:r w:rsidRPr="00C81D54">
              <w:rPr>
                <w:rFonts w:asciiTheme="majorHAnsi" w:hAnsiTheme="majorHAnsi"/>
                <w:sz w:val="20"/>
                <w:lang w:eastAsia="it-IT"/>
              </w:rPr>
              <w:t>Although our analysis of the correspondence of the data inserted in the IT System with personnel dossiers did not revealed any major issue, we recommend the Management to start to evaluate the cost-effectiveness to digitalise personnel dossiers, not only in order to prevent that an accidental event might bring to loose fundamental data, but also to allow a direct interface of personnel dossiers with SAP HR.</w:t>
            </w:r>
          </w:p>
        </w:tc>
        <w:tc>
          <w:tcPr>
            <w:tcW w:w="1516"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ind w:left="233" w:right="57"/>
              <w:rPr>
                <w:rFonts w:asciiTheme="majorHAnsi" w:hAnsiTheme="majorHAnsi"/>
                <w:sz w:val="20"/>
                <w:lang w:eastAsia="it-IT"/>
              </w:rPr>
            </w:pPr>
            <w:r w:rsidRPr="00C81D54">
              <w:rPr>
                <w:rFonts w:asciiTheme="majorHAnsi" w:hAnsiTheme="majorHAnsi"/>
                <w:sz w:val="20"/>
                <w:lang w:eastAsia="it-IT"/>
              </w:rPr>
              <w:t>I take note of this recommendation and inform you that HRMD is exploring this possibility.</w:t>
            </w:r>
          </w:p>
        </w:tc>
        <w:tc>
          <w:tcPr>
            <w:tcW w:w="1593"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ind w:left="57" w:right="57"/>
              <w:rPr>
                <w:rFonts w:asciiTheme="majorHAnsi" w:hAnsiTheme="majorHAnsi"/>
                <w:sz w:val="20"/>
                <w:lang w:eastAsia="it-IT"/>
              </w:rPr>
            </w:pPr>
            <w:r w:rsidRPr="00C81D54">
              <w:rPr>
                <w:rFonts w:asciiTheme="majorHAnsi" w:hAnsiTheme="majorHAnsi"/>
                <w:sz w:val="20"/>
                <w:lang w:eastAsia="it-IT"/>
              </w:rPr>
              <w:t>The Detailed Blueprint (DBBP) of the e-Staff Personal File (digital filing) System was established on 19 April 2013.</w:t>
            </w:r>
          </w:p>
          <w:p w:rsidR="002E69D7" w:rsidRPr="00C81D54" w:rsidRDefault="002E69D7" w:rsidP="00B90E87">
            <w:pPr>
              <w:widowControl w:val="0"/>
              <w:kinsoku w:val="0"/>
              <w:ind w:left="57" w:right="57"/>
              <w:rPr>
                <w:rFonts w:asciiTheme="majorHAnsi" w:hAnsiTheme="majorHAnsi"/>
                <w:sz w:val="20"/>
                <w:lang w:eastAsia="it-IT"/>
              </w:rPr>
            </w:pPr>
            <w:r w:rsidRPr="00C81D54">
              <w:rPr>
                <w:rFonts w:asciiTheme="majorHAnsi" w:hAnsiTheme="majorHAnsi"/>
                <w:sz w:val="20"/>
                <w:lang w:eastAsia="it-IT"/>
              </w:rPr>
              <w:t>This DBBP comprises the HRAD (E&amp;B Service) business process and mapping of the structure of the staff member (hard) personal file. The system is linked to the SAP-ERP_HCM.</w:t>
            </w:r>
          </w:p>
          <w:p w:rsidR="002E69D7" w:rsidRPr="00C81D54" w:rsidRDefault="002E69D7" w:rsidP="0058154F">
            <w:pPr>
              <w:widowControl w:val="0"/>
              <w:kinsoku w:val="0"/>
              <w:ind w:left="57" w:right="57"/>
              <w:rPr>
                <w:rFonts w:asciiTheme="majorHAnsi" w:hAnsiTheme="majorHAnsi"/>
                <w:sz w:val="20"/>
                <w:lang w:eastAsia="it-IT"/>
              </w:rPr>
            </w:pPr>
            <w:r w:rsidRPr="00C81D54">
              <w:rPr>
                <w:rFonts w:asciiTheme="majorHAnsi" w:hAnsiTheme="majorHAnsi"/>
                <w:b/>
                <w:bCs/>
                <w:sz w:val="20"/>
                <w:lang w:eastAsia="it-IT"/>
              </w:rPr>
              <w:t xml:space="preserve">Update as of </w:t>
            </w:r>
            <w:r w:rsidR="000F4B41" w:rsidRPr="00C81D54">
              <w:rPr>
                <w:rFonts w:asciiTheme="majorHAnsi" w:hAnsiTheme="majorHAnsi"/>
                <w:b/>
                <w:bCs/>
                <w:sz w:val="20"/>
                <w:lang w:eastAsia="it-IT"/>
              </w:rPr>
              <w:t>end-</w:t>
            </w:r>
            <w:r w:rsidRPr="00C81D54">
              <w:rPr>
                <w:rFonts w:asciiTheme="majorHAnsi" w:hAnsiTheme="majorHAnsi"/>
                <w:b/>
                <w:bCs/>
                <w:sz w:val="20"/>
                <w:lang w:eastAsia="it-IT"/>
              </w:rPr>
              <w:t xml:space="preserve">January 2015: </w:t>
            </w:r>
            <w:r w:rsidR="0058154F">
              <w:rPr>
                <w:rFonts w:asciiTheme="majorHAnsi" w:hAnsiTheme="majorHAnsi"/>
                <w:b/>
                <w:bCs/>
                <w:sz w:val="20"/>
                <w:lang w:eastAsia="it-IT"/>
              </w:rPr>
              <w:t xml:space="preserve"> </w:t>
            </w:r>
            <w:r w:rsidRPr="00C81D54">
              <w:rPr>
                <w:rFonts w:asciiTheme="majorHAnsi" w:hAnsiTheme="majorHAnsi"/>
                <w:sz w:val="20"/>
                <w:lang w:eastAsia="it-IT"/>
              </w:rPr>
              <w:t>The first phase of creating the tool is completed. The e-Staff Personal File (digital filing) System is now operational.</w:t>
            </w:r>
          </w:p>
          <w:p w:rsidR="002E69D7" w:rsidRPr="00C81D54" w:rsidRDefault="002E69D7" w:rsidP="00B90E87">
            <w:pPr>
              <w:widowControl w:val="0"/>
              <w:kinsoku w:val="0"/>
              <w:ind w:left="57" w:right="57"/>
              <w:rPr>
                <w:rFonts w:asciiTheme="majorHAnsi" w:hAnsiTheme="majorHAnsi"/>
                <w:sz w:val="20"/>
                <w:lang w:eastAsia="it-IT"/>
              </w:rPr>
            </w:pPr>
            <w:r w:rsidRPr="00C81D54">
              <w:rPr>
                <w:rFonts w:asciiTheme="majorHAnsi" w:hAnsiTheme="majorHAnsi"/>
                <w:sz w:val="20"/>
                <w:lang w:eastAsia="it-IT"/>
              </w:rPr>
              <w:t>The next phase of the exercise concerning HRAD (E&amp;B Service) focuses mainly on two different tendencies which are :</w:t>
            </w:r>
          </w:p>
          <w:p w:rsidR="002E69D7" w:rsidRPr="00C81D54" w:rsidRDefault="002E69D7" w:rsidP="00B90E87">
            <w:pPr>
              <w:widowControl w:val="0"/>
              <w:kinsoku w:val="0"/>
              <w:ind w:left="57" w:right="57"/>
              <w:rPr>
                <w:rFonts w:asciiTheme="majorHAnsi" w:hAnsiTheme="majorHAnsi"/>
                <w:sz w:val="20"/>
                <w:lang w:eastAsia="it-IT"/>
              </w:rPr>
            </w:pPr>
            <w:r w:rsidRPr="00C81D54">
              <w:rPr>
                <w:rFonts w:asciiTheme="majorHAnsi" w:hAnsiTheme="majorHAnsi"/>
                <w:sz w:val="20"/>
                <w:lang w:eastAsia="it-IT"/>
              </w:rPr>
              <w:t>1) Reduction of previous storage places (cupboards and computerized directories) to reorient Archive document flows toward the new e-filling system.</w:t>
            </w:r>
          </w:p>
          <w:p w:rsidR="002E69D7" w:rsidRPr="00C81D54" w:rsidRDefault="002E69D7" w:rsidP="0058154F">
            <w:pPr>
              <w:widowControl w:val="0"/>
              <w:kinsoku w:val="0"/>
              <w:ind w:left="57" w:right="57"/>
              <w:rPr>
                <w:rFonts w:asciiTheme="majorHAnsi" w:hAnsiTheme="majorHAnsi"/>
                <w:sz w:val="20"/>
                <w:lang w:eastAsia="it-IT"/>
              </w:rPr>
            </w:pPr>
            <w:r w:rsidRPr="00C81D54">
              <w:rPr>
                <w:rFonts w:asciiTheme="majorHAnsi" w:hAnsiTheme="majorHAnsi"/>
                <w:sz w:val="20"/>
                <w:lang w:eastAsia="it-IT"/>
              </w:rPr>
              <w:t xml:space="preserve">2) Reduction of numbers of paper documents by revised working methods (repetition, overlap, unnecessary printing, </w:t>
            </w:r>
            <w:proofErr w:type="spellStart"/>
            <w:r w:rsidRPr="00C81D54">
              <w:rPr>
                <w:rFonts w:asciiTheme="majorHAnsi" w:hAnsiTheme="majorHAnsi"/>
                <w:sz w:val="20"/>
                <w:lang w:eastAsia="it-IT"/>
              </w:rPr>
              <w:t>etc</w:t>
            </w:r>
            <w:proofErr w:type="spellEnd"/>
            <w:r w:rsidRPr="00C81D54">
              <w:rPr>
                <w:rFonts w:asciiTheme="majorHAnsi" w:hAnsiTheme="majorHAnsi"/>
                <w:sz w:val="20"/>
                <w:lang w:eastAsia="it-IT"/>
              </w:rPr>
              <w:t>…). There will always be paper documents as the original signed documents must be kept for legal reasons and to certify the accuracy of information recorded in the SAP- ERP</w:t>
            </w:r>
            <w:r w:rsidR="0058154F">
              <w:rPr>
                <w:rFonts w:asciiTheme="majorHAnsi" w:hAnsiTheme="majorHAnsi"/>
                <w:sz w:val="20"/>
                <w:lang w:eastAsia="it-IT"/>
              </w:rPr>
              <w:t>_</w:t>
            </w:r>
            <w:r w:rsidRPr="00C81D54">
              <w:rPr>
                <w:rFonts w:asciiTheme="majorHAnsi" w:hAnsiTheme="majorHAnsi"/>
                <w:sz w:val="20"/>
                <w:lang w:eastAsia="it-IT"/>
              </w:rPr>
              <w:t>HCM.</w:t>
            </w:r>
          </w:p>
          <w:p w:rsidR="001654F0" w:rsidRPr="00C81D54" w:rsidRDefault="00710493" w:rsidP="005E2E49">
            <w:pPr>
              <w:ind w:left="57" w:right="57"/>
              <w:rPr>
                <w:rFonts w:asciiTheme="majorHAnsi" w:hAnsiTheme="majorHAnsi"/>
              </w:rPr>
            </w:pPr>
            <w:r w:rsidRPr="00C81D54">
              <w:rPr>
                <w:rFonts w:asciiTheme="majorHAnsi" w:hAnsiTheme="majorHAnsi"/>
                <w:b/>
                <w:bCs/>
                <w:sz w:val="20"/>
                <w:lang w:eastAsia="it-IT"/>
              </w:rPr>
              <w:t>Update as of end-</w:t>
            </w:r>
            <w:r>
              <w:rPr>
                <w:rFonts w:asciiTheme="majorHAnsi" w:hAnsiTheme="majorHAnsi"/>
                <w:b/>
                <w:bCs/>
                <w:sz w:val="20"/>
                <w:lang w:eastAsia="it-IT"/>
              </w:rPr>
              <w:t xml:space="preserve">January </w:t>
            </w:r>
            <w:proofErr w:type="gramStart"/>
            <w:r w:rsidRPr="00C81D54">
              <w:rPr>
                <w:rFonts w:asciiTheme="majorHAnsi" w:hAnsiTheme="majorHAnsi"/>
                <w:b/>
                <w:bCs/>
                <w:sz w:val="20"/>
                <w:lang w:eastAsia="it-IT"/>
              </w:rPr>
              <w:t>201</w:t>
            </w:r>
            <w:r>
              <w:rPr>
                <w:rFonts w:asciiTheme="majorHAnsi" w:hAnsiTheme="majorHAnsi"/>
                <w:b/>
                <w:bCs/>
                <w:sz w:val="20"/>
                <w:lang w:eastAsia="it-IT"/>
              </w:rPr>
              <w:t xml:space="preserve">6 </w:t>
            </w:r>
            <w:r w:rsidR="0058154F">
              <w:rPr>
                <w:rFonts w:asciiTheme="majorHAnsi" w:hAnsiTheme="majorHAnsi"/>
                <w:b/>
                <w:bCs/>
                <w:sz w:val="20"/>
                <w:lang w:eastAsia="it-IT"/>
              </w:rPr>
              <w:t>:</w:t>
            </w:r>
            <w:proofErr w:type="gramEnd"/>
            <w:r w:rsidR="0058154F">
              <w:rPr>
                <w:rFonts w:asciiTheme="majorHAnsi" w:hAnsiTheme="majorHAnsi"/>
                <w:b/>
                <w:bCs/>
                <w:sz w:val="20"/>
                <w:lang w:eastAsia="it-IT"/>
              </w:rPr>
              <w:t xml:space="preserve">  </w:t>
            </w:r>
            <w:r w:rsidR="001654F0" w:rsidRPr="00C81D54">
              <w:rPr>
                <w:rFonts w:asciiTheme="majorHAnsi" w:hAnsiTheme="majorHAnsi"/>
                <w:sz w:val="20"/>
                <w:lang w:eastAsia="it-IT"/>
              </w:rPr>
              <w:t>The digitalization is ongoing.  HRMD is undertaking a fundamental review of all its procedures and document flow in v</w:t>
            </w:r>
            <w:r w:rsidR="0042757B" w:rsidRPr="00C81D54">
              <w:rPr>
                <w:rFonts w:asciiTheme="majorHAnsi" w:hAnsiTheme="majorHAnsi"/>
                <w:sz w:val="20"/>
                <w:lang w:eastAsia="it-IT"/>
              </w:rPr>
              <w:t xml:space="preserve">iew of creating a centralized, </w:t>
            </w:r>
            <w:r w:rsidR="001654F0" w:rsidRPr="00C81D54">
              <w:rPr>
                <w:rFonts w:asciiTheme="majorHAnsi" w:hAnsiTheme="majorHAnsi"/>
                <w:sz w:val="20"/>
                <w:lang w:eastAsia="it-IT"/>
              </w:rPr>
              <w:t>structured and secure electronic information management infrastructure to support the delivery of HR services.</w:t>
            </w:r>
          </w:p>
          <w:p w:rsidR="00E244C1" w:rsidRPr="00C81D54" w:rsidRDefault="00E244C1" w:rsidP="00BB16DF">
            <w:pPr>
              <w:widowControl w:val="0"/>
              <w:kinsoku w:val="0"/>
              <w:ind w:left="57" w:right="57"/>
              <w:rPr>
                <w:rFonts w:asciiTheme="majorHAnsi" w:hAnsiTheme="majorHAnsi"/>
                <w:sz w:val="20"/>
                <w:lang w:eastAsia="it-IT"/>
              </w:rPr>
            </w:pPr>
            <w:r w:rsidRPr="00C81D54">
              <w:rPr>
                <w:rFonts w:asciiTheme="majorHAnsi" w:hAnsiTheme="majorHAnsi"/>
                <w:b/>
                <w:bCs/>
                <w:sz w:val="20"/>
                <w:lang w:eastAsia="it-IT"/>
              </w:rPr>
              <w:t xml:space="preserve">Update as of </w:t>
            </w:r>
            <w:r w:rsidR="00C809B4">
              <w:rPr>
                <w:rFonts w:asciiTheme="majorHAnsi" w:hAnsiTheme="majorHAnsi"/>
                <w:b/>
                <w:bCs/>
                <w:sz w:val="20"/>
                <w:lang w:eastAsia="it-IT"/>
              </w:rPr>
              <w:t xml:space="preserve">December </w:t>
            </w:r>
            <w:proofErr w:type="gramStart"/>
            <w:r w:rsidR="00C809B4">
              <w:rPr>
                <w:rFonts w:asciiTheme="majorHAnsi" w:hAnsiTheme="majorHAnsi"/>
                <w:b/>
                <w:bCs/>
                <w:sz w:val="20"/>
                <w:lang w:eastAsia="it-IT"/>
              </w:rPr>
              <w:t>2016</w:t>
            </w:r>
            <w:r w:rsidR="00622832">
              <w:rPr>
                <w:rFonts w:asciiTheme="majorHAnsi" w:hAnsiTheme="majorHAnsi"/>
                <w:b/>
                <w:bCs/>
                <w:sz w:val="20"/>
                <w:lang w:eastAsia="it-IT"/>
              </w:rPr>
              <w:t xml:space="preserve"> :</w:t>
            </w:r>
            <w:proofErr w:type="gramEnd"/>
            <w:r w:rsidR="00622832">
              <w:rPr>
                <w:rFonts w:asciiTheme="majorHAnsi" w:hAnsiTheme="majorHAnsi"/>
                <w:b/>
                <w:bCs/>
                <w:sz w:val="20"/>
                <w:lang w:eastAsia="it-IT"/>
              </w:rPr>
              <w:t xml:space="preserve"> </w:t>
            </w:r>
            <w:r w:rsidR="00622832" w:rsidRPr="00C72835">
              <w:rPr>
                <w:rFonts w:asciiTheme="majorHAnsi" w:hAnsiTheme="majorHAnsi"/>
                <w:sz w:val="20"/>
                <w:lang w:eastAsia="it-IT"/>
              </w:rPr>
              <w:t xml:space="preserve">The project is still underway.  One staff of the HRM </w:t>
            </w:r>
            <w:r w:rsidR="00C72835" w:rsidRPr="00C72835">
              <w:rPr>
                <w:rFonts w:asciiTheme="majorHAnsi" w:hAnsiTheme="majorHAnsi"/>
                <w:sz w:val="20"/>
                <w:lang w:eastAsia="it-IT"/>
              </w:rPr>
              <w:t>Dept.</w:t>
            </w:r>
            <w:r w:rsidR="00622832" w:rsidRPr="00C72835">
              <w:rPr>
                <w:rFonts w:asciiTheme="majorHAnsi" w:hAnsiTheme="majorHAnsi"/>
                <w:sz w:val="20"/>
                <w:lang w:eastAsia="it-IT"/>
              </w:rPr>
              <w:t xml:space="preserve"> will be assigned at 100% for six months as from January 2017</w:t>
            </w:r>
            <w:r w:rsidR="00BB16DF">
              <w:rPr>
                <w:rFonts w:asciiTheme="majorHAnsi" w:hAnsiTheme="majorHAnsi"/>
                <w:sz w:val="20"/>
                <w:lang w:eastAsia="it-IT"/>
              </w:rPr>
              <w:t>.</w:t>
            </w:r>
          </w:p>
        </w:tc>
      </w:tr>
    </w:tbl>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pPr>
        <w:tabs>
          <w:tab w:val="clear" w:pos="794"/>
          <w:tab w:val="clear" w:pos="1191"/>
          <w:tab w:val="clear" w:pos="1588"/>
          <w:tab w:val="clear" w:pos="1985"/>
        </w:tabs>
        <w:overflowPunct/>
        <w:autoSpaceDE/>
        <w:autoSpaceDN/>
        <w:adjustRightInd/>
        <w:spacing w:before="0"/>
        <w:textAlignment w:val="auto"/>
        <w:rPr>
          <w:rFonts w:asciiTheme="majorHAnsi" w:hAnsiTheme="majorHAnsi"/>
          <w:b/>
          <w:sz w:val="22"/>
          <w:szCs w:val="22"/>
          <w:highlight w:val="yellow"/>
          <w:lang w:eastAsia="it-IT"/>
        </w:rPr>
      </w:pPr>
    </w:p>
    <w:p w:rsidR="002E69D7" w:rsidRPr="00C81D54" w:rsidRDefault="002E69D7" w:rsidP="002E69D7">
      <w:pPr>
        <w:pStyle w:val="Heading2"/>
        <w:spacing w:before="0"/>
        <w:rPr>
          <w:rFonts w:asciiTheme="majorHAnsi" w:hAnsiTheme="majorHAnsi"/>
          <w:lang w:eastAsia="it-IT"/>
        </w:rPr>
      </w:pPr>
      <w:r w:rsidRPr="00C81D54">
        <w:rPr>
          <w:rFonts w:asciiTheme="majorHAnsi" w:hAnsiTheme="majorHAnsi"/>
          <w:lang w:eastAsia="it-IT"/>
        </w:rPr>
        <w:t>2.      Follow-up on the External Auditor’s recommendations relating to ITU Telecom World Events</w:t>
      </w:r>
    </w:p>
    <w:p w:rsidR="002E69D7" w:rsidRPr="00C81D54" w:rsidRDefault="002E69D7" w:rsidP="002E69D7">
      <w:pPr>
        <w:rPr>
          <w:rFonts w:asciiTheme="majorHAnsi" w:hAnsiTheme="majorHAnsi"/>
          <w:lang w:eastAsia="it-IT"/>
        </w:rPr>
      </w:pPr>
    </w:p>
    <w:tbl>
      <w:tblPr>
        <w:tblW w:w="4809" w:type="pct"/>
        <w:tblInd w:w="5" w:type="dxa"/>
        <w:tblLayout w:type="fixed"/>
        <w:tblCellMar>
          <w:left w:w="0" w:type="dxa"/>
          <w:right w:w="0" w:type="dxa"/>
        </w:tblCellMar>
        <w:tblLook w:val="0000" w:firstRow="0" w:lastRow="0" w:firstColumn="0" w:lastColumn="0" w:noHBand="0" w:noVBand="0"/>
      </w:tblPr>
      <w:tblGrid>
        <w:gridCol w:w="1468"/>
        <w:gridCol w:w="3723"/>
        <w:gridCol w:w="4017"/>
        <w:gridCol w:w="4519"/>
      </w:tblGrid>
      <w:tr w:rsidR="002E69D7" w:rsidRPr="00C81D54" w:rsidTr="002E69D7">
        <w:trPr>
          <w:trHeight w:hRule="exact" w:val="1148"/>
        </w:trPr>
        <w:tc>
          <w:tcPr>
            <w:tcW w:w="535"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rPr>
                <w:rFonts w:asciiTheme="majorHAnsi" w:hAnsiTheme="majorHAnsi"/>
                <w:b/>
                <w:bCs/>
                <w:sz w:val="22"/>
                <w:szCs w:val="22"/>
              </w:rPr>
            </w:pPr>
          </w:p>
        </w:tc>
        <w:tc>
          <w:tcPr>
            <w:tcW w:w="1356"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Recommendation made</w:t>
            </w:r>
            <w:r w:rsidRPr="00C81D54">
              <w:rPr>
                <w:rFonts w:asciiTheme="majorHAnsi" w:hAnsiTheme="majorHAnsi"/>
                <w:b/>
                <w:bCs/>
                <w:spacing w:val="-1"/>
                <w:sz w:val="22"/>
                <w:szCs w:val="22"/>
                <w:lang w:eastAsia="it-IT"/>
              </w:rPr>
              <w:br/>
              <w:t>by External Auditor</w:t>
            </w:r>
          </w:p>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 xml:space="preserve">(Corte </w:t>
            </w:r>
            <w:proofErr w:type="spellStart"/>
            <w:r w:rsidRPr="00C81D54">
              <w:rPr>
                <w:rFonts w:asciiTheme="majorHAnsi" w:hAnsiTheme="majorHAnsi"/>
                <w:b/>
                <w:bCs/>
                <w:spacing w:val="-1"/>
                <w:sz w:val="22"/>
                <w:szCs w:val="22"/>
                <w:lang w:eastAsia="it-IT"/>
              </w:rPr>
              <w:t>dei</w:t>
            </w:r>
            <w:proofErr w:type="spellEnd"/>
            <w:r w:rsidRPr="00C81D54">
              <w:rPr>
                <w:rFonts w:asciiTheme="majorHAnsi" w:hAnsiTheme="majorHAnsi"/>
                <w:b/>
                <w:bCs/>
                <w:spacing w:val="-1"/>
                <w:sz w:val="22"/>
                <w:szCs w:val="22"/>
                <w:lang w:eastAsia="it-IT"/>
              </w:rPr>
              <w:t xml:space="preserve"> conti)</w:t>
            </w:r>
          </w:p>
          <w:p w:rsidR="002E69D7" w:rsidRPr="00C81D54" w:rsidRDefault="002E69D7" w:rsidP="00B90E87">
            <w:pPr>
              <w:widowControl w:val="0"/>
              <w:kinsoku w:val="0"/>
              <w:adjustRightInd/>
              <w:jc w:val="center"/>
              <w:rPr>
                <w:rFonts w:asciiTheme="majorHAnsi" w:hAnsiTheme="majorHAnsi"/>
                <w:b/>
                <w:bCs/>
                <w:spacing w:val="-1"/>
                <w:sz w:val="22"/>
                <w:szCs w:val="22"/>
                <w:lang w:eastAsia="it-IT"/>
              </w:rPr>
            </w:pPr>
          </w:p>
        </w:tc>
        <w:tc>
          <w:tcPr>
            <w:tcW w:w="1463"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Comments received from</w:t>
            </w:r>
            <w:r w:rsidRPr="00C81D54">
              <w:rPr>
                <w:rFonts w:asciiTheme="majorHAnsi" w:hAnsiTheme="majorHAnsi"/>
                <w:b/>
                <w:bCs/>
                <w:spacing w:val="-1"/>
                <w:sz w:val="22"/>
                <w:szCs w:val="22"/>
                <w:lang w:eastAsia="it-IT"/>
              </w:rPr>
              <w:br/>
              <w:t>the Secretary-General at the time of issuance of the External Auditor’s Report</w:t>
            </w:r>
          </w:p>
        </w:tc>
        <w:tc>
          <w:tcPr>
            <w:tcW w:w="1646" w:type="pct"/>
            <w:tcBorders>
              <w:top w:val="single" w:sz="4" w:space="0" w:color="auto"/>
              <w:left w:val="single" w:sz="4" w:space="0" w:color="auto"/>
              <w:bottom w:val="single" w:sz="4" w:space="0" w:color="auto"/>
              <w:right w:val="single" w:sz="4" w:space="0" w:color="auto"/>
            </w:tcBorders>
          </w:tcPr>
          <w:p w:rsidR="002E69D7" w:rsidRPr="00C81D54" w:rsidRDefault="002E69D7" w:rsidP="00B90E87">
            <w:pPr>
              <w:widowControl w:val="0"/>
              <w:kinsoku w:val="0"/>
              <w:adjustRightInd/>
              <w:jc w:val="center"/>
              <w:rPr>
                <w:rFonts w:asciiTheme="majorHAnsi" w:hAnsiTheme="majorHAnsi"/>
                <w:b/>
                <w:bCs/>
                <w:spacing w:val="-1"/>
                <w:sz w:val="22"/>
                <w:szCs w:val="22"/>
                <w:lang w:eastAsia="it-IT"/>
              </w:rPr>
            </w:pPr>
            <w:r w:rsidRPr="00C81D54">
              <w:rPr>
                <w:rFonts w:asciiTheme="majorHAnsi" w:hAnsiTheme="majorHAnsi"/>
                <w:b/>
                <w:bCs/>
                <w:spacing w:val="-1"/>
                <w:sz w:val="22"/>
                <w:szCs w:val="22"/>
                <w:lang w:eastAsia="it-IT"/>
              </w:rPr>
              <w:t>Status as</w:t>
            </w:r>
            <w:r w:rsidRPr="00C81D54">
              <w:rPr>
                <w:rFonts w:asciiTheme="majorHAnsi" w:hAnsiTheme="majorHAnsi"/>
                <w:b/>
                <w:bCs/>
                <w:spacing w:val="-1"/>
                <w:sz w:val="22"/>
                <w:szCs w:val="22"/>
                <w:lang w:eastAsia="it-IT"/>
              </w:rPr>
              <w:br/>
              <w:t>reported by ITU Management</w:t>
            </w:r>
          </w:p>
        </w:tc>
      </w:tr>
      <w:tr w:rsidR="00FA6CD8" w:rsidRPr="00C81D54"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rsidR="00FA6CD8" w:rsidRPr="00C81D54" w:rsidRDefault="00FA6CD8" w:rsidP="00FA6CD8">
            <w:pPr>
              <w:widowControl w:val="0"/>
              <w:kinsoku w:val="0"/>
              <w:adjustRightInd/>
              <w:jc w:val="center"/>
              <w:rPr>
                <w:rFonts w:asciiTheme="majorHAnsi" w:hAnsiTheme="majorHAnsi"/>
                <w:b/>
                <w:bCs/>
                <w:sz w:val="20"/>
                <w:lang w:eastAsia="it-IT"/>
              </w:rPr>
            </w:pPr>
            <w:r>
              <w:rPr>
                <w:rFonts w:asciiTheme="majorHAnsi" w:hAnsiTheme="majorHAnsi"/>
                <w:b/>
                <w:bCs/>
                <w:sz w:val="20"/>
                <w:lang w:eastAsia="it-IT"/>
              </w:rPr>
              <w:t>Rec 1/2015</w:t>
            </w:r>
          </w:p>
        </w:tc>
        <w:tc>
          <w:tcPr>
            <w:tcW w:w="1356" w:type="pct"/>
            <w:tcBorders>
              <w:top w:val="single" w:sz="4" w:space="0" w:color="auto"/>
              <w:left w:val="single" w:sz="4" w:space="0" w:color="auto"/>
              <w:bottom w:val="single" w:sz="4" w:space="0" w:color="auto"/>
              <w:right w:val="single" w:sz="4" w:space="0" w:color="auto"/>
            </w:tcBorders>
          </w:tcPr>
          <w:p w:rsidR="00FA6CD8" w:rsidRPr="00CF69AA" w:rsidRDefault="00FA6CD8" w:rsidP="00FA6CD8">
            <w:pPr>
              <w:widowControl w:val="0"/>
              <w:kinsoku w:val="0"/>
              <w:ind w:left="93" w:right="57"/>
              <w:rPr>
                <w:rFonts w:ascii="Calibri" w:hAnsi="Calibri"/>
                <w:sz w:val="20"/>
                <w:lang w:eastAsia="it-IT"/>
              </w:rPr>
            </w:pPr>
            <w:r w:rsidRPr="00CF69AA">
              <w:rPr>
                <w:rFonts w:ascii="Calibri" w:hAnsi="Calibri"/>
                <w:sz w:val="20"/>
                <w:lang w:eastAsia="it-IT"/>
              </w:rPr>
              <w:t xml:space="preserve">Although the impact of currency exchange gains or losses may not be material for this event, </w:t>
            </w:r>
            <w:r w:rsidRPr="00CF69AA">
              <w:rPr>
                <w:rFonts w:ascii="Calibri" w:hAnsi="Calibri"/>
                <w:sz w:val="20"/>
                <w:u w:val="single"/>
                <w:lang w:eastAsia="it-IT"/>
              </w:rPr>
              <w:t>we recommend</w:t>
            </w:r>
            <w:r w:rsidRPr="00CF69AA">
              <w:rPr>
                <w:rFonts w:ascii="Calibri" w:hAnsi="Calibri"/>
                <w:sz w:val="20"/>
                <w:lang w:eastAsia="it-IT"/>
              </w:rPr>
              <w:t xml:space="preserve"> to consider the exchange rate at the moment of the delivery of service in accordance with the barter agreement, when significant variations and a wide time range are involved, in order to have a fair representation of the results.</w:t>
            </w:r>
          </w:p>
          <w:p w:rsidR="00FA6CD8" w:rsidRPr="00BD506C" w:rsidRDefault="00FA6CD8" w:rsidP="00FA6CD8">
            <w:pPr>
              <w:widowControl w:val="0"/>
              <w:kinsoku w:val="0"/>
              <w:ind w:left="93" w:right="57"/>
              <w:rPr>
                <w:rFonts w:ascii="Calibri" w:hAnsi="Calibri"/>
                <w:sz w:val="20"/>
                <w:lang w:eastAsia="it-IT"/>
              </w:rPr>
            </w:pPr>
          </w:p>
        </w:tc>
        <w:tc>
          <w:tcPr>
            <w:tcW w:w="1463" w:type="pct"/>
            <w:tcBorders>
              <w:top w:val="single" w:sz="4" w:space="0" w:color="auto"/>
              <w:left w:val="single" w:sz="4" w:space="0" w:color="auto"/>
              <w:bottom w:val="single" w:sz="4" w:space="0" w:color="auto"/>
              <w:right w:val="single" w:sz="4" w:space="0" w:color="auto"/>
            </w:tcBorders>
          </w:tcPr>
          <w:p w:rsidR="00FA6CD8" w:rsidRPr="00BD506C" w:rsidRDefault="00FA6CD8" w:rsidP="00FA6CD8">
            <w:pPr>
              <w:widowControl w:val="0"/>
              <w:kinsoku w:val="0"/>
              <w:ind w:left="167" w:right="57"/>
              <w:rPr>
                <w:rFonts w:ascii="Calibri" w:hAnsi="Calibri"/>
                <w:sz w:val="20"/>
                <w:lang w:eastAsia="it-IT"/>
              </w:rPr>
            </w:pPr>
            <w:r w:rsidRPr="00CF69AA">
              <w:rPr>
                <w:rFonts w:ascii="Calibri" w:hAnsi="Calibri"/>
                <w:sz w:val="20"/>
                <w:lang w:val="en-US" w:eastAsia="it-IT"/>
              </w:rPr>
              <w:t>The currency exchange rate at the time of delivery of service in accordance with barter agreements will be applied from 2016 onward. The average of the currency exchange rates will be used should one type of service be delivered at different times</w:t>
            </w:r>
          </w:p>
        </w:tc>
        <w:tc>
          <w:tcPr>
            <w:tcW w:w="1646" w:type="pct"/>
            <w:tcBorders>
              <w:top w:val="single" w:sz="4" w:space="0" w:color="auto"/>
              <w:left w:val="single" w:sz="4" w:space="0" w:color="auto"/>
              <w:bottom w:val="single" w:sz="4" w:space="0" w:color="auto"/>
              <w:right w:val="single" w:sz="4" w:space="0" w:color="auto"/>
            </w:tcBorders>
          </w:tcPr>
          <w:p w:rsidR="00FA6CD8" w:rsidRPr="00C81D54" w:rsidRDefault="00FA6CD8" w:rsidP="00FA6CD8">
            <w:pPr>
              <w:widowControl w:val="0"/>
              <w:kinsoku w:val="0"/>
              <w:ind w:left="167" w:right="57"/>
              <w:rPr>
                <w:rFonts w:asciiTheme="majorHAnsi" w:hAnsiTheme="majorHAnsi"/>
                <w:sz w:val="20"/>
                <w:lang w:eastAsia="it-IT"/>
              </w:rPr>
            </w:pPr>
            <w:r>
              <w:rPr>
                <w:rFonts w:asciiTheme="majorHAnsi" w:hAnsiTheme="majorHAnsi"/>
                <w:sz w:val="20"/>
                <w:lang w:eastAsia="it-IT"/>
              </w:rPr>
              <w:t xml:space="preserve">In accordance with barter agreements, the currency exchange rate at the time of delivery of service is being applied for WT16.  When one type of service has been delivered at different times, the average of the currency exchange rates is being used. These will also be done for future events.  </w:t>
            </w:r>
          </w:p>
        </w:tc>
      </w:tr>
      <w:tr w:rsidR="00FA6CD8" w:rsidRPr="00C81D54" w:rsidTr="002E69D7">
        <w:trPr>
          <w:cantSplit/>
          <w:trHeight w:val="1228"/>
        </w:trPr>
        <w:tc>
          <w:tcPr>
            <w:tcW w:w="535" w:type="pct"/>
            <w:tcBorders>
              <w:top w:val="single" w:sz="4" w:space="0" w:color="auto"/>
              <w:left w:val="single" w:sz="4" w:space="0" w:color="auto"/>
              <w:bottom w:val="single" w:sz="4" w:space="0" w:color="auto"/>
              <w:right w:val="single" w:sz="4" w:space="0" w:color="auto"/>
            </w:tcBorders>
          </w:tcPr>
          <w:p w:rsidR="00FA6CD8" w:rsidRPr="00C81D54" w:rsidRDefault="00FA6CD8" w:rsidP="00FA6CD8">
            <w:pPr>
              <w:widowControl w:val="0"/>
              <w:kinsoku w:val="0"/>
              <w:adjustRightInd/>
              <w:jc w:val="center"/>
              <w:rPr>
                <w:rFonts w:asciiTheme="majorHAnsi" w:hAnsiTheme="majorHAnsi"/>
                <w:b/>
                <w:bCs/>
                <w:sz w:val="20"/>
                <w:lang w:eastAsia="it-IT"/>
              </w:rPr>
            </w:pPr>
            <w:r>
              <w:rPr>
                <w:rFonts w:asciiTheme="majorHAnsi" w:hAnsiTheme="majorHAnsi"/>
                <w:b/>
                <w:bCs/>
                <w:sz w:val="20"/>
                <w:lang w:eastAsia="it-IT"/>
              </w:rPr>
              <w:t>Rec 2/2015</w:t>
            </w:r>
          </w:p>
        </w:tc>
        <w:tc>
          <w:tcPr>
            <w:tcW w:w="1356" w:type="pct"/>
            <w:tcBorders>
              <w:top w:val="single" w:sz="4" w:space="0" w:color="auto"/>
              <w:left w:val="single" w:sz="4" w:space="0" w:color="auto"/>
              <w:bottom w:val="single" w:sz="4" w:space="0" w:color="auto"/>
              <w:right w:val="single" w:sz="4" w:space="0" w:color="auto"/>
            </w:tcBorders>
          </w:tcPr>
          <w:p w:rsidR="00FA6CD8" w:rsidRPr="00CF69AA" w:rsidRDefault="00FA6CD8" w:rsidP="00FA6CD8">
            <w:pPr>
              <w:widowControl w:val="0"/>
              <w:kinsoku w:val="0"/>
              <w:ind w:left="93" w:right="57"/>
              <w:rPr>
                <w:rFonts w:asciiTheme="majorHAnsi" w:hAnsiTheme="majorHAnsi"/>
                <w:sz w:val="20"/>
                <w:lang w:eastAsia="it-IT"/>
              </w:rPr>
            </w:pPr>
            <w:r w:rsidRPr="00CF69AA">
              <w:rPr>
                <w:rFonts w:asciiTheme="majorHAnsi" w:hAnsiTheme="majorHAnsi"/>
                <w:sz w:val="20"/>
                <w:u w:val="single"/>
                <w:lang w:eastAsia="it-IT"/>
              </w:rPr>
              <w:t>We</w:t>
            </w:r>
            <w:r w:rsidRPr="00CF69AA">
              <w:rPr>
                <w:rFonts w:asciiTheme="majorHAnsi" w:hAnsiTheme="majorHAnsi"/>
                <w:sz w:val="20"/>
                <w:lang w:eastAsia="it-IT"/>
              </w:rPr>
              <w:t xml:space="preserve"> therefore </w:t>
            </w:r>
            <w:r w:rsidRPr="00CF69AA">
              <w:rPr>
                <w:rFonts w:asciiTheme="majorHAnsi" w:hAnsiTheme="majorHAnsi"/>
                <w:sz w:val="20"/>
                <w:u w:val="single"/>
                <w:lang w:eastAsia="it-IT"/>
              </w:rPr>
              <w:t>recommend</w:t>
            </w:r>
            <w:r w:rsidRPr="00CF69AA">
              <w:rPr>
                <w:rFonts w:asciiTheme="majorHAnsi" w:hAnsiTheme="majorHAnsi"/>
                <w:sz w:val="20"/>
                <w:lang w:eastAsia="it-IT"/>
              </w:rPr>
              <w:t xml:space="preserve"> to indicate in a more detailed way the service to be rendered by the partner as “Regular promotion”, and to check it eventually, for instance including thorough tracking the number of posts and the use of the official hashtag. (Please refer also to Suggestion no. 3/2014).</w:t>
            </w:r>
          </w:p>
          <w:p w:rsidR="00FA6CD8" w:rsidRPr="00C81D54" w:rsidRDefault="00FA6CD8" w:rsidP="00FA6CD8">
            <w:pPr>
              <w:widowControl w:val="0"/>
              <w:kinsoku w:val="0"/>
              <w:ind w:left="93" w:right="57"/>
              <w:rPr>
                <w:rFonts w:asciiTheme="majorHAnsi" w:hAnsiTheme="majorHAnsi"/>
                <w:sz w:val="20"/>
                <w:lang w:eastAsia="it-IT"/>
              </w:rPr>
            </w:pPr>
          </w:p>
        </w:tc>
        <w:tc>
          <w:tcPr>
            <w:tcW w:w="1463" w:type="pct"/>
            <w:tcBorders>
              <w:top w:val="single" w:sz="4" w:space="0" w:color="auto"/>
              <w:left w:val="single" w:sz="4" w:space="0" w:color="auto"/>
              <w:bottom w:val="single" w:sz="4" w:space="0" w:color="auto"/>
              <w:right w:val="single" w:sz="4" w:space="0" w:color="auto"/>
            </w:tcBorders>
          </w:tcPr>
          <w:p w:rsidR="00FA6CD8" w:rsidRPr="00CF69AA" w:rsidRDefault="00FA6CD8" w:rsidP="00FA6CD8">
            <w:pPr>
              <w:widowControl w:val="0"/>
              <w:kinsoku w:val="0"/>
              <w:ind w:left="233" w:right="57"/>
              <w:rPr>
                <w:rFonts w:asciiTheme="majorHAnsi" w:hAnsiTheme="majorHAnsi"/>
                <w:sz w:val="20"/>
                <w:lang w:eastAsia="it-IT"/>
              </w:rPr>
            </w:pPr>
            <w:r w:rsidRPr="00CF69AA">
              <w:rPr>
                <w:rFonts w:asciiTheme="majorHAnsi" w:hAnsiTheme="majorHAnsi"/>
                <w:sz w:val="20"/>
                <w:lang w:eastAsia="it-IT"/>
              </w:rPr>
              <w:t>Barter Agreements for 2016 and subsequent events, will clearly specify the quantity and volume of services to be provided to ITU. Deliverables will be monitored and tracked.</w:t>
            </w:r>
          </w:p>
          <w:p w:rsidR="00FA6CD8" w:rsidRPr="00C81D54" w:rsidRDefault="00FA6CD8" w:rsidP="00FA6CD8">
            <w:pPr>
              <w:widowControl w:val="0"/>
              <w:kinsoku w:val="0"/>
              <w:ind w:left="233" w:right="57"/>
              <w:rPr>
                <w:rFonts w:asciiTheme="majorHAnsi" w:hAnsiTheme="majorHAnsi"/>
                <w:sz w:val="20"/>
                <w:lang w:eastAsia="it-IT"/>
              </w:rPr>
            </w:pPr>
          </w:p>
        </w:tc>
        <w:tc>
          <w:tcPr>
            <w:tcW w:w="1646" w:type="pct"/>
            <w:tcBorders>
              <w:top w:val="single" w:sz="4" w:space="0" w:color="auto"/>
              <w:left w:val="single" w:sz="4" w:space="0" w:color="auto"/>
              <w:bottom w:val="single" w:sz="4" w:space="0" w:color="auto"/>
              <w:right w:val="single" w:sz="4" w:space="0" w:color="auto"/>
            </w:tcBorders>
          </w:tcPr>
          <w:p w:rsidR="00FA6CD8" w:rsidRPr="00C81D54" w:rsidRDefault="00FA6CD8" w:rsidP="00FA6CD8">
            <w:pPr>
              <w:widowControl w:val="0"/>
              <w:kinsoku w:val="0"/>
              <w:ind w:left="167" w:right="57"/>
              <w:rPr>
                <w:rFonts w:asciiTheme="majorHAnsi" w:hAnsiTheme="majorHAnsi"/>
                <w:sz w:val="20"/>
                <w:lang w:eastAsia="it-IT"/>
              </w:rPr>
            </w:pPr>
            <w:r>
              <w:rPr>
                <w:rFonts w:asciiTheme="majorHAnsi" w:hAnsiTheme="majorHAnsi"/>
                <w:sz w:val="20"/>
                <w:lang w:eastAsia="it-IT"/>
              </w:rPr>
              <w:t>Barter agreements for WT16 clearly specified the quantity of volume of services that has been provided to ITU.  Deliverables are being monitored and tracked.</w:t>
            </w:r>
          </w:p>
        </w:tc>
      </w:tr>
    </w:tbl>
    <w:p w:rsidR="002E69D7" w:rsidRDefault="002E69D7" w:rsidP="002E69D7">
      <w:pPr>
        <w:snapToGrid w:val="0"/>
        <w:spacing w:before="0"/>
        <w:rPr>
          <w:rFonts w:asciiTheme="majorHAnsi" w:hAnsiTheme="majorHAnsi"/>
          <w:u w:val="single"/>
          <w:lang w:val="it-IT"/>
        </w:rPr>
      </w:pPr>
    </w:p>
    <w:p w:rsidR="005E4D98" w:rsidRPr="00C81D54" w:rsidRDefault="005E4D98" w:rsidP="005E4D98">
      <w:pPr>
        <w:snapToGrid w:val="0"/>
        <w:spacing w:before="0"/>
        <w:jc w:val="center"/>
        <w:rPr>
          <w:rFonts w:asciiTheme="majorHAnsi" w:hAnsiTheme="majorHAnsi"/>
          <w:u w:val="single"/>
          <w:lang w:val="it-IT"/>
        </w:rPr>
      </w:pPr>
      <w:r>
        <w:rPr>
          <w:rFonts w:asciiTheme="majorHAnsi" w:hAnsiTheme="majorHAnsi"/>
          <w:u w:val="single"/>
          <w:lang w:val="it-IT"/>
        </w:rPr>
        <w:t>_____________</w:t>
      </w:r>
    </w:p>
    <w:sectPr w:rsidR="005E4D98" w:rsidRPr="00C81D54" w:rsidSect="001652AD">
      <w:headerReference w:type="first" r:id="rId10"/>
      <w:pgSz w:w="16834" w:h="11907" w:orient="landscape" w:code="9"/>
      <w:pgMar w:top="1134" w:right="1418" w:bottom="1134" w:left="1134" w:header="567" w:footer="567" w:gutter="0"/>
      <w:paperSrc w:first="1271" w:other="127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F5B" w:rsidRDefault="00C27F5B">
      <w:pPr>
        <w:spacing w:before="0"/>
      </w:pPr>
      <w:r>
        <w:separator/>
      </w:r>
    </w:p>
  </w:endnote>
  <w:endnote w:type="continuationSeparator" w:id="0">
    <w:p w:rsidR="00C27F5B" w:rsidRDefault="00C27F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F5B" w:rsidRDefault="00C27F5B">
      <w:r>
        <w:t>____________________</w:t>
      </w:r>
    </w:p>
    <w:p w:rsidR="00C27F5B" w:rsidRDefault="00C27F5B"/>
  </w:footnote>
  <w:footnote w:type="continuationSeparator" w:id="0">
    <w:p w:rsidR="00C27F5B" w:rsidRDefault="00C27F5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32" w:rsidRPr="000851BF" w:rsidRDefault="001A397F">
    <w:pPr>
      <w:pStyle w:val="Header"/>
      <w:rPr>
        <w:rFonts w:asciiTheme="majorHAnsi" w:hAnsiTheme="majorHAnsi"/>
        <w:szCs w:val="22"/>
      </w:rPr>
    </w:pPr>
    <w:r w:rsidRPr="000851BF">
      <w:rPr>
        <w:rFonts w:asciiTheme="majorHAnsi" w:hAnsiTheme="majorHAnsi"/>
        <w:szCs w:val="22"/>
      </w:rPr>
      <w:t xml:space="preserve">- </w:t>
    </w:r>
    <w:r w:rsidRPr="000851BF">
      <w:rPr>
        <w:rFonts w:asciiTheme="majorHAnsi" w:hAnsiTheme="majorHAnsi"/>
        <w:szCs w:val="22"/>
      </w:rPr>
      <w:fldChar w:fldCharType="begin"/>
    </w:r>
    <w:r w:rsidRPr="000851BF">
      <w:rPr>
        <w:rFonts w:asciiTheme="majorHAnsi" w:hAnsiTheme="majorHAnsi"/>
        <w:szCs w:val="22"/>
      </w:rPr>
      <w:instrText>PAGE</w:instrText>
    </w:r>
    <w:r w:rsidRPr="000851BF">
      <w:rPr>
        <w:rFonts w:asciiTheme="majorHAnsi" w:hAnsiTheme="majorHAnsi"/>
        <w:szCs w:val="22"/>
      </w:rPr>
      <w:fldChar w:fldCharType="separate"/>
    </w:r>
    <w:r w:rsidR="00500CEA">
      <w:rPr>
        <w:rFonts w:asciiTheme="majorHAnsi" w:hAnsiTheme="majorHAnsi"/>
        <w:noProof/>
        <w:szCs w:val="22"/>
      </w:rPr>
      <w:t>9</w:t>
    </w:r>
    <w:r w:rsidRPr="000851BF">
      <w:rPr>
        <w:rFonts w:asciiTheme="majorHAnsi" w:hAnsiTheme="majorHAnsi"/>
        <w:szCs w:val="22"/>
      </w:rPr>
      <w:fldChar w:fldCharType="end"/>
    </w:r>
    <w:r w:rsidRPr="000851BF">
      <w:rPr>
        <w:rFonts w:asciiTheme="majorHAnsi" w:hAnsiTheme="majorHAnsi"/>
        <w:szCs w:val="22"/>
      </w:rPr>
      <w:t xml:space="preserve"> -</w:t>
    </w:r>
  </w:p>
  <w:p w:rsidR="00D62F32" w:rsidRPr="000851BF" w:rsidRDefault="00D62F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709826977"/>
      <w:docPartObj>
        <w:docPartGallery w:val="Page Numbers (Top of Page)"/>
        <w:docPartUnique/>
      </w:docPartObj>
    </w:sdtPr>
    <w:sdtEndPr>
      <w:rPr>
        <w:noProof/>
      </w:rPr>
    </w:sdtEndPr>
    <w:sdtContent>
      <w:p w:rsidR="009631BC" w:rsidRPr="009631BC" w:rsidRDefault="009631BC">
        <w:pPr>
          <w:pStyle w:val="Header"/>
          <w:rPr>
            <w:rFonts w:ascii="Calibri" w:hAnsi="Calibri"/>
          </w:rPr>
        </w:pPr>
        <w:r w:rsidRPr="009631BC">
          <w:rPr>
            <w:rFonts w:ascii="Calibri" w:hAnsi="Calibri"/>
          </w:rPr>
          <w:t>- </w:t>
        </w:r>
        <w:r w:rsidRPr="009631BC">
          <w:rPr>
            <w:rFonts w:ascii="Calibri" w:hAnsi="Calibri"/>
          </w:rPr>
          <w:fldChar w:fldCharType="begin"/>
        </w:r>
        <w:r w:rsidRPr="009631BC">
          <w:rPr>
            <w:rFonts w:ascii="Calibri" w:hAnsi="Calibri"/>
          </w:rPr>
          <w:instrText xml:space="preserve"> PAGE   \* MERGEFORMAT </w:instrText>
        </w:r>
        <w:r w:rsidRPr="009631BC">
          <w:rPr>
            <w:rFonts w:ascii="Calibri" w:hAnsi="Calibri"/>
          </w:rPr>
          <w:fldChar w:fldCharType="separate"/>
        </w:r>
        <w:r w:rsidR="00500CEA">
          <w:rPr>
            <w:rFonts w:ascii="Calibri" w:hAnsi="Calibri"/>
            <w:noProof/>
          </w:rPr>
          <w:t>2</w:t>
        </w:r>
        <w:r w:rsidRPr="009631BC">
          <w:rPr>
            <w:rFonts w:ascii="Calibri" w:hAnsi="Calibri"/>
            <w:noProof/>
          </w:rPr>
          <w:fldChar w:fldCharType="end"/>
        </w:r>
        <w:r w:rsidRPr="009631BC">
          <w:rPr>
            <w:rFonts w:ascii="Calibri" w:hAnsi="Calibri"/>
            <w:noProof/>
          </w:rPr>
          <w:t> -</w:t>
        </w:r>
      </w:p>
    </w:sdtContent>
  </w:sdt>
  <w:p w:rsidR="009631BC" w:rsidRDefault="00963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441A2D"/>
    <w:multiLevelType w:val="multilevel"/>
    <w:tmpl w:val="DE342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3CE3D2D"/>
    <w:multiLevelType w:val="hybridMultilevel"/>
    <w:tmpl w:val="19F06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F6"/>
    <w:rsid w:val="000048B6"/>
    <w:rsid w:val="00020075"/>
    <w:rsid w:val="0006360F"/>
    <w:rsid w:val="00073515"/>
    <w:rsid w:val="000851BF"/>
    <w:rsid w:val="000E0EE3"/>
    <w:rsid w:val="000F4B41"/>
    <w:rsid w:val="0010369C"/>
    <w:rsid w:val="001067A8"/>
    <w:rsid w:val="00111A58"/>
    <w:rsid w:val="00113C15"/>
    <w:rsid w:val="001652AD"/>
    <w:rsid w:val="001654F0"/>
    <w:rsid w:val="00167629"/>
    <w:rsid w:val="0018162C"/>
    <w:rsid w:val="00190CAA"/>
    <w:rsid w:val="001A08BA"/>
    <w:rsid w:val="001A358B"/>
    <w:rsid w:val="001A397F"/>
    <w:rsid w:val="001C2244"/>
    <w:rsid w:val="001E089D"/>
    <w:rsid w:val="001E6D6F"/>
    <w:rsid w:val="001F6513"/>
    <w:rsid w:val="00213115"/>
    <w:rsid w:val="002348FB"/>
    <w:rsid w:val="002825FC"/>
    <w:rsid w:val="002A057A"/>
    <w:rsid w:val="002A4556"/>
    <w:rsid w:val="002D52BE"/>
    <w:rsid w:val="002E2CEC"/>
    <w:rsid w:val="002E69D7"/>
    <w:rsid w:val="002F45AA"/>
    <w:rsid w:val="00345F30"/>
    <w:rsid w:val="003707EC"/>
    <w:rsid w:val="003A518B"/>
    <w:rsid w:val="003B63BB"/>
    <w:rsid w:val="003C0491"/>
    <w:rsid w:val="003D21AD"/>
    <w:rsid w:val="003E5F22"/>
    <w:rsid w:val="0042757B"/>
    <w:rsid w:val="00430955"/>
    <w:rsid w:val="00432EF9"/>
    <w:rsid w:val="004626D5"/>
    <w:rsid w:val="00466B79"/>
    <w:rsid w:val="0049374A"/>
    <w:rsid w:val="00493C1F"/>
    <w:rsid w:val="004B5FC8"/>
    <w:rsid w:val="004C0B9C"/>
    <w:rsid w:val="004C1EBC"/>
    <w:rsid w:val="004E5F0E"/>
    <w:rsid w:val="004F5C87"/>
    <w:rsid w:val="00500CEA"/>
    <w:rsid w:val="00562AE5"/>
    <w:rsid w:val="0058154F"/>
    <w:rsid w:val="005821B7"/>
    <w:rsid w:val="00591DF7"/>
    <w:rsid w:val="005C3834"/>
    <w:rsid w:val="005D37B3"/>
    <w:rsid w:val="005D7FEB"/>
    <w:rsid w:val="005E2E49"/>
    <w:rsid w:val="005E4D98"/>
    <w:rsid w:val="00622832"/>
    <w:rsid w:val="006259B3"/>
    <w:rsid w:val="00632810"/>
    <w:rsid w:val="00640C75"/>
    <w:rsid w:val="0065217F"/>
    <w:rsid w:val="006558FE"/>
    <w:rsid w:val="00693F46"/>
    <w:rsid w:val="006A4705"/>
    <w:rsid w:val="006B62E6"/>
    <w:rsid w:val="006C73F6"/>
    <w:rsid w:val="006D6F41"/>
    <w:rsid w:val="006E2CAD"/>
    <w:rsid w:val="006E4D4E"/>
    <w:rsid w:val="006E638A"/>
    <w:rsid w:val="006E7724"/>
    <w:rsid w:val="006F74C5"/>
    <w:rsid w:val="00710493"/>
    <w:rsid w:val="00725E40"/>
    <w:rsid w:val="00751B2B"/>
    <w:rsid w:val="00784434"/>
    <w:rsid w:val="007C57CB"/>
    <w:rsid w:val="007D576F"/>
    <w:rsid w:val="007D77D3"/>
    <w:rsid w:val="007E4D7C"/>
    <w:rsid w:val="007F6185"/>
    <w:rsid w:val="008107F5"/>
    <w:rsid w:val="00824EB0"/>
    <w:rsid w:val="0083666D"/>
    <w:rsid w:val="00851C12"/>
    <w:rsid w:val="00853EDC"/>
    <w:rsid w:val="00871229"/>
    <w:rsid w:val="00895BCC"/>
    <w:rsid w:val="008C25DC"/>
    <w:rsid w:val="008C3792"/>
    <w:rsid w:val="008D0638"/>
    <w:rsid w:val="008F22E5"/>
    <w:rsid w:val="008F50C0"/>
    <w:rsid w:val="00922794"/>
    <w:rsid w:val="0093428B"/>
    <w:rsid w:val="009605F6"/>
    <w:rsid w:val="009631BC"/>
    <w:rsid w:val="009658AA"/>
    <w:rsid w:val="0099697C"/>
    <w:rsid w:val="009B133B"/>
    <w:rsid w:val="009C0923"/>
    <w:rsid w:val="009D4B5F"/>
    <w:rsid w:val="009F2572"/>
    <w:rsid w:val="009F3E07"/>
    <w:rsid w:val="009F4131"/>
    <w:rsid w:val="00A04138"/>
    <w:rsid w:val="00A10205"/>
    <w:rsid w:val="00A2653E"/>
    <w:rsid w:val="00A4069D"/>
    <w:rsid w:val="00A408C6"/>
    <w:rsid w:val="00A632F1"/>
    <w:rsid w:val="00A8251C"/>
    <w:rsid w:val="00AB1DD8"/>
    <w:rsid w:val="00AD799E"/>
    <w:rsid w:val="00AE0C3C"/>
    <w:rsid w:val="00AE1897"/>
    <w:rsid w:val="00AE6CCF"/>
    <w:rsid w:val="00B6465C"/>
    <w:rsid w:val="00BB16DF"/>
    <w:rsid w:val="00BC4D5C"/>
    <w:rsid w:val="00BD2221"/>
    <w:rsid w:val="00C01852"/>
    <w:rsid w:val="00C13A66"/>
    <w:rsid w:val="00C27F5B"/>
    <w:rsid w:val="00C571DA"/>
    <w:rsid w:val="00C72835"/>
    <w:rsid w:val="00C77EF6"/>
    <w:rsid w:val="00C809B4"/>
    <w:rsid w:val="00C80D1B"/>
    <w:rsid w:val="00C81D54"/>
    <w:rsid w:val="00CC106C"/>
    <w:rsid w:val="00CF69AA"/>
    <w:rsid w:val="00D10EB6"/>
    <w:rsid w:val="00D270FA"/>
    <w:rsid w:val="00D6054C"/>
    <w:rsid w:val="00D62B1D"/>
    <w:rsid w:val="00D62F32"/>
    <w:rsid w:val="00D95C37"/>
    <w:rsid w:val="00DB6A0C"/>
    <w:rsid w:val="00DD3190"/>
    <w:rsid w:val="00DD42E2"/>
    <w:rsid w:val="00DD52D7"/>
    <w:rsid w:val="00DE0FB0"/>
    <w:rsid w:val="00E209EB"/>
    <w:rsid w:val="00E244C1"/>
    <w:rsid w:val="00E3611F"/>
    <w:rsid w:val="00E458D0"/>
    <w:rsid w:val="00E54AED"/>
    <w:rsid w:val="00E80D86"/>
    <w:rsid w:val="00E93E3A"/>
    <w:rsid w:val="00EE1696"/>
    <w:rsid w:val="00EF1A08"/>
    <w:rsid w:val="00EF33A8"/>
    <w:rsid w:val="00EF4E88"/>
    <w:rsid w:val="00F02683"/>
    <w:rsid w:val="00F67992"/>
    <w:rsid w:val="00F738FB"/>
    <w:rsid w:val="00FA2B65"/>
    <w:rsid w:val="00FA6CD8"/>
    <w:rsid w:val="00FD0704"/>
    <w:rsid w:val="00FE51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D413D-9B5A-4554-B3CB-4026908E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ind w:left="0" w:firstLine="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spacing w:before="80"/>
    </w:pPr>
  </w:style>
  <w:style w:type="paragraph" w:styleId="TOC3">
    <w:name w:val="toc 3"/>
    <w:basedOn w:val="TOC2"/>
    <w:semiHidden/>
  </w:style>
  <w:style w:type="paragraph" w:styleId="TOC2">
    <w:name w:val="toc 2"/>
    <w:basedOn w:val="TOC1"/>
    <w:semiHidden/>
    <w:pPr>
      <w:spacing w:before="160"/>
    </w:pPr>
  </w:style>
  <w:style w:type="paragraph" w:styleId="TOC1">
    <w:name w:val="toc 1"/>
    <w:basedOn w:val="Normal"/>
    <w:semiHidden/>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left" w:pos="5954"/>
        <w:tab w:val="right" w:pos="9639"/>
      </w:tabs>
      <w:spacing w:before="0"/>
    </w:pPr>
    <w:rPr>
      <w:caps/>
      <w:noProof/>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style>
  <w:style w:type="paragraph" w:styleId="NormalIndent">
    <w:name w:val="Normal Indent"/>
    <w:basedOn w:val="Normal"/>
    <w:semiHidden/>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Print-FromToSubjectDate">
    <w:name w:val="Print- From: To: Subject: Date:"/>
    <w:basedOn w:val="Normal"/>
    <w:pPr>
      <w:pBdr>
        <w:left w:val="single" w:sz="18" w:space="1" w:color="auto"/>
      </w:pBdr>
      <w:tabs>
        <w:tab w:val="clear" w:pos="794"/>
        <w:tab w:val="clear" w:pos="1191"/>
        <w:tab w:val="clear" w:pos="1588"/>
        <w:tab w:val="clear" w:pos="1985"/>
      </w:tabs>
      <w:spacing w:before="0"/>
    </w:pPr>
    <w:rPr>
      <w:rFonts w:ascii="Arial" w:hAnsi="Arial"/>
      <w:sz w:val="20"/>
      <w:lang w:val="en-US"/>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semiHidden/>
    <w:rPr>
      <w:color w:val="0000FF"/>
      <w:u w:val="single"/>
    </w:rPr>
  </w:style>
  <w:style w:type="paragraph" w:customStyle="1" w:styleId="FirstFooter">
    <w:name w:val="FirstFooter"/>
    <w:basedOn w:val="Footer"/>
    <w:pPr>
      <w:tabs>
        <w:tab w:val="left" w:pos="567"/>
        <w:tab w:val="left" w:pos="1134"/>
        <w:tab w:val="left" w:pos="1701"/>
        <w:tab w:val="left" w:pos="2268"/>
        <w:tab w:val="left" w:pos="2835"/>
        <w:tab w:val="left" w:pos="6237"/>
      </w:tabs>
    </w:p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emiHidden/>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semiHidden/>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emiHidden/>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Annex">
    <w:name w:val="Annex_#"/>
    <w:basedOn w:val="Normal"/>
    <w:next w:val="AnnexRef0"/>
    <w:rsid w:val="00824EB0"/>
    <w:pPr>
      <w:keepNext/>
      <w:keepLines/>
      <w:spacing w:before="480" w:after="80"/>
      <w:jc w:val="center"/>
    </w:pPr>
    <w:rPr>
      <w:caps/>
      <w:sz w:val="28"/>
      <w:szCs w:val="28"/>
      <w:lang w:eastAsia="zh-CN"/>
    </w:rPr>
  </w:style>
  <w:style w:type="paragraph" w:customStyle="1" w:styleId="AnnexRef0">
    <w:name w:val="Annex_Ref"/>
    <w:basedOn w:val="Normal"/>
    <w:next w:val="AnnexTitle0"/>
    <w:rsid w:val="00824EB0"/>
    <w:pPr>
      <w:keepNext/>
      <w:keepLines/>
      <w:jc w:val="center"/>
    </w:pPr>
    <w:rPr>
      <w:szCs w:val="24"/>
      <w:lang w:eastAsia="zh-CN"/>
    </w:rPr>
  </w:style>
  <w:style w:type="paragraph" w:customStyle="1" w:styleId="AnnexTitle0">
    <w:name w:val="Annex_Title"/>
    <w:basedOn w:val="Normal"/>
    <w:next w:val="Normalaftertitle"/>
    <w:rsid w:val="00824EB0"/>
    <w:pPr>
      <w:keepNext/>
      <w:keepLines/>
      <w:spacing w:before="240" w:after="280"/>
      <w:jc w:val="center"/>
    </w:pPr>
    <w:rPr>
      <w:b/>
      <w:bCs/>
      <w:sz w:val="28"/>
      <w:szCs w:val="28"/>
      <w:lang w:eastAsia="zh-CN"/>
    </w:rPr>
  </w:style>
  <w:style w:type="paragraph" w:customStyle="1" w:styleId="RecTitle0">
    <w:name w:val="Rec_Title"/>
    <w:basedOn w:val="Normal"/>
    <w:next w:val="Heading1"/>
    <w:rsid w:val="00824EB0"/>
    <w:pPr>
      <w:keepNext/>
      <w:keepLines/>
      <w:spacing w:before="240"/>
      <w:jc w:val="center"/>
    </w:pPr>
    <w:rPr>
      <w:b/>
      <w:bCs/>
      <w:caps/>
      <w:sz w:val="28"/>
      <w:szCs w:val="28"/>
      <w:lang w:eastAsia="zh-CN"/>
    </w:rPr>
  </w:style>
  <w:style w:type="paragraph" w:customStyle="1" w:styleId="call0">
    <w:name w:val="call"/>
    <w:basedOn w:val="Normal"/>
    <w:next w:val="Normal"/>
    <w:rsid w:val="00824EB0"/>
    <w:pPr>
      <w:keepNext/>
      <w:keepLines/>
      <w:spacing w:before="160"/>
      <w:ind w:left="794"/>
    </w:pPr>
    <w:rPr>
      <w:i/>
      <w:iCs/>
      <w:szCs w:val="24"/>
      <w:lang w:eastAsia="zh-CN"/>
    </w:rPr>
  </w:style>
  <w:style w:type="paragraph" w:customStyle="1" w:styleId="Rec">
    <w:name w:val="Rec_#"/>
    <w:basedOn w:val="Normal"/>
    <w:next w:val="RecTitle0"/>
    <w:rsid w:val="00824EB0"/>
    <w:pPr>
      <w:keepNext/>
      <w:keepLines/>
      <w:spacing w:before="480"/>
      <w:jc w:val="center"/>
    </w:pPr>
    <w:rPr>
      <w:caps/>
      <w:sz w:val="28"/>
      <w:szCs w:val="28"/>
      <w:lang w:eastAsia="zh-CN"/>
    </w:rPr>
  </w:style>
  <w:style w:type="paragraph" w:styleId="BalloonText">
    <w:name w:val="Balloon Text"/>
    <w:basedOn w:val="Normal"/>
    <w:link w:val="BalloonTextChar"/>
    <w:uiPriority w:val="99"/>
    <w:semiHidden/>
    <w:unhideWhenUsed/>
    <w:rsid w:val="002E69D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7"/>
    <w:rPr>
      <w:rFonts w:ascii="Tahoma" w:hAnsi="Tahoma" w:cs="Tahoma"/>
      <w:sz w:val="16"/>
      <w:szCs w:val="16"/>
      <w:lang w:val="en-GB" w:eastAsia="en-US"/>
    </w:rPr>
  </w:style>
  <w:style w:type="paragraph" w:styleId="BodyText">
    <w:name w:val="Body Text"/>
    <w:basedOn w:val="Normal"/>
    <w:link w:val="BodyTextChar"/>
    <w:semiHidden/>
    <w:unhideWhenUsed/>
    <w:rsid w:val="002E69D7"/>
    <w:pPr>
      <w:tabs>
        <w:tab w:val="clear" w:pos="794"/>
        <w:tab w:val="clear" w:pos="1191"/>
        <w:tab w:val="clear" w:pos="1588"/>
        <w:tab w:val="clear" w:pos="1985"/>
      </w:tabs>
      <w:overflowPunct/>
      <w:textAlignment w:val="auto"/>
    </w:pPr>
    <w:rPr>
      <w:rFonts w:ascii="Arial" w:hAnsi="Arial" w:cs="Arial"/>
      <w:sz w:val="20"/>
      <w:lang w:val="fr-CH"/>
    </w:rPr>
  </w:style>
  <w:style w:type="character" w:customStyle="1" w:styleId="BodyTextChar">
    <w:name w:val="Body Text Char"/>
    <w:basedOn w:val="DefaultParagraphFont"/>
    <w:link w:val="BodyText"/>
    <w:semiHidden/>
    <w:rsid w:val="002E69D7"/>
    <w:rPr>
      <w:rFonts w:ascii="Arial" w:hAnsi="Arial" w:cs="Arial"/>
      <w:lang w:val="fr-CH" w:eastAsia="en-US"/>
    </w:rPr>
  </w:style>
  <w:style w:type="character" w:customStyle="1" w:styleId="HeaderChar">
    <w:name w:val="Header Char"/>
    <w:basedOn w:val="DefaultParagraphFont"/>
    <w:link w:val="Header"/>
    <w:uiPriority w:val="99"/>
    <w:rsid w:val="009631BC"/>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6185">
      <w:bodyDiv w:val="1"/>
      <w:marLeft w:val="0"/>
      <w:marRight w:val="0"/>
      <w:marTop w:val="0"/>
      <w:marBottom w:val="0"/>
      <w:divBdr>
        <w:top w:val="none" w:sz="0" w:space="0" w:color="auto"/>
        <w:left w:val="none" w:sz="0" w:space="0" w:color="auto"/>
        <w:bottom w:val="none" w:sz="0" w:space="0" w:color="auto"/>
        <w:right w:val="none" w:sz="0" w:space="0" w:color="auto"/>
      </w:divBdr>
    </w:div>
    <w:div w:id="429666839">
      <w:bodyDiv w:val="1"/>
      <w:marLeft w:val="0"/>
      <w:marRight w:val="0"/>
      <w:marTop w:val="0"/>
      <w:marBottom w:val="0"/>
      <w:divBdr>
        <w:top w:val="none" w:sz="0" w:space="0" w:color="auto"/>
        <w:left w:val="none" w:sz="0" w:space="0" w:color="auto"/>
        <w:bottom w:val="none" w:sz="0" w:space="0" w:color="auto"/>
        <w:right w:val="none" w:sz="0" w:space="0" w:color="auto"/>
      </w:divBdr>
    </w:div>
    <w:div w:id="475493307">
      <w:bodyDiv w:val="1"/>
      <w:marLeft w:val="0"/>
      <w:marRight w:val="0"/>
      <w:marTop w:val="0"/>
      <w:marBottom w:val="0"/>
      <w:divBdr>
        <w:top w:val="none" w:sz="0" w:space="0" w:color="auto"/>
        <w:left w:val="none" w:sz="0" w:space="0" w:color="auto"/>
        <w:bottom w:val="none" w:sz="0" w:space="0" w:color="auto"/>
        <w:right w:val="none" w:sz="0" w:space="0" w:color="auto"/>
      </w:divBdr>
    </w:div>
    <w:div w:id="1153329137">
      <w:bodyDiv w:val="1"/>
      <w:marLeft w:val="0"/>
      <w:marRight w:val="0"/>
      <w:marTop w:val="0"/>
      <w:marBottom w:val="0"/>
      <w:divBdr>
        <w:top w:val="none" w:sz="0" w:space="0" w:color="auto"/>
        <w:left w:val="none" w:sz="0" w:space="0" w:color="auto"/>
        <w:bottom w:val="none" w:sz="0" w:space="0" w:color="auto"/>
        <w:right w:val="none" w:sz="0" w:space="0" w:color="auto"/>
      </w:divBdr>
    </w:div>
    <w:div w:id="16827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E%20-%20ITU\PE_C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EF8A-9D8F-494F-A223-DF5775CF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PE_C2000.DOT</Template>
  <TotalTime>1</TotalTime>
  <Pages>9</Pages>
  <Words>2646</Words>
  <Characters>13943</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2000</dc:subject>
  <dc:creator>Janin, Patricia</dc:creator>
  <cp:keywords>C2000</cp:keywords>
  <dc:description>Document C2000/89-E  For: _x000d_Document date: 28 July 2000_x000d_Saved by VR__2721 at 10:21:47 AM on 8/2/00</dc:description>
  <cp:lastModifiedBy>Janin</cp:lastModifiedBy>
  <cp:revision>3</cp:revision>
  <cp:lastPrinted>2015-09-11T12:14:00Z</cp:lastPrinted>
  <dcterms:created xsi:type="dcterms:W3CDTF">2016-12-21T06:36:00Z</dcterms:created>
  <dcterms:modified xsi:type="dcterms:W3CDTF">2016-12-22T12:20:00Z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C2000/89-E</vt:lpwstr>
  </property>
  <property fmtid="{D5CDD505-2E9C-101B-9397-08002B2CF9AE}" pid="3" name="Docdate">
    <vt:lpwstr>28 July 2000</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