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="-176" w:tblpY="-675"/>
        <w:tblW w:w="10314" w:type="dxa"/>
        <w:tblLayout w:type="fixed"/>
        <w:tblLook w:val="0000" w:firstRow="0" w:lastRow="0" w:firstColumn="0" w:lastColumn="0" w:noHBand="0" w:noVBand="0"/>
      </w:tblPr>
      <w:tblGrid>
        <w:gridCol w:w="6629"/>
        <w:gridCol w:w="3685"/>
      </w:tblGrid>
      <w:tr w:rsidR="003E1743" w:rsidRPr="003E1743" w:rsidTr="00A1155F">
        <w:trPr>
          <w:cantSplit/>
        </w:trPr>
        <w:tc>
          <w:tcPr>
            <w:tcW w:w="6629" w:type="dxa"/>
          </w:tcPr>
          <w:p w:rsidR="003E1743" w:rsidRPr="003E1743" w:rsidRDefault="003E1743" w:rsidP="003E1743">
            <w:pPr>
              <w:spacing w:before="360" w:after="48" w:line="240" w:lineRule="auto"/>
              <w:jc w:val="left"/>
              <w:rPr>
                <w:rFonts w:ascii="Calibri" w:eastAsia="SimSun" w:hAnsi="Calibri" w:cs="Times New Roman"/>
                <w:b/>
                <w:position w:val="6"/>
                <w:sz w:val="26"/>
                <w:szCs w:val="26"/>
                <w:lang w:val="en-AU" w:eastAsia="en-AU"/>
              </w:rPr>
            </w:pPr>
            <w:bookmarkStart w:id="0" w:name="dc06"/>
            <w:bookmarkEnd w:id="0"/>
            <w:r w:rsidRPr="003E1743">
              <w:rPr>
                <w:rFonts w:ascii="Calibri" w:eastAsia="SimSun" w:hAnsi="Calibri" w:cs="Times New Roman"/>
                <w:b/>
                <w:position w:val="6"/>
                <w:sz w:val="26"/>
                <w:szCs w:val="26"/>
                <w:lang w:eastAsia="en-AU"/>
              </w:rPr>
              <w:t>COUNCIL WORKING GROUP ON</w:t>
            </w:r>
            <w:r w:rsidRPr="003E1743">
              <w:rPr>
                <w:rFonts w:ascii="Calibri" w:eastAsia="SimSun" w:hAnsi="Calibri" w:cs="Times New Roman"/>
                <w:b/>
                <w:position w:val="6"/>
                <w:sz w:val="26"/>
                <w:szCs w:val="26"/>
                <w:lang w:eastAsia="en-AU"/>
              </w:rPr>
              <w:br/>
              <w:t>FINANCIAL AND HUMAN RESOURCES</w:t>
            </w:r>
            <w:r w:rsidRPr="003E1743">
              <w:rPr>
                <w:rFonts w:ascii="Calibri" w:eastAsia="SimSun" w:hAnsi="Calibri" w:cs="Times New Roman"/>
                <w:b/>
                <w:position w:val="6"/>
                <w:sz w:val="26"/>
                <w:szCs w:val="26"/>
                <w:lang w:eastAsia="en-AU"/>
              </w:rPr>
              <w:br/>
            </w:r>
            <w:r w:rsidRPr="003E1743">
              <w:rPr>
                <w:rFonts w:ascii="Calibri" w:eastAsia="SimSun" w:hAnsi="Calibri" w:cs="Times New Roman Bold"/>
                <w:bCs/>
                <w:sz w:val="24"/>
                <w:szCs w:val="24"/>
                <w:lang w:val="en-AU" w:eastAsia="en-AU"/>
              </w:rPr>
              <w:t>7</w:t>
            </w:r>
            <w:r w:rsidRPr="003E1743">
              <w:rPr>
                <w:rFonts w:ascii="Calibri" w:eastAsia="SimSun" w:hAnsi="Calibri" w:cs="Times New Roman Bold"/>
                <w:bCs/>
                <w:sz w:val="24"/>
                <w:szCs w:val="24"/>
                <w:vertAlign w:val="superscript"/>
                <w:lang w:val="en-AU" w:eastAsia="en-AU"/>
              </w:rPr>
              <w:t>th</w:t>
            </w:r>
            <w:r w:rsidRPr="003E1743">
              <w:rPr>
                <w:rFonts w:ascii="Calibri" w:eastAsia="SimSun" w:hAnsi="Calibri" w:cs="Times New Roman Bold"/>
                <w:bCs/>
                <w:sz w:val="24"/>
                <w:szCs w:val="24"/>
                <w:lang w:val="en-AU" w:eastAsia="en-AU"/>
              </w:rPr>
              <w:t xml:space="preserve"> meeting, Geneva, 30 January - 1 February 2017</w:t>
            </w:r>
          </w:p>
        </w:tc>
        <w:tc>
          <w:tcPr>
            <w:tcW w:w="3685" w:type="dxa"/>
          </w:tcPr>
          <w:p w:rsidR="003E1743" w:rsidRPr="003E1743" w:rsidRDefault="003E1743" w:rsidP="003E1743">
            <w:pPr>
              <w:spacing w:after="0" w:line="240" w:lineRule="atLeast"/>
              <w:jc w:val="left"/>
              <w:rPr>
                <w:rFonts w:ascii="Times New Roman" w:eastAsia="SimSun" w:hAnsi="Times New Roman" w:cs="Times New Roman"/>
                <w:sz w:val="24"/>
                <w:szCs w:val="24"/>
                <w:lang w:val="en-AU" w:eastAsia="en-AU"/>
              </w:rPr>
            </w:pPr>
            <w:bookmarkStart w:id="1" w:name="ditulogo"/>
            <w:bookmarkEnd w:id="1"/>
            <w:r w:rsidRPr="003E1743">
              <w:rPr>
                <w:rFonts w:ascii="Calibri" w:eastAsia="SimSun" w:hAnsi="Calibri" w:cs="Calibri"/>
                <w:noProof/>
                <w:sz w:val="24"/>
                <w:szCs w:val="24"/>
              </w:rPr>
              <w:drawing>
                <wp:inline distT="0" distB="0" distL="0" distR="0" wp14:anchorId="57758625" wp14:editId="52A82869">
                  <wp:extent cx="1760220" cy="746760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0220" cy="746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E1743" w:rsidRPr="003E1743" w:rsidTr="00A1155F">
        <w:trPr>
          <w:cantSplit/>
        </w:trPr>
        <w:tc>
          <w:tcPr>
            <w:tcW w:w="6629" w:type="dxa"/>
            <w:tcBorders>
              <w:bottom w:val="single" w:sz="12" w:space="0" w:color="auto"/>
            </w:tcBorders>
          </w:tcPr>
          <w:p w:rsidR="003E1743" w:rsidRPr="003E1743" w:rsidRDefault="003E1743" w:rsidP="003E1743">
            <w:pPr>
              <w:spacing w:after="48" w:line="240" w:lineRule="atLeast"/>
              <w:jc w:val="left"/>
              <w:rPr>
                <w:rFonts w:ascii="Calibri" w:eastAsia="SimSun" w:hAnsi="Calibri" w:cs="Times New Roman"/>
                <w:b/>
                <w:smallCaps/>
                <w:sz w:val="24"/>
                <w:szCs w:val="24"/>
                <w:lang w:val="en-AU" w:eastAsia="en-AU"/>
              </w:rPr>
            </w:pPr>
            <w:r w:rsidRPr="003E1743">
              <w:rPr>
                <w:rFonts w:ascii="Calibri" w:eastAsia="SimSun" w:hAnsi="Calibri" w:cs="Times New Roman Bold"/>
                <w:bCs/>
                <w:sz w:val="24"/>
                <w:szCs w:val="24"/>
                <w:lang w:val="en-AU" w:eastAsia="en-AU"/>
              </w:rPr>
              <w:t>INTERNATIONAL TELECOMMUNICATION UNION</w:t>
            </w:r>
          </w:p>
        </w:tc>
        <w:tc>
          <w:tcPr>
            <w:tcW w:w="3685" w:type="dxa"/>
            <w:tcBorders>
              <w:bottom w:val="single" w:sz="12" w:space="0" w:color="auto"/>
            </w:tcBorders>
          </w:tcPr>
          <w:p w:rsidR="003E1743" w:rsidRPr="003E1743" w:rsidRDefault="003E1743" w:rsidP="003E1743">
            <w:pPr>
              <w:spacing w:after="0" w:line="240" w:lineRule="atLeast"/>
              <w:jc w:val="left"/>
              <w:rPr>
                <w:rFonts w:ascii="Verdana" w:eastAsia="SimSun" w:hAnsi="Verdana" w:cs="Times New Roman"/>
                <w:sz w:val="24"/>
                <w:szCs w:val="24"/>
                <w:lang w:val="en-AU" w:eastAsia="en-AU"/>
              </w:rPr>
            </w:pPr>
            <w:bookmarkStart w:id="2" w:name="_GoBack"/>
            <w:bookmarkEnd w:id="2"/>
          </w:p>
        </w:tc>
      </w:tr>
      <w:tr w:rsidR="003E1743" w:rsidRPr="003E1743" w:rsidTr="00A1155F">
        <w:trPr>
          <w:cantSplit/>
        </w:trPr>
        <w:tc>
          <w:tcPr>
            <w:tcW w:w="6629" w:type="dxa"/>
            <w:tcBorders>
              <w:top w:val="single" w:sz="12" w:space="0" w:color="auto"/>
            </w:tcBorders>
          </w:tcPr>
          <w:p w:rsidR="003E1743" w:rsidRPr="003E1743" w:rsidRDefault="003E1743" w:rsidP="003E1743">
            <w:pPr>
              <w:spacing w:after="48" w:line="240" w:lineRule="atLeast"/>
              <w:jc w:val="left"/>
              <w:rPr>
                <w:rFonts w:ascii="Times New Roman" w:eastAsia="SimSun" w:hAnsi="Times New Roman" w:cs="Times New Roman"/>
                <w:b/>
                <w:smallCaps/>
                <w:sz w:val="24"/>
                <w:szCs w:val="24"/>
                <w:lang w:val="en-AU" w:eastAsia="en-AU"/>
              </w:rPr>
            </w:pPr>
          </w:p>
        </w:tc>
        <w:tc>
          <w:tcPr>
            <w:tcW w:w="3685" w:type="dxa"/>
            <w:tcBorders>
              <w:top w:val="single" w:sz="12" w:space="0" w:color="auto"/>
            </w:tcBorders>
          </w:tcPr>
          <w:p w:rsidR="003E1743" w:rsidRPr="003E1743" w:rsidRDefault="003E1743" w:rsidP="003E1743">
            <w:pPr>
              <w:spacing w:after="0" w:line="240" w:lineRule="atLeast"/>
              <w:jc w:val="left"/>
              <w:rPr>
                <w:rFonts w:ascii="Verdana" w:eastAsia="SimSun" w:hAnsi="Verdana" w:cs="Times New Roman"/>
                <w:sz w:val="24"/>
                <w:szCs w:val="24"/>
                <w:lang w:val="en-AU" w:eastAsia="en-AU"/>
              </w:rPr>
            </w:pPr>
          </w:p>
        </w:tc>
      </w:tr>
      <w:tr w:rsidR="003E1743" w:rsidRPr="003E1743" w:rsidTr="00A1155F">
        <w:trPr>
          <w:cantSplit/>
          <w:trHeight w:val="23"/>
        </w:trPr>
        <w:tc>
          <w:tcPr>
            <w:tcW w:w="6629" w:type="dxa"/>
            <w:vMerge w:val="restart"/>
          </w:tcPr>
          <w:p w:rsidR="003E1743" w:rsidRPr="003E1743" w:rsidRDefault="003E1743" w:rsidP="003E1743">
            <w:pPr>
              <w:tabs>
                <w:tab w:val="left" w:pos="851"/>
              </w:tabs>
              <w:spacing w:after="0" w:line="240" w:lineRule="atLeast"/>
              <w:jc w:val="left"/>
              <w:rPr>
                <w:rFonts w:ascii="Calibri" w:eastAsia="SimSun" w:hAnsi="Calibri" w:cs="Times New Roman"/>
                <w:b/>
                <w:sz w:val="24"/>
                <w:szCs w:val="24"/>
                <w:lang w:val="en-AU" w:eastAsia="en-AU"/>
              </w:rPr>
            </w:pPr>
          </w:p>
        </w:tc>
        <w:tc>
          <w:tcPr>
            <w:tcW w:w="3685" w:type="dxa"/>
          </w:tcPr>
          <w:p w:rsidR="003E1743" w:rsidRPr="003E1743" w:rsidRDefault="003E1743" w:rsidP="00D068AE">
            <w:pPr>
              <w:tabs>
                <w:tab w:val="left" w:pos="851"/>
              </w:tabs>
              <w:spacing w:after="0" w:line="240" w:lineRule="atLeast"/>
              <w:jc w:val="left"/>
              <w:rPr>
                <w:rFonts w:ascii="Calibri" w:eastAsia="SimSun" w:hAnsi="Calibri" w:cs="Times New Roman"/>
                <w:b/>
                <w:sz w:val="24"/>
                <w:szCs w:val="24"/>
                <w:lang w:eastAsia="en-AU"/>
              </w:rPr>
            </w:pPr>
            <w:r w:rsidRPr="003E1743">
              <w:rPr>
                <w:rFonts w:ascii="Calibri" w:eastAsia="SimSun" w:hAnsi="Calibri" w:cs="Times New Roman"/>
                <w:b/>
                <w:sz w:val="24"/>
                <w:szCs w:val="24"/>
                <w:lang w:eastAsia="en-AU"/>
              </w:rPr>
              <w:t>Document CWG-FHR 7/</w:t>
            </w:r>
            <w:r w:rsidR="00D068AE">
              <w:rPr>
                <w:rFonts w:ascii="Calibri" w:eastAsia="SimSun" w:hAnsi="Calibri" w:cs="Times New Roman"/>
                <w:b/>
                <w:sz w:val="24"/>
                <w:szCs w:val="24"/>
                <w:lang w:eastAsia="en-AU"/>
              </w:rPr>
              <w:t>9</w:t>
            </w:r>
          </w:p>
        </w:tc>
      </w:tr>
      <w:tr w:rsidR="003E1743" w:rsidRPr="003E1743" w:rsidTr="00A1155F">
        <w:trPr>
          <w:cantSplit/>
          <w:trHeight w:val="23"/>
        </w:trPr>
        <w:tc>
          <w:tcPr>
            <w:tcW w:w="6629" w:type="dxa"/>
            <w:vMerge/>
          </w:tcPr>
          <w:p w:rsidR="003E1743" w:rsidRPr="003E1743" w:rsidRDefault="003E1743" w:rsidP="003E1743">
            <w:pPr>
              <w:tabs>
                <w:tab w:val="left" w:pos="851"/>
              </w:tabs>
              <w:spacing w:after="0" w:line="240" w:lineRule="atLeast"/>
              <w:jc w:val="left"/>
              <w:rPr>
                <w:rFonts w:ascii="Calibri" w:eastAsia="SimSun" w:hAnsi="Calibri" w:cs="Times New Roman"/>
                <w:b/>
                <w:sz w:val="24"/>
                <w:szCs w:val="24"/>
                <w:lang w:eastAsia="en-AU"/>
              </w:rPr>
            </w:pPr>
          </w:p>
        </w:tc>
        <w:tc>
          <w:tcPr>
            <w:tcW w:w="3685" w:type="dxa"/>
          </w:tcPr>
          <w:p w:rsidR="003E1743" w:rsidRPr="003E1743" w:rsidRDefault="00D068AE" w:rsidP="00D068AE">
            <w:pPr>
              <w:tabs>
                <w:tab w:val="left" w:pos="993"/>
              </w:tabs>
              <w:spacing w:after="0" w:line="240" w:lineRule="auto"/>
              <w:jc w:val="left"/>
              <w:rPr>
                <w:rFonts w:ascii="Calibri" w:eastAsia="SimSun" w:hAnsi="Calibri" w:cs="Times New Roman"/>
                <w:b/>
                <w:sz w:val="24"/>
                <w:szCs w:val="24"/>
                <w:lang w:val="en-AU" w:eastAsia="en-AU"/>
              </w:rPr>
            </w:pPr>
            <w:r w:rsidRPr="00D068AE">
              <w:rPr>
                <w:rFonts w:ascii="Calibri" w:eastAsia="SimSun" w:hAnsi="Calibri" w:cs="Times New Roman"/>
                <w:b/>
                <w:sz w:val="24"/>
                <w:szCs w:val="24"/>
                <w:lang w:val="en-AU" w:eastAsia="en-AU"/>
              </w:rPr>
              <w:t>15</w:t>
            </w:r>
            <w:r w:rsidR="003E1743" w:rsidRPr="003E1743">
              <w:rPr>
                <w:rFonts w:ascii="Calibri" w:eastAsia="SimSun" w:hAnsi="Calibri" w:cs="Times New Roman"/>
                <w:b/>
                <w:sz w:val="24"/>
                <w:szCs w:val="24"/>
                <w:lang w:val="en-AU" w:eastAsia="en-AU"/>
              </w:rPr>
              <w:t xml:space="preserve"> December 2016</w:t>
            </w:r>
          </w:p>
        </w:tc>
      </w:tr>
      <w:tr w:rsidR="003E1743" w:rsidRPr="003E1743" w:rsidTr="00A1155F">
        <w:trPr>
          <w:cantSplit/>
          <w:trHeight w:val="80"/>
        </w:trPr>
        <w:tc>
          <w:tcPr>
            <w:tcW w:w="6629" w:type="dxa"/>
            <w:vMerge/>
          </w:tcPr>
          <w:p w:rsidR="003E1743" w:rsidRPr="003E1743" w:rsidRDefault="003E1743" w:rsidP="003E1743">
            <w:pPr>
              <w:tabs>
                <w:tab w:val="left" w:pos="851"/>
              </w:tabs>
              <w:spacing w:after="0" w:line="240" w:lineRule="atLeast"/>
              <w:jc w:val="left"/>
              <w:rPr>
                <w:rFonts w:ascii="Calibri" w:eastAsia="SimSun" w:hAnsi="Calibri" w:cs="Times New Roman"/>
                <w:b/>
                <w:sz w:val="24"/>
                <w:szCs w:val="24"/>
                <w:lang w:val="en-AU" w:eastAsia="en-AU"/>
              </w:rPr>
            </w:pPr>
          </w:p>
        </w:tc>
        <w:tc>
          <w:tcPr>
            <w:tcW w:w="3685" w:type="dxa"/>
          </w:tcPr>
          <w:p w:rsidR="003E1743" w:rsidRPr="003E1743" w:rsidRDefault="003E1743" w:rsidP="003E1743">
            <w:pPr>
              <w:tabs>
                <w:tab w:val="left" w:pos="993"/>
              </w:tabs>
              <w:spacing w:after="0" w:line="240" w:lineRule="auto"/>
              <w:jc w:val="left"/>
              <w:rPr>
                <w:rFonts w:ascii="Calibri" w:eastAsia="SimSun" w:hAnsi="Calibri" w:cs="Times New Roman"/>
                <w:b/>
                <w:sz w:val="24"/>
                <w:szCs w:val="24"/>
                <w:lang w:val="en-AU" w:eastAsia="en-AU"/>
              </w:rPr>
            </w:pPr>
            <w:r w:rsidRPr="003E1743">
              <w:rPr>
                <w:rFonts w:ascii="Calibri" w:eastAsia="SimSun" w:hAnsi="Calibri" w:cs="Times New Roman"/>
                <w:b/>
                <w:sz w:val="24"/>
                <w:szCs w:val="24"/>
                <w:lang w:val="en-AU" w:eastAsia="en-AU"/>
              </w:rPr>
              <w:t>English only</w:t>
            </w:r>
          </w:p>
        </w:tc>
      </w:tr>
    </w:tbl>
    <w:p w:rsidR="00B86F3D" w:rsidRPr="00B86F3D" w:rsidRDefault="003E1743" w:rsidP="00684DEA">
      <w:pPr>
        <w:spacing w:before="840" w:after="120"/>
        <w:jc w:val="center"/>
      </w:pPr>
      <w:r>
        <w:rPr>
          <w:b/>
          <w:sz w:val="28"/>
          <w:szCs w:val="28"/>
        </w:rPr>
        <w:t>CONTRIBUTION BY THE SECRETARIAT</w:t>
      </w:r>
    </w:p>
    <w:p w:rsidR="00526C7F" w:rsidRPr="003E1743" w:rsidRDefault="00B86F3D" w:rsidP="00526C7F">
      <w:pPr>
        <w:pStyle w:val="Title"/>
        <w:jc w:val="center"/>
        <w:rPr>
          <w:rFonts w:ascii="Calibri" w:hAnsi="Calibri"/>
          <w:b/>
          <w:bCs/>
          <w:sz w:val="28"/>
          <w:szCs w:val="28"/>
        </w:rPr>
      </w:pPr>
      <w:r w:rsidRPr="003E1743">
        <w:rPr>
          <w:rFonts w:ascii="Calibri" w:hAnsi="Calibri"/>
          <w:b/>
          <w:bCs/>
          <w:sz w:val="28"/>
          <w:szCs w:val="28"/>
        </w:rPr>
        <w:t xml:space="preserve">Draft </w:t>
      </w:r>
      <w:r w:rsidR="002A7DC6" w:rsidRPr="003E1743">
        <w:rPr>
          <w:rFonts w:ascii="Calibri" w:hAnsi="Calibri"/>
          <w:b/>
          <w:bCs/>
          <w:sz w:val="28"/>
          <w:szCs w:val="28"/>
        </w:rPr>
        <w:t xml:space="preserve">ITU risk </w:t>
      </w:r>
      <w:r w:rsidR="00526C7F" w:rsidRPr="003E1743">
        <w:rPr>
          <w:rFonts w:ascii="Calibri" w:hAnsi="Calibri"/>
          <w:b/>
          <w:bCs/>
          <w:sz w:val="28"/>
          <w:szCs w:val="28"/>
        </w:rPr>
        <w:t>appetite statement</w:t>
      </w:r>
    </w:p>
    <w:p w:rsidR="00B86F3D" w:rsidRPr="00B86F3D" w:rsidRDefault="00B86F3D" w:rsidP="00B86F3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86F3D" w:rsidTr="00B86F3D">
        <w:tc>
          <w:tcPr>
            <w:tcW w:w="9350" w:type="dxa"/>
          </w:tcPr>
          <w:p w:rsidR="00B86F3D" w:rsidRPr="00684DEA" w:rsidRDefault="00B86F3D" w:rsidP="00684DEA">
            <w:pPr>
              <w:keepNext/>
              <w:keepLines/>
              <w:snapToGrid w:val="0"/>
              <w:spacing w:before="120" w:after="120"/>
              <w:ind w:left="567" w:hanging="567"/>
              <w:outlineLvl w:val="0"/>
              <w:rPr>
                <w:b/>
                <w:sz w:val="24"/>
                <w:szCs w:val="24"/>
              </w:rPr>
            </w:pPr>
            <w:r w:rsidRPr="00684DEA">
              <w:rPr>
                <w:b/>
                <w:sz w:val="24"/>
                <w:szCs w:val="24"/>
              </w:rPr>
              <w:t>Background</w:t>
            </w:r>
          </w:p>
          <w:p w:rsidR="00B86F3D" w:rsidRPr="00684DEA" w:rsidRDefault="00B86F3D" w:rsidP="00684DEA">
            <w:pPr>
              <w:snapToGrid w:val="0"/>
              <w:spacing w:before="120" w:after="120"/>
              <w:rPr>
                <w:sz w:val="24"/>
                <w:szCs w:val="24"/>
              </w:rPr>
            </w:pPr>
            <w:r w:rsidRPr="00684DEA">
              <w:rPr>
                <w:sz w:val="24"/>
                <w:szCs w:val="24"/>
              </w:rPr>
              <w:t>Following PP Resolutions 151, 71, and 72, Recommendations from the Independent Management Advisory Committee (IMAC) and the UN Joint Inspection Unit (JIU), ITU is implementing a systematic risk management framework, as a process of continuous improvement of its managerial practices towards increasing efficiency, transparency and accountability.</w:t>
            </w:r>
          </w:p>
          <w:p w:rsidR="00B86F3D" w:rsidRPr="00684DEA" w:rsidRDefault="00B86F3D" w:rsidP="00684DEA">
            <w:pPr>
              <w:snapToGrid w:val="0"/>
              <w:spacing w:before="120" w:after="120"/>
              <w:rPr>
                <w:sz w:val="24"/>
                <w:szCs w:val="24"/>
              </w:rPr>
            </w:pPr>
            <w:r w:rsidRPr="00684DEA">
              <w:rPr>
                <w:sz w:val="24"/>
                <w:szCs w:val="24"/>
              </w:rPr>
              <w:t>This document introduces the draft ITU risk appetite statement</w:t>
            </w:r>
            <w:r w:rsidR="0095285E" w:rsidRPr="00684DEA">
              <w:rPr>
                <w:sz w:val="24"/>
                <w:szCs w:val="24"/>
              </w:rPr>
              <w:t xml:space="preserve">, complementing </w:t>
            </w:r>
            <w:r w:rsidR="003A7C40" w:rsidRPr="00684DEA">
              <w:rPr>
                <w:sz w:val="24"/>
                <w:szCs w:val="24"/>
              </w:rPr>
              <w:t xml:space="preserve">the draft </w:t>
            </w:r>
            <w:r w:rsidR="00F67873" w:rsidRPr="00684DEA">
              <w:rPr>
                <w:sz w:val="24"/>
                <w:szCs w:val="24"/>
              </w:rPr>
              <w:t>ITU r</w:t>
            </w:r>
            <w:r w:rsidR="003A7C40" w:rsidRPr="00684DEA">
              <w:rPr>
                <w:sz w:val="24"/>
                <w:szCs w:val="24"/>
              </w:rPr>
              <w:t xml:space="preserve">isk </w:t>
            </w:r>
            <w:r w:rsidR="0095285E" w:rsidRPr="00684DEA">
              <w:rPr>
                <w:sz w:val="24"/>
                <w:szCs w:val="24"/>
              </w:rPr>
              <w:t>management policy presented in D</w:t>
            </w:r>
            <w:r w:rsidR="003A7C40" w:rsidRPr="00684DEA">
              <w:rPr>
                <w:sz w:val="24"/>
                <w:szCs w:val="24"/>
              </w:rPr>
              <w:t xml:space="preserve">oc </w:t>
            </w:r>
            <w:hyperlink r:id="rId9" w:history="1">
              <w:r w:rsidR="003A7C40" w:rsidRPr="00684DEA">
                <w:rPr>
                  <w:rStyle w:val="Hyperlink"/>
                  <w:sz w:val="24"/>
                  <w:szCs w:val="24"/>
                </w:rPr>
                <w:t>CWG-FHR</w:t>
              </w:r>
              <w:r w:rsidR="00D068AE" w:rsidRPr="00684DEA">
                <w:rPr>
                  <w:rStyle w:val="Hyperlink"/>
                  <w:sz w:val="24"/>
                  <w:szCs w:val="24"/>
                </w:rPr>
                <w:t xml:space="preserve"> </w:t>
              </w:r>
              <w:r w:rsidR="003A7C40" w:rsidRPr="00684DEA">
                <w:rPr>
                  <w:rStyle w:val="Hyperlink"/>
                  <w:sz w:val="24"/>
                  <w:szCs w:val="24"/>
                </w:rPr>
                <w:t>7/</w:t>
              </w:r>
              <w:r w:rsidR="004C548E" w:rsidRPr="00684DEA">
                <w:rPr>
                  <w:rStyle w:val="Hyperlink"/>
                  <w:sz w:val="24"/>
                  <w:szCs w:val="24"/>
                </w:rPr>
                <w:t>8</w:t>
              </w:r>
            </w:hyperlink>
            <w:r w:rsidR="003A7C40" w:rsidRPr="00684DEA">
              <w:rPr>
                <w:sz w:val="24"/>
                <w:szCs w:val="24"/>
              </w:rPr>
              <w:t>.</w:t>
            </w:r>
          </w:p>
          <w:p w:rsidR="00B86F3D" w:rsidRPr="00684DEA" w:rsidRDefault="00B86F3D" w:rsidP="00684DEA">
            <w:pPr>
              <w:keepNext/>
              <w:keepLines/>
              <w:snapToGrid w:val="0"/>
              <w:spacing w:before="120" w:after="120"/>
              <w:ind w:left="567" w:hanging="567"/>
              <w:outlineLvl w:val="0"/>
              <w:rPr>
                <w:b/>
                <w:sz w:val="24"/>
                <w:szCs w:val="24"/>
              </w:rPr>
            </w:pPr>
            <w:r w:rsidRPr="00684DEA">
              <w:rPr>
                <w:b/>
                <w:sz w:val="24"/>
                <w:szCs w:val="24"/>
              </w:rPr>
              <w:t>Action required</w:t>
            </w:r>
          </w:p>
          <w:p w:rsidR="00B86F3D" w:rsidRPr="00684DEA" w:rsidRDefault="00B86F3D" w:rsidP="00684DEA">
            <w:pPr>
              <w:snapToGrid w:val="0"/>
              <w:spacing w:before="120" w:after="120"/>
              <w:rPr>
                <w:sz w:val="24"/>
                <w:szCs w:val="24"/>
              </w:rPr>
            </w:pPr>
            <w:r w:rsidRPr="00684DEA">
              <w:rPr>
                <w:sz w:val="24"/>
                <w:szCs w:val="24"/>
              </w:rPr>
              <w:t xml:space="preserve">The CWG-FHR is invited to </w:t>
            </w:r>
            <w:r w:rsidRPr="00684DEA">
              <w:rPr>
                <w:b/>
                <w:sz w:val="24"/>
                <w:szCs w:val="24"/>
              </w:rPr>
              <w:t xml:space="preserve">review </w:t>
            </w:r>
            <w:r w:rsidRPr="00684DEA">
              <w:rPr>
                <w:bCs/>
                <w:sz w:val="24"/>
                <w:szCs w:val="24"/>
              </w:rPr>
              <w:t>and</w:t>
            </w:r>
            <w:r w:rsidRPr="00684DEA">
              <w:rPr>
                <w:b/>
                <w:sz w:val="24"/>
                <w:szCs w:val="24"/>
              </w:rPr>
              <w:t xml:space="preserve"> endorse </w:t>
            </w:r>
            <w:r w:rsidRPr="00684DEA">
              <w:rPr>
                <w:bCs/>
                <w:sz w:val="24"/>
                <w:szCs w:val="24"/>
              </w:rPr>
              <w:t xml:space="preserve">the </w:t>
            </w:r>
            <w:r w:rsidRPr="00684DEA">
              <w:rPr>
                <w:sz w:val="24"/>
                <w:szCs w:val="24"/>
              </w:rPr>
              <w:t>draft ITU risk appetite statement.</w:t>
            </w:r>
          </w:p>
          <w:p w:rsidR="00B86F3D" w:rsidRPr="00684DEA" w:rsidRDefault="00B86F3D" w:rsidP="00684DEA">
            <w:pPr>
              <w:pStyle w:val="Headingb"/>
              <w:snapToGrid w:val="0"/>
              <w:spacing w:before="120" w:after="120"/>
              <w:rPr>
                <w:szCs w:val="24"/>
                <w:lang w:val="en-US"/>
              </w:rPr>
            </w:pPr>
            <w:r w:rsidRPr="00684DEA">
              <w:rPr>
                <w:szCs w:val="24"/>
                <w:lang w:val="en-US"/>
              </w:rPr>
              <w:t>References</w:t>
            </w:r>
          </w:p>
          <w:p w:rsidR="00B86F3D" w:rsidRDefault="00B86F3D" w:rsidP="00684DEA">
            <w:pPr>
              <w:snapToGrid w:val="0"/>
              <w:spacing w:before="120" w:after="120"/>
            </w:pPr>
            <w:r w:rsidRPr="00684DEA">
              <w:rPr>
                <w:bCs/>
                <w:i/>
                <w:iCs/>
                <w:sz w:val="24"/>
                <w:szCs w:val="24"/>
              </w:rPr>
              <w:t xml:space="preserve">PP Resolutions </w:t>
            </w:r>
            <w:hyperlink r:id="rId10" w:history="1">
              <w:r w:rsidRPr="00684DEA">
                <w:rPr>
                  <w:rStyle w:val="Hyperlink"/>
                  <w:bCs/>
                  <w:i/>
                  <w:iCs/>
                  <w:sz w:val="24"/>
                  <w:szCs w:val="24"/>
                </w:rPr>
                <w:t>71</w:t>
              </w:r>
            </w:hyperlink>
            <w:r w:rsidRPr="00684DEA">
              <w:rPr>
                <w:bCs/>
                <w:i/>
                <w:iCs/>
                <w:sz w:val="24"/>
                <w:szCs w:val="24"/>
              </w:rPr>
              <w:t xml:space="preserve">(rev. Busan, 2014) , </w:t>
            </w:r>
            <w:hyperlink r:id="rId11" w:history="1">
              <w:r w:rsidRPr="00684DEA">
                <w:rPr>
                  <w:rStyle w:val="Hyperlink"/>
                  <w:bCs/>
                  <w:i/>
                  <w:iCs/>
                  <w:sz w:val="24"/>
                  <w:szCs w:val="24"/>
                </w:rPr>
                <w:t>72</w:t>
              </w:r>
            </w:hyperlink>
            <w:r w:rsidRPr="00684DEA">
              <w:rPr>
                <w:bCs/>
                <w:i/>
                <w:iCs/>
                <w:sz w:val="24"/>
                <w:szCs w:val="24"/>
              </w:rPr>
              <w:t xml:space="preserve"> (rev. Busan, 2014)  and </w:t>
            </w:r>
            <w:hyperlink r:id="rId12" w:history="1">
              <w:r w:rsidRPr="00684DEA">
                <w:rPr>
                  <w:rStyle w:val="Hyperlink"/>
                  <w:bCs/>
                  <w:i/>
                  <w:iCs/>
                  <w:sz w:val="24"/>
                  <w:szCs w:val="24"/>
                </w:rPr>
                <w:t>151</w:t>
              </w:r>
            </w:hyperlink>
            <w:r w:rsidRPr="00684DEA">
              <w:rPr>
                <w:bCs/>
                <w:i/>
                <w:iCs/>
                <w:sz w:val="24"/>
                <w:szCs w:val="24"/>
              </w:rPr>
              <w:t xml:space="preserve"> (rev. Busan, 2014);  JIU review of ITU management and administration (</w:t>
            </w:r>
            <w:hyperlink r:id="rId13" w:history="1">
              <w:r w:rsidRPr="00684DEA">
                <w:rPr>
                  <w:rStyle w:val="Hyperlink"/>
                  <w:bCs/>
                  <w:i/>
                  <w:iCs/>
                  <w:sz w:val="24"/>
                  <w:szCs w:val="24"/>
                </w:rPr>
                <w:t>JIU/2016/1</w:t>
              </w:r>
            </w:hyperlink>
            <w:r w:rsidRPr="00684DEA">
              <w:rPr>
                <w:bCs/>
                <w:i/>
                <w:iCs/>
                <w:sz w:val="24"/>
                <w:szCs w:val="24"/>
              </w:rPr>
              <w:t>);</w:t>
            </w:r>
            <w:r>
              <w:rPr>
                <w:bCs/>
                <w:i/>
                <w:iCs/>
              </w:rPr>
              <w:t xml:space="preserve"> </w:t>
            </w:r>
          </w:p>
        </w:tc>
      </w:tr>
    </w:tbl>
    <w:p w:rsidR="00DB29F9" w:rsidRPr="00684DEA" w:rsidRDefault="00DB29F9" w:rsidP="00763859">
      <w:pPr>
        <w:rPr>
          <w:rFonts w:asciiTheme="majorHAnsi" w:eastAsiaTheme="majorEastAsia" w:hAnsiTheme="majorHAnsi" w:cstheme="majorBidi"/>
          <w:sz w:val="24"/>
          <w:szCs w:val="24"/>
        </w:rPr>
      </w:pPr>
      <w:r>
        <w:br w:type="page"/>
      </w:r>
    </w:p>
    <w:p w:rsidR="00883A1D" w:rsidRPr="003C17C5" w:rsidRDefault="00883A1D" w:rsidP="00684DEA">
      <w:pPr>
        <w:pStyle w:val="Heading1"/>
        <w:snapToGrid w:val="0"/>
        <w:spacing w:before="120" w:after="120" w:line="240" w:lineRule="auto"/>
      </w:pPr>
      <w:r w:rsidRPr="003C17C5">
        <w:lastRenderedPageBreak/>
        <w:t>Introduction</w:t>
      </w:r>
    </w:p>
    <w:p w:rsidR="0071421F" w:rsidRDefault="0071421F" w:rsidP="00684DEA">
      <w:pPr>
        <w:snapToGrid w:val="0"/>
        <w:spacing w:before="120" w:after="120" w:line="240" w:lineRule="auto"/>
      </w:pPr>
      <w:r>
        <w:t xml:space="preserve">This document </w:t>
      </w:r>
      <w:r w:rsidR="00725D05">
        <w:t>illustrates</w:t>
      </w:r>
      <w:r w:rsidR="00725D05" w:rsidRPr="00E702DF">
        <w:t xml:space="preserve"> </w:t>
      </w:r>
      <w:r w:rsidRPr="00E702DF">
        <w:t xml:space="preserve">the amount and type of risk that </w:t>
      </w:r>
      <w:r>
        <w:t>ITU</w:t>
      </w:r>
      <w:r w:rsidRPr="00E702DF">
        <w:t xml:space="preserve"> is willing to </w:t>
      </w:r>
      <w:r>
        <w:t xml:space="preserve">take </w:t>
      </w:r>
      <w:r w:rsidR="00725D05">
        <w:t>in its drive to attain</w:t>
      </w:r>
      <w:r>
        <w:t xml:space="preserve"> its strategic objectives </w:t>
      </w:r>
      <w:r w:rsidRPr="001A6699">
        <w:t xml:space="preserve">– this </w:t>
      </w:r>
      <w:r w:rsidR="00725D05">
        <w:t>includes</w:t>
      </w:r>
      <w:r w:rsidRPr="001A6699">
        <w:t xml:space="preserve"> both the organization</w:t>
      </w:r>
      <w:r>
        <w:t>’s</w:t>
      </w:r>
      <w:r w:rsidRPr="001A6699">
        <w:t xml:space="preserve"> risk appetite as well as its risk tolerance.</w:t>
      </w:r>
    </w:p>
    <w:p w:rsidR="00825F93" w:rsidRDefault="00883A1D" w:rsidP="00684DEA">
      <w:pPr>
        <w:snapToGrid w:val="0"/>
        <w:spacing w:before="120" w:after="120" w:line="240" w:lineRule="auto"/>
      </w:pPr>
      <w:r w:rsidRPr="003C17C5">
        <w:t xml:space="preserve">This statement acknowledges that the activities in which the Organization engages in have different risk levels. </w:t>
      </w:r>
      <w:r w:rsidR="00725D05">
        <w:t>It is important to underline that h</w:t>
      </w:r>
      <w:r w:rsidRPr="003C17C5">
        <w:t xml:space="preserve">igher risk activities will only be undertaken </w:t>
      </w:r>
      <w:r w:rsidR="00825F93" w:rsidRPr="003C17C5">
        <w:t>where the benefits outweigh the costs and do not increase risk to an unacceptable level that could jeopardize the achievement</w:t>
      </w:r>
      <w:r w:rsidR="00825F93">
        <w:t xml:space="preserve"> of the Organization’s strategic goals and objectives.</w:t>
      </w:r>
    </w:p>
    <w:p w:rsidR="00883A1D" w:rsidRPr="003C17C5" w:rsidRDefault="00883A1D" w:rsidP="00684DEA">
      <w:pPr>
        <w:pStyle w:val="Heading1"/>
        <w:snapToGrid w:val="0"/>
        <w:spacing w:before="360" w:after="120" w:line="240" w:lineRule="auto"/>
      </w:pPr>
      <w:r w:rsidRPr="003C17C5">
        <w:t>Risk Appetite</w:t>
      </w:r>
    </w:p>
    <w:p w:rsidR="00883A1D" w:rsidRPr="003C17C5" w:rsidRDefault="00883A1D" w:rsidP="00684DEA">
      <w:pPr>
        <w:snapToGrid w:val="0"/>
        <w:spacing w:before="120" w:after="120" w:line="240" w:lineRule="auto"/>
      </w:pPr>
      <w:r w:rsidRPr="003C17C5">
        <w:t xml:space="preserve">The Organization’s </w:t>
      </w:r>
      <w:r w:rsidR="00DD437A" w:rsidRPr="003C17C5">
        <w:t>a</w:t>
      </w:r>
      <w:r w:rsidR="00DD437A">
        <w:t>pproach</w:t>
      </w:r>
      <w:r w:rsidR="00DD437A" w:rsidRPr="003C17C5">
        <w:t xml:space="preserve"> </w:t>
      </w:r>
      <w:r w:rsidRPr="003C17C5">
        <w:t xml:space="preserve">towards its key operational and strategic risks is described below. This list neither describes all areas of ITU’s work nor </w:t>
      </w:r>
      <w:r w:rsidR="00DD437A">
        <w:t>an exhaustive list</w:t>
      </w:r>
      <w:r w:rsidRPr="003C17C5">
        <w:t xml:space="preserve"> of</w:t>
      </w:r>
      <w:r w:rsidR="00DD437A">
        <w:t xml:space="preserve"> potential</w:t>
      </w:r>
      <w:r w:rsidRPr="003C17C5">
        <w:t xml:space="preserve"> risk</w:t>
      </w:r>
      <w:r w:rsidR="00DD437A">
        <w:t>s</w:t>
      </w:r>
      <w:r w:rsidRPr="003C17C5">
        <w:t>, rather it gives an indication of willingne</w:t>
      </w:r>
      <w:r w:rsidR="00D6373A">
        <w:t>ss to accept risk in key areas.</w:t>
      </w:r>
    </w:p>
    <w:p w:rsidR="00D6373A" w:rsidRDefault="00771422" w:rsidP="00684DEA">
      <w:pPr>
        <w:pStyle w:val="ListParagraph"/>
        <w:numPr>
          <w:ilvl w:val="0"/>
          <w:numId w:val="3"/>
        </w:numPr>
        <w:snapToGrid w:val="0"/>
        <w:spacing w:before="120" w:after="120" w:line="240" w:lineRule="auto"/>
        <w:ind w:left="357" w:hanging="357"/>
        <w:contextualSpacing w:val="0"/>
      </w:pPr>
      <w:r>
        <w:t>L</w:t>
      </w:r>
      <w:r w:rsidR="00883A1D" w:rsidRPr="003C17C5">
        <w:t xml:space="preserve">ow </w:t>
      </w:r>
      <w:r w:rsidR="00D8191B" w:rsidRPr="003C17C5">
        <w:t xml:space="preserve">appetite for risks associated with </w:t>
      </w:r>
      <w:r w:rsidR="00D8191B">
        <w:t>staff</w:t>
      </w:r>
      <w:r w:rsidR="00D8191B" w:rsidRPr="003C17C5">
        <w:t xml:space="preserve"> safety </w:t>
      </w:r>
      <w:r w:rsidR="00D8191B">
        <w:t xml:space="preserve">and security, </w:t>
      </w:r>
      <w:r w:rsidR="00D8191B" w:rsidRPr="003C17C5">
        <w:t>and compliance</w:t>
      </w:r>
      <w:r w:rsidR="00883A1D" w:rsidRPr="003C17C5">
        <w:t>;</w:t>
      </w:r>
    </w:p>
    <w:p w:rsidR="00D6373A" w:rsidRPr="00D6373A" w:rsidRDefault="00771422" w:rsidP="00684DEA">
      <w:pPr>
        <w:pStyle w:val="ListParagraph"/>
        <w:numPr>
          <w:ilvl w:val="0"/>
          <w:numId w:val="3"/>
        </w:numPr>
        <w:snapToGrid w:val="0"/>
        <w:spacing w:before="120" w:after="120" w:line="240" w:lineRule="auto"/>
        <w:ind w:left="357" w:hanging="357"/>
        <w:contextualSpacing w:val="0"/>
      </w:pPr>
      <w:r>
        <w:t>No</w:t>
      </w:r>
      <w:r w:rsidRPr="00D6373A">
        <w:t xml:space="preserve"> </w:t>
      </w:r>
      <w:r w:rsidR="00D8191B" w:rsidRPr="00D6373A">
        <w:t>appetite (i.e. zero tolerance) in the areas of fraud</w:t>
      </w:r>
      <w:r w:rsidR="00D8191B">
        <w:t>,</w:t>
      </w:r>
      <w:r w:rsidR="00D8191B" w:rsidRPr="00D6373A">
        <w:t xml:space="preserve"> corruption</w:t>
      </w:r>
      <w:r w:rsidR="00D8191B">
        <w:t>, illegal acts, and misconduct</w:t>
      </w:r>
      <w:r w:rsidR="00D6373A">
        <w:t>;</w:t>
      </w:r>
    </w:p>
    <w:p w:rsidR="00D6373A" w:rsidRDefault="00883A1D" w:rsidP="00684DEA">
      <w:pPr>
        <w:pStyle w:val="ListParagraph"/>
        <w:numPr>
          <w:ilvl w:val="0"/>
          <w:numId w:val="3"/>
        </w:numPr>
        <w:snapToGrid w:val="0"/>
        <w:spacing w:before="120" w:after="120" w:line="240" w:lineRule="auto"/>
        <w:ind w:left="357" w:hanging="357"/>
        <w:contextualSpacing w:val="0"/>
      </w:pPr>
      <w:r w:rsidRPr="003C17C5">
        <w:t xml:space="preserve">High appetite for </w:t>
      </w:r>
      <w:r w:rsidR="00EF68B1">
        <w:t xml:space="preserve">risks related to </w:t>
      </w:r>
      <w:r w:rsidRPr="003C17C5">
        <w:t>innovation and technological advancement;</w:t>
      </w:r>
    </w:p>
    <w:p w:rsidR="00D6373A" w:rsidRDefault="00EF68B1" w:rsidP="00684DEA">
      <w:pPr>
        <w:pStyle w:val="ListParagraph"/>
        <w:numPr>
          <w:ilvl w:val="0"/>
          <w:numId w:val="3"/>
        </w:numPr>
        <w:snapToGrid w:val="0"/>
        <w:spacing w:before="120" w:after="120" w:line="240" w:lineRule="auto"/>
        <w:ind w:left="357" w:hanging="357"/>
        <w:contextualSpacing w:val="0"/>
      </w:pPr>
      <w:r>
        <w:t>Very l</w:t>
      </w:r>
      <w:r w:rsidR="00883A1D" w:rsidRPr="003C17C5">
        <w:t xml:space="preserve">ow </w:t>
      </w:r>
      <w:r w:rsidR="002A7DC6">
        <w:t xml:space="preserve">risk </w:t>
      </w:r>
      <w:r w:rsidR="00883A1D" w:rsidRPr="003C17C5">
        <w:t>appetite for significant breaches of security, unauthorized access to, or loss of classified records (e.g. frequency registers databases);</w:t>
      </w:r>
    </w:p>
    <w:p w:rsidR="00D6373A" w:rsidRDefault="002A7DC6" w:rsidP="00684DEA">
      <w:pPr>
        <w:pStyle w:val="ListParagraph"/>
        <w:numPr>
          <w:ilvl w:val="0"/>
          <w:numId w:val="3"/>
        </w:numPr>
        <w:snapToGrid w:val="0"/>
        <w:spacing w:before="120" w:after="120" w:line="240" w:lineRule="auto"/>
        <w:ind w:left="357" w:hanging="357"/>
        <w:contextualSpacing w:val="0"/>
      </w:pPr>
      <w:r>
        <w:t>L</w:t>
      </w:r>
      <w:r w:rsidR="00883A1D" w:rsidRPr="003C17C5">
        <w:t xml:space="preserve">ow </w:t>
      </w:r>
      <w:r>
        <w:t xml:space="preserve">risk </w:t>
      </w:r>
      <w:r w:rsidR="00883A1D" w:rsidRPr="003C17C5">
        <w:t>appetite related to quality of services provide</w:t>
      </w:r>
      <w:r w:rsidR="00EF68B1">
        <w:t>d</w:t>
      </w:r>
      <w:r w:rsidR="00883A1D" w:rsidRPr="003C17C5">
        <w:t xml:space="preserve"> to </w:t>
      </w:r>
      <w:r w:rsidR="00EF68B1">
        <w:t xml:space="preserve">the </w:t>
      </w:r>
      <w:r w:rsidR="00883A1D" w:rsidRPr="003C17C5">
        <w:t>constituency</w:t>
      </w:r>
      <w:r w:rsidR="00EF68B1">
        <w:t xml:space="preserve"> of the organization</w:t>
      </w:r>
      <w:r w:rsidR="00883A1D" w:rsidRPr="003C17C5">
        <w:t>;</w:t>
      </w:r>
    </w:p>
    <w:p w:rsidR="00D6373A" w:rsidRPr="00D8191B" w:rsidRDefault="00771422" w:rsidP="00684DEA">
      <w:pPr>
        <w:pStyle w:val="ListParagraph"/>
        <w:numPr>
          <w:ilvl w:val="0"/>
          <w:numId w:val="3"/>
        </w:numPr>
        <w:snapToGrid w:val="0"/>
        <w:spacing w:before="120" w:after="120" w:line="240" w:lineRule="auto"/>
        <w:ind w:left="357" w:hanging="357"/>
        <w:contextualSpacing w:val="0"/>
      </w:pPr>
      <w:r w:rsidRPr="00D8191B">
        <w:t>L</w:t>
      </w:r>
      <w:r w:rsidR="00883A1D" w:rsidRPr="00D8191B">
        <w:t xml:space="preserve">ow </w:t>
      </w:r>
      <w:r w:rsidR="00D8191B">
        <w:t xml:space="preserve">risk </w:t>
      </w:r>
      <w:r w:rsidR="00D8191B" w:rsidRPr="003C17C5">
        <w:t xml:space="preserve">appetite for threats to the effective and efficient </w:t>
      </w:r>
      <w:r w:rsidR="00D8191B">
        <w:t>achievement</w:t>
      </w:r>
      <w:r w:rsidR="00D8191B" w:rsidRPr="003C17C5">
        <w:t xml:space="preserve"> of </w:t>
      </w:r>
      <w:r w:rsidR="00D8191B">
        <w:t>the organization’s</w:t>
      </w:r>
      <w:r w:rsidR="00D8191B" w:rsidRPr="003C17C5">
        <w:t xml:space="preserve"> </w:t>
      </w:r>
      <w:r w:rsidR="00D8191B">
        <w:t>strategic goals and objectives</w:t>
      </w:r>
      <w:r w:rsidR="00D8191B" w:rsidRPr="003C17C5">
        <w:t>;</w:t>
      </w:r>
      <w:r w:rsidR="00883A1D" w:rsidRPr="00D8191B">
        <w:t xml:space="preserve"> and</w:t>
      </w:r>
    </w:p>
    <w:p w:rsidR="00883A1D" w:rsidRPr="003C17C5" w:rsidRDefault="00771422" w:rsidP="00684DEA">
      <w:pPr>
        <w:pStyle w:val="ListParagraph"/>
        <w:numPr>
          <w:ilvl w:val="0"/>
          <w:numId w:val="3"/>
        </w:numPr>
        <w:snapToGrid w:val="0"/>
        <w:spacing w:before="120" w:after="120" w:line="240" w:lineRule="auto"/>
        <w:ind w:left="357" w:hanging="357"/>
        <w:contextualSpacing w:val="0"/>
      </w:pPr>
      <w:r>
        <w:t>L</w:t>
      </w:r>
      <w:r w:rsidR="00883A1D" w:rsidRPr="003C17C5">
        <w:t xml:space="preserve">ow appetite for risks that would </w:t>
      </w:r>
      <w:r w:rsidR="00D8191B" w:rsidRPr="003C17C5">
        <w:t xml:space="preserve">significantly </w:t>
      </w:r>
      <w:r w:rsidR="00D8191B">
        <w:t>harm</w:t>
      </w:r>
      <w:r w:rsidR="00D8191B" w:rsidRPr="003C17C5">
        <w:t xml:space="preserve"> ITU’s </w:t>
      </w:r>
      <w:r w:rsidR="00883A1D" w:rsidRPr="003C17C5">
        <w:t>reputation.</w:t>
      </w:r>
    </w:p>
    <w:p w:rsidR="00883A1D" w:rsidRPr="003C17C5" w:rsidRDefault="00883A1D" w:rsidP="00684DEA">
      <w:pPr>
        <w:pStyle w:val="Heading1"/>
        <w:snapToGrid w:val="0"/>
        <w:spacing w:before="360" w:after="120" w:line="240" w:lineRule="auto"/>
      </w:pPr>
      <w:r w:rsidRPr="003C17C5">
        <w:t>Review</w:t>
      </w:r>
    </w:p>
    <w:p w:rsidR="00C67F1D" w:rsidRDefault="00883A1D" w:rsidP="00684DEA">
      <w:pPr>
        <w:snapToGrid w:val="0"/>
        <w:spacing w:before="120" w:after="120" w:line="240" w:lineRule="auto"/>
      </w:pPr>
      <w:r w:rsidRPr="003C17C5">
        <w:t xml:space="preserve">This Statement </w:t>
      </w:r>
      <w:r w:rsidR="00D6373A">
        <w:t>is being drafted</w:t>
      </w:r>
      <w:r w:rsidRPr="003C17C5">
        <w:t xml:space="preserve"> bearing in mind that risk appetite will </w:t>
      </w:r>
      <w:r w:rsidR="000A2B77">
        <w:t>be evolving continuously</w:t>
      </w:r>
      <w:r w:rsidRPr="003C17C5">
        <w:t>. It is important that the risk appetite statement</w:t>
      </w:r>
      <w:r w:rsidR="000A2B77">
        <w:t xml:space="preserve"> </w:t>
      </w:r>
      <w:r w:rsidR="00C67F1D">
        <w:t xml:space="preserve">is structured </w:t>
      </w:r>
      <w:r w:rsidRPr="003C17C5">
        <w:t xml:space="preserve">to react quickly in response to </w:t>
      </w:r>
      <w:r w:rsidR="000A2B77">
        <w:t xml:space="preserve">any </w:t>
      </w:r>
      <w:r w:rsidRPr="003C17C5">
        <w:t xml:space="preserve">change. The monitoring and review process should focus </w:t>
      </w:r>
      <w:r w:rsidR="00C67F1D">
        <w:t>with the view to</w:t>
      </w:r>
      <w:r w:rsidRPr="003C17C5">
        <w:t xml:space="preserve"> creating </w:t>
      </w:r>
      <w:r w:rsidR="00C67F1D">
        <w:t xml:space="preserve">risk awareness </w:t>
      </w:r>
      <w:r w:rsidR="00C42B09">
        <w:t>c</w:t>
      </w:r>
      <w:r w:rsidRPr="003C17C5">
        <w:t>ulture</w:t>
      </w:r>
      <w:r w:rsidR="00C67F1D">
        <w:t>.</w:t>
      </w:r>
    </w:p>
    <w:p w:rsidR="00707C11" w:rsidRDefault="00C67F1D" w:rsidP="00684DEA">
      <w:pPr>
        <w:snapToGrid w:val="0"/>
        <w:spacing w:before="240" w:after="120" w:line="240" w:lineRule="auto"/>
      </w:pPr>
      <w:r>
        <w:t>T</w:t>
      </w:r>
      <w:r w:rsidR="00883A1D" w:rsidRPr="003C17C5">
        <w:t>he Risk Appetite Statement is reviewed annually, or whenever significant changes</w:t>
      </w:r>
      <w:r>
        <w:t xml:space="preserve"> occur</w:t>
      </w:r>
      <w:r w:rsidR="00883A1D" w:rsidRPr="003C17C5">
        <w:t>.</w:t>
      </w:r>
    </w:p>
    <w:p w:rsidR="00B44A2F" w:rsidRDefault="00B44A2F" w:rsidP="00941E1F">
      <w:pPr>
        <w:spacing w:line="276" w:lineRule="auto"/>
      </w:pPr>
    </w:p>
    <w:p w:rsidR="00B44A2F" w:rsidRPr="0071421F" w:rsidRDefault="00B44A2F" w:rsidP="00B44A2F">
      <w:pPr>
        <w:spacing w:line="276" w:lineRule="auto"/>
        <w:jc w:val="center"/>
      </w:pPr>
      <w:r>
        <w:t>______________</w:t>
      </w:r>
    </w:p>
    <w:sectPr w:rsidR="00B44A2F" w:rsidRPr="0071421F" w:rsidSect="0095285E">
      <w:headerReference w:type="default" r:id="rId14"/>
      <w:pgSz w:w="11907" w:h="16839" w:code="9"/>
      <w:pgMar w:top="1440" w:right="1080" w:bottom="1440" w:left="108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51C5" w:rsidRDefault="007251C5" w:rsidP="00883A1D">
      <w:pPr>
        <w:spacing w:after="0" w:line="240" w:lineRule="auto"/>
      </w:pPr>
      <w:r>
        <w:separator/>
      </w:r>
    </w:p>
  </w:endnote>
  <w:endnote w:type="continuationSeparator" w:id="0">
    <w:p w:rsidR="007251C5" w:rsidRDefault="007251C5" w:rsidP="00883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51C5" w:rsidRDefault="007251C5" w:rsidP="00883A1D">
      <w:pPr>
        <w:spacing w:after="0" w:line="240" w:lineRule="auto"/>
      </w:pPr>
      <w:r>
        <w:separator/>
      </w:r>
    </w:p>
  </w:footnote>
  <w:footnote w:type="continuationSeparator" w:id="0">
    <w:p w:rsidR="007251C5" w:rsidRDefault="007251C5" w:rsidP="00883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6016785"/>
      <w:docPartObj>
        <w:docPartGallery w:val="Page Numbers (Top of Page)"/>
        <w:docPartUnique/>
      </w:docPartObj>
    </w:sdtPr>
    <w:sdtEndPr>
      <w:rPr>
        <w:noProof/>
      </w:rPr>
    </w:sdtEndPr>
    <w:sdtContent>
      <w:p w:rsidR="00D068AE" w:rsidRDefault="00D068AE" w:rsidP="00D068AE">
        <w:pPr>
          <w:pStyle w:val="Header"/>
          <w:jc w:val="center"/>
        </w:pPr>
        <w:r>
          <w:t>- 2 -</w:t>
        </w:r>
      </w:p>
    </w:sdtContent>
  </w:sdt>
  <w:p w:rsidR="006A267C" w:rsidRPr="003E1743" w:rsidRDefault="00684DEA" w:rsidP="00B86F3D">
    <w:pPr>
      <w:pStyle w:val="Header"/>
      <w:jc w:val="center"/>
      <w:rPr>
        <w:smallCaps/>
        <w:color w:val="244061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61244C"/>
    <w:multiLevelType w:val="hybridMultilevel"/>
    <w:tmpl w:val="4C26E0C0"/>
    <w:lvl w:ilvl="0" w:tplc="11289C50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320CD0"/>
    <w:multiLevelType w:val="hybridMultilevel"/>
    <w:tmpl w:val="BCE41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0635F"/>
    <w:multiLevelType w:val="hybridMultilevel"/>
    <w:tmpl w:val="DC900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1D"/>
    <w:rsid w:val="000372C2"/>
    <w:rsid w:val="000A2B77"/>
    <w:rsid w:val="000D040E"/>
    <w:rsid w:val="00124FCB"/>
    <w:rsid w:val="001A6699"/>
    <w:rsid w:val="00295B45"/>
    <w:rsid w:val="002A7DC6"/>
    <w:rsid w:val="002D4B39"/>
    <w:rsid w:val="00353C65"/>
    <w:rsid w:val="003A0B1C"/>
    <w:rsid w:val="003A7C40"/>
    <w:rsid w:val="003C17C5"/>
    <w:rsid w:val="003E1743"/>
    <w:rsid w:val="004B5E7D"/>
    <w:rsid w:val="004C548E"/>
    <w:rsid w:val="00500C75"/>
    <w:rsid w:val="00526C7F"/>
    <w:rsid w:val="00643D69"/>
    <w:rsid w:val="00684DEA"/>
    <w:rsid w:val="006E43B4"/>
    <w:rsid w:val="00707C11"/>
    <w:rsid w:val="0071421F"/>
    <w:rsid w:val="007251C5"/>
    <w:rsid w:val="00725D05"/>
    <w:rsid w:val="00763859"/>
    <w:rsid w:val="00771422"/>
    <w:rsid w:val="00825F93"/>
    <w:rsid w:val="00883A1D"/>
    <w:rsid w:val="008B4CE6"/>
    <w:rsid w:val="008D397F"/>
    <w:rsid w:val="00941E1F"/>
    <w:rsid w:val="00951B85"/>
    <w:rsid w:val="0095285E"/>
    <w:rsid w:val="009543C4"/>
    <w:rsid w:val="00A1595F"/>
    <w:rsid w:val="00A52A11"/>
    <w:rsid w:val="00A75382"/>
    <w:rsid w:val="00AE5274"/>
    <w:rsid w:val="00B44A2F"/>
    <w:rsid w:val="00B8697C"/>
    <w:rsid w:val="00B86F3D"/>
    <w:rsid w:val="00BE5F19"/>
    <w:rsid w:val="00C42B09"/>
    <w:rsid w:val="00C67F1D"/>
    <w:rsid w:val="00CA2BFF"/>
    <w:rsid w:val="00CB1CD9"/>
    <w:rsid w:val="00D068AE"/>
    <w:rsid w:val="00D21C32"/>
    <w:rsid w:val="00D42F38"/>
    <w:rsid w:val="00D6373A"/>
    <w:rsid w:val="00D8191B"/>
    <w:rsid w:val="00D92F70"/>
    <w:rsid w:val="00DB29F9"/>
    <w:rsid w:val="00DD437A"/>
    <w:rsid w:val="00E51C16"/>
    <w:rsid w:val="00EA147F"/>
    <w:rsid w:val="00EF68B1"/>
    <w:rsid w:val="00F6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9254687A-D958-4AE5-9822-3B41BA31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73A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883A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7DC6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F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3A1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3A1D"/>
    <w:pPr>
      <w:tabs>
        <w:tab w:val="center" w:pos="4680"/>
        <w:tab w:val="right" w:pos="9360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83A1D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83A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A1D"/>
  </w:style>
  <w:style w:type="paragraph" w:styleId="FootnoteText">
    <w:name w:val="footnote text"/>
    <w:basedOn w:val="Normal"/>
    <w:link w:val="FootnoteTextChar"/>
    <w:uiPriority w:val="99"/>
    <w:semiHidden/>
    <w:unhideWhenUsed/>
    <w:rsid w:val="00883A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83A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83A1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A1D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83A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A7D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A7DC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6E4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3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3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3B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86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86F3D"/>
    <w:rPr>
      <w:color w:val="0563C1" w:themeColor="hyperlink"/>
      <w:u w:val="single"/>
    </w:rPr>
  </w:style>
  <w:style w:type="paragraph" w:customStyle="1" w:styleId="Headingb">
    <w:name w:val="Heading_b"/>
    <w:basedOn w:val="Heading3"/>
    <w:next w:val="Normal"/>
    <w:rsid w:val="00B86F3D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60" w:line="240" w:lineRule="auto"/>
      <w:ind w:left="567" w:hanging="567"/>
      <w:jc w:val="left"/>
      <w:textAlignment w:val="baseline"/>
      <w:outlineLvl w:val="0"/>
    </w:pPr>
    <w:rPr>
      <w:rFonts w:ascii="Calibri" w:eastAsia="Times New Roman" w:hAnsi="Calibri" w:cs="Times New Roman"/>
      <w:b/>
      <w:color w:val="auto"/>
      <w:szCs w:val="20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F3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unjiu.org/en/reports-notes/JIU%20Products/JIU_REP_2016_1_English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eb.itu.int/dms_pub/itu-s/opb/conf/S-CONF-ACTF-2014-MSW-E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eb.itu.int/dms_pub/itu-s/opb/conf/S-CONF-ACTF-2014-MSW-E.docx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itu.int/en/council/planning/Documents/Strategic%20Plan%20for%20the%20Union%202016-2019__English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u.int/md/S17-CLCWGFHRM7-C-0008/en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067DC-6D6A-48A0-AE7E-2D684309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524</Words>
  <Characters>2988</Characters>
  <Application>Microsoft Office Word</Application>
  <DocSecurity>4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CSD</dc:creator>
  <cp:keywords/>
  <dc:description/>
  <cp:lastModifiedBy>Brouard, Ricarda</cp:lastModifiedBy>
  <cp:revision>2</cp:revision>
  <dcterms:created xsi:type="dcterms:W3CDTF">2016-12-15T10:49:00Z</dcterms:created>
  <dcterms:modified xsi:type="dcterms:W3CDTF">2016-12-15T10:49:00Z</dcterms:modified>
</cp:coreProperties>
</file>