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30A04" w14:paraId="65E13872" w14:textId="77777777" w:rsidTr="00322105">
        <w:trPr>
          <w:cantSplit/>
        </w:trPr>
        <w:tc>
          <w:tcPr>
            <w:tcW w:w="6629" w:type="dxa"/>
          </w:tcPr>
          <w:p w14:paraId="0387EB75" w14:textId="3A26A425" w:rsidR="00C30A04" w:rsidRPr="007057DB" w:rsidRDefault="00C30A04" w:rsidP="00B56F08">
            <w:pPr>
              <w:spacing w:before="360" w:after="48"/>
              <w:rPr>
                <w:rFonts w:ascii="Calibri" w:hAnsi="Calibri"/>
                <w:b/>
                <w:position w:val="6"/>
                <w:sz w:val="26"/>
                <w:szCs w:val="26"/>
              </w:rPr>
            </w:pPr>
            <w:bookmarkStart w:id="0" w:name="dc06"/>
            <w:bookmarkStart w:id="1" w:name="dsource" w:colFirst="0" w:colLast="0"/>
            <w:bookmarkEnd w:id="0"/>
            <w:r w:rsidRPr="007057DB">
              <w:rPr>
                <w:rFonts w:ascii="Calibri" w:hAnsi="Calibri"/>
                <w:b/>
                <w:position w:val="6"/>
                <w:sz w:val="26"/>
                <w:szCs w:val="26"/>
                <w:lang w:val="en-US"/>
              </w:rPr>
              <w:t>COUNCIL WORKING GROUP ON</w:t>
            </w:r>
            <w:r w:rsidRPr="007057DB">
              <w:rPr>
                <w:rFonts w:ascii="Calibri" w:hAnsi="Calibri"/>
                <w:b/>
                <w:position w:val="6"/>
                <w:sz w:val="26"/>
                <w:szCs w:val="26"/>
                <w:lang w:val="en-US"/>
              </w:rPr>
              <w:br/>
              <w:t>FINANCIAL AND HUMAN RESOURCES</w:t>
            </w:r>
            <w:r w:rsidRPr="007057DB">
              <w:rPr>
                <w:rFonts w:ascii="Calibri" w:hAnsi="Calibri"/>
                <w:b/>
                <w:position w:val="6"/>
                <w:sz w:val="26"/>
                <w:szCs w:val="26"/>
                <w:lang w:val="en-US"/>
              </w:rPr>
              <w:br/>
            </w:r>
            <w:r>
              <w:rPr>
                <w:rFonts w:ascii="Calibri" w:hAnsi="Calibri" w:cs="Times New Roman Bold"/>
                <w:bCs/>
              </w:rPr>
              <w:t>7</w:t>
            </w:r>
            <w:r w:rsidRPr="00EA0725">
              <w:rPr>
                <w:rFonts w:ascii="Calibri" w:hAnsi="Calibri" w:cs="Times New Roman Bold"/>
                <w:bCs/>
                <w:vertAlign w:val="superscript"/>
              </w:rPr>
              <w:t>th</w:t>
            </w:r>
            <w:r w:rsidRPr="00EA0725">
              <w:rPr>
                <w:rFonts w:ascii="Calibri" w:hAnsi="Calibri" w:cs="Times New Roman Bold"/>
                <w:bCs/>
              </w:rPr>
              <w:t xml:space="preserve"> meeting, Geneva, </w:t>
            </w:r>
            <w:r w:rsidR="00B56F08" w:rsidRPr="008C17FD">
              <w:rPr>
                <w:rFonts w:ascii="Calibri" w:hAnsi="Calibri" w:cs="Times New Roman Bold"/>
                <w:bCs/>
              </w:rPr>
              <w:t>30</w:t>
            </w:r>
            <w:r w:rsidR="008C17FD">
              <w:rPr>
                <w:rFonts w:ascii="Calibri" w:hAnsi="Calibri" w:cs="Times New Roman Bold"/>
                <w:bCs/>
              </w:rPr>
              <w:t xml:space="preserve"> </w:t>
            </w:r>
            <w:r w:rsidR="00D917A0" w:rsidRPr="008C17FD">
              <w:rPr>
                <w:rFonts w:ascii="Calibri" w:hAnsi="Calibri" w:cs="Times New Roman Bold"/>
                <w:bCs/>
              </w:rPr>
              <w:t>January</w:t>
            </w:r>
            <w:r w:rsidR="00B56F08" w:rsidRPr="008C17FD">
              <w:rPr>
                <w:rFonts w:ascii="Calibri" w:hAnsi="Calibri" w:cs="Times New Roman Bold"/>
                <w:bCs/>
              </w:rPr>
              <w:t xml:space="preserve"> – 1 </w:t>
            </w:r>
            <w:r w:rsidR="006E30DD" w:rsidRPr="008C17FD">
              <w:rPr>
                <w:rFonts w:ascii="Calibri" w:hAnsi="Calibri" w:cs="Times New Roman Bold"/>
                <w:bCs/>
              </w:rPr>
              <w:t>February</w:t>
            </w:r>
            <w:r w:rsidRPr="008C17FD">
              <w:rPr>
                <w:rFonts w:ascii="Calibri" w:hAnsi="Calibri" w:cs="Times New Roman Bold"/>
                <w:bCs/>
              </w:rPr>
              <w:t xml:space="preserve"> 2017</w:t>
            </w:r>
          </w:p>
        </w:tc>
        <w:tc>
          <w:tcPr>
            <w:tcW w:w="3685" w:type="dxa"/>
          </w:tcPr>
          <w:p w14:paraId="10609FDA" w14:textId="77777777" w:rsidR="00C30A04" w:rsidRPr="0020628E" w:rsidRDefault="00C30A04" w:rsidP="00322105">
            <w:pPr>
              <w:spacing w:line="240" w:lineRule="atLeast"/>
            </w:pPr>
            <w:bookmarkStart w:id="2" w:name="ditulogo"/>
            <w:bookmarkEnd w:id="2"/>
            <w:r w:rsidRPr="00C92992">
              <w:rPr>
                <w:rFonts w:ascii="Calibri" w:eastAsia="Times New Roman" w:hAnsi="Calibri"/>
                <w:noProof/>
                <w:lang w:val="en-US" w:eastAsia="zh-CN"/>
              </w:rPr>
              <w:drawing>
                <wp:inline distT="0" distB="0" distL="0" distR="0" wp14:anchorId="6A5F0C87" wp14:editId="5B7082B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30A04" w:rsidRPr="00617BE4" w14:paraId="71448199" w14:textId="77777777" w:rsidTr="00322105">
        <w:trPr>
          <w:cantSplit/>
        </w:trPr>
        <w:tc>
          <w:tcPr>
            <w:tcW w:w="6629" w:type="dxa"/>
            <w:tcBorders>
              <w:bottom w:val="single" w:sz="12" w:space="0" w:color="auto"/>
            </w:tcBorders>
          </w:tcPr>
          <w:p w14:paraId="0C3F6DD8" w14:textId="77777777" w:rsidR="00C30A04" w:rsidRPr="00EA0725" w:rsidRDefault="00C30A04" w:rsidP="00322105">
            <w:pPr>
              <w:spacing w:after="48" w:line="240" w:lineRule="atLeast"/>
              <w:rPr>
                <w:rFonts w:ascii="Calibri" w:hAnsi="Calibri"/>
                <w:b/>
                <w:smallCaps/>
              </w:rPr>
            </w:pPr>
            <w:r w:rsidRPr="00EA0725">
              <w:rPr>
                <w:rFonts w:ascii="Calibri" w:hAnsi="Calibri" w:cs="Times New Roman Bold"/>
                <w:bCs/>
              </w:rPr>
              <w:t>INTERNATIONAL TELECOMMUNICATION UNION</w:t>
            </w:r>
          </w:p>
        </w:tc>
        <w:tc>
          <w:tcPr>
            <w:tcW w:w="3685" w:type="dxa"/>
            <w:tcBorders>
              <w:bottom w:val="single" w:sz="12" w:space="0" w:color="auto"/>
            </w:tcBorders>
          </w:tcPr>
          <w:p w14:paraId="7865B7AE" w14:textId="77777777" w:rsidR="00C30A04" w:rsidRPr="00617BE4" w:rsidRDefault="00C30A04" w:rsidP="00322105">
            <w:pPr>
              <w:spacing w:line="240" w:lineRule="atLeast"/>
              <w:rPr>
                <w:rFonts w:ascii="Verdana" w:hAnsi="Verdana"/>
              </w:rPr>
            </w:pPr>
          </w:p>
        </w:tc>
      </w:tr>
      <w:tr w:rsidR="00C30A04" w:rsidRPr="00617BE4" w14:paraId="412E20F1" w14:textId="77777777" w:rsidTr="00322105">
        <w:trPr>
          <w:cantSplit/>
        </w:trPr>
        <w:tc>
          <w:tcPr>
            <w:tcW w:w="6629" w:type="dxa"/>
            <w:tcBorders>
              <w:top w:val="single" w:sz="12" w:space="0" w:color="auto"/>
            </w:tcBorders>
          </w:tcPr>
          <w:p w14:paraId="6C2CC04B" w14:textId="77777777" w:rsidR="00C30A04" w:rsidRPr="00617BE4" w:rsidRDefault="00C30A04" w:rsidP="00322105">
            <w:pPr>
              <w:spacing w:after="48" w:line="240" w:lineRule="atLeast"/>
              <w:rPr>
                <w:b/>
                <w:smallCaps/>
              </w:rPr>
            </w:pPr>
          </w:p>
        </w:tc>
        <w:tc>
          <w:tcPr>
            <w:tcW w:w="3685" w:type="dxa"/>
            <w:tcBorders>
              <w:top w:val="single" w:sz="12" w:space="0" w:color="auto"/>
            </w:tcBorders>
          </w:tcPr>
          <w:p w14:paraId="0BD9E4E0" w14:textId="77777777" w:rsidR="00C30A04" w:rsidRPr="00617BE4" w:rsidRDefault="00C30A04" w:rsidP="00322105">
            <w:pPr>
              <w:spacing w:line="240" w:lineRule="atLeast"/>
              <w:rPr>
                <w:rFonts w:ascii="Verdana" w:hAnsi="Verdana"/>
              </w:rPr>
            </w:pPr>
          </w:p>
        </w:tc>
      </w:tr>
      <w:tr w:rsidR="00C30A04" w:rsidRPr="0076679F" w14:paraId="375DDDC2" w14:textId="77777777" w:rsidTr="00322105">
        <w:trPr>
          <w:cantSplit/>
          <w:trHeight w:val="23"/>
        </w:trPr>
        <w:tc>
          <w:tcPr>
            <w:tcW w:w="6629" w:type="dxa"/>
            <w:vMerge w:val="restart"/>
          </w:tcPr>
          <w:p w14:paraId="21B2A6E7" w14:textId="77777777" w:rsidR="00C30A04" w:rsidRPr="007057DB" w:rsidRDefault="00C30A04" w:rsidP="00322105">
            <w:pPr>
              <w:tabs>
                <w:tab w:val="left" w:pos="851"/>
              </w:tabs>
              <w:spacing w:line="240" w:lineRule="atLeast"/>
              <w:rPr>
                <w:rFonts w:ascii="Calibri" w:hAnsi="Calibri"/>
                <w:b/>
              </w:rPr>
            </w:pPr>
            <w:bookmarkStart w:id="3" w:name="dmeeting" w:colFirst="0" w:colLast="0"/>
            <w:bookmarkStart w:id="4" w:name="dnum" w:colFirst="1" w:colLast="1"/>
          </w:p>
        </w:tc>
        <w:tc>
          <w:tcPr>
            <w:tcW w:w="3685" w:type="dxa"/>
          </w:tcPr>
          <w:p w14:paraId="5DB9AE3A" w14:textId="7E4AA9EB" w:rsidR="00C30A04" w:rsidRPr="000A33FA" w:rsidRDefault="00C30A04" w:rsidP="003D0BC7">
            <w:pPr>
              <w:tabs>
                <w:tab w:val="left" w:pos="851"/>
              </w:tabs>
              <w:adjustRightInd w:val="0"/>
              <w:snapToGrid w:val="0"/>
              <w:rPr>
                <w:rFonts w:ascii="Calibri" w:hAnsi="Calibri"/>
                <w:b/>
                <w:lang w:val="de-CH"/>
              </w:rPr>
            </w:pPr>
            <w:r w:rsidRPr="000A33FA">
              <w:rPr>
                <w:rFonts w:ascii="Calibri" w:hAnsi="Calibri"/>
                <w:b/>
                <w:lang w:val="de-CH"/>
              </w:rPr>
              <w:t xml:space="preserve">Document CWG-FHR </w:t>
            </w:r>
            <w:r w:rsidR="00527197" w:rsidRPr="00527197">
              <w:rPr>
                <w:rFonts w:ascii="Calibri" w:hAnsi="Calibri"/>
                <w:b/>
                <w:lang w:val="de-CH"/>
              </w:rPr>
              <w:t>7</w:t>
            </w:r>
            <w:r w:rsidRPr="00527197">
              <w:rPr>
                <w:rFonts w:ascii="Calibri" w:hAnsi="Calibri"/>
                <w:b/>
                <w:lang w:val="de-CH"/>
              </w:rPr>
              <w:t>/</w:t>
            </w:r>
            <w:r w:rsidR="002D6639">
              <w:rPr>
                <w:rFonts w:ascii="Calibri" w:hAnsi="Calibri"/>
                <w:b/>
                <w:lang w:val="de-CH"/>
              </w:rPr>
              <w:t>8</w:t>
            </w:r>
          </w:p>
        </w:tc>
      </w:tr>
      <w:tr w:rsidR="00C30A04" w:rsidRPr="00E544AC" w14:paraId="0B87A638" w14:textId="77777777" w:rsidTr="00322105">
        <w:trPr>
          <w:cantSplit/>
          <w:trHeight w:val="23"/>
        </w:trPr>
        <w:tc>
          <w:tcPr>
            <w:tcW w:w="6629" w:type="dxa"/>
            <w:vMerge/>
          </w:tcPr>
          <w:p w14:paraId="27112A87" w14:textId="77777777" w:rsidR="00C30A04" w:rsidRPr="007057DB" w:rsidRDefault="00C30A04" w:rsidP="00322105">
            <w:pPr>
              <w:tabs>
                <w:tab w:val="left" w:pos="851"/>
              </w:tabs>
              <w:spacing w:line="240" w:lineRule="atLeast"/>
              <w:rPr>
                <w:rFonts w:ascii="Calibri" w:hAnsi="Calibri"/>
                <w:b/>
                <w:lang w:val="de-CH"/>
              </w:rPr>
            </w:pPr>
            <w:bookmarkStart w:id="5" w:name="ddate" w:colFirst="1" w:colLast="1"/>
            <w:bookmarkEnd w:id="3"/>
            <w:bookmarkEnd w:id="4"/>
          </w:p>
        </w:tc>
        <w:tc>
          <w:tcPr>
            <w:tcW w:w="3685" w:type="dxa"/>
          </w:tcPr>
          <w:p w14:paraId="589948B8" w14:textId="01658E77" w:rsidR="00C30A04" w:rsidRPr="008C17FD" w:rsidRDefault="00527197" w:rsidP="003D0BC7">
            <w:pPr>
              <w:tabs>
                <w:tab w:val="left" w:pos="993"/>
              </w:tabs>
              <w:adjustRightInd w:val="0"/>
              <w:snapToGrid w:val="0"/>
              <w:rPr>
                <w:rFonts w:ascii="Calibri" w:hAnsi="Calibri"/>
                <w:b/>
              </w:rPr>
            </w:pPr>
            <w:r>
              <w:rPr>
                <w:rFonts w:ascii="Calibri" w:hAnsi="Calibri"/>
                <w:b/>
              </w:rPr>
              <w:t>1</w:t>
            </w:r>
            <w:r w:rsidR="002D6639">
              <w:rPr>
                <w:rFonts w:ascii="Calibri" w:hAnsi="Calibri"/>
                <w:b/>
              </w:rPr>
              <w:t>5</w:t>
            </w:r>
            <w:r w:rsidR="009F7641" w:rsidRPr="008C17FD">
              <w:rPr>
                <w:rFonts w:ascii="Calibri" w:hAnsi="Calibri"/>
                <w:b/>
              </w:rPr>
              <w:t xml:space="preserve"> December </w:t>
            </w:r>
            <w:r w:rsidR="00C30A04" w:rsidRPr="008C17FD">
              <w:rPr>
                <w:rFonts w:ascii="Calibri" w:hAnsi="Calibri"/>
                <w:b/>
              </w:rPr>
              <w:t>201</w:t>
            </w:r>
            <w:r>
              <w:rPr>
                <w:rFonts w:ascii="Calibri" w:hAnsi="Calibri"/>
                <w:b/>
              </w:rPr>
              <w:t>6</w:t>
            </w:r>
          </w:p>
        </w:tc>
      </w:tr>
      <w:tr w:rsidR="00C30A04" w:rsidRPr="00E544AC" w14:paraId="3FFA2A8A" w14:textId="77777777" w:rsidTr="00322105">
        <w:trPr>
          <w:cantSplit/>
          <w:trHeight w:val="80"/>
        </w:trPr>
        <w:tc>
          <w:tcPr>
            <w:tcW w:w="6629" w:type="dxa"/>
            <w:vMerge/>
          </w:tcPr>
          <w:p w14:paraId="6E0070FB" w14:textId="77777777" w:rsidR="00C30A04" w:rsidRPr="007057DB" w:rsidRDefault="00C30A04" w:rsidP="00322105">
            <w:pPr>
              <w:tabs>
                <w:tab w:val="left" w:pos="851"/>
              </w:tabs>
              <w:spacing w:line="240" w:lineRule="atLeast"/>
              <w:rPr>
                <w:rFonts w:ascii="Calibri" w:hAnsi="Calibri"/>
                <w:b/>
              </w:rPr>
            </w:pPr>
            <w:bookmarkStart w:id="6" w:name="dorlang" w:colFirst="1" w:colLast="1"/>
            <w:bookmarkEnd w:id="5"/>
          </w:p>
        </w:tc>
        <w:tc>
          <w:tcPr>
            <w:tcW w:w="3685" w:type="dxa"/>
          </w:tcPr>
          <w:p w14:paraId="21FB47B2" w14:textId="77777777" w:rsidR="00C30A04" w:rsidRPr="000A33FA" w:rsidRDefault="00C30A04" w:rsidP="00322105">
            <w:pPr>
              <w:tabs>
                <w:tab w:val="left" w:pos="993"/>
              </w:tabs>
              <w:adjustRightInd w:val="0"/>
              <w:snapToGrid w:val="0"/>
              <w:rPr>
                <w:rFonts w:ascii="Calibri" w:hAnsi="Calibri"/>
                <w:b/>
              </w:rPr>
            </w:pPr>
            <w:r w:rsidRPr="000A33FA">
              <w:rPr>
                <w:rFonts w:ascii="Calibri" w:hAnsi="Calibri"/>
                <w:b/>
              </w:rPr>
              <w:t>English only</w:t>
            </w:r>
          </w:p>
        </w:tc>
      </w:tr>
    </w:tbl>
    <w:bookmarkEnd w:id="6"/>
    <w:bookmarkEnd w:id="1"/>
    <w:p w14:paraId="33188529" w14:textId="3B604EB1" w:rsidR="003D0BC7" w:rsidRPr="003D0BC7" w:rsidRDefault="002D6639" w:rsidP="003D0BC7">
      <w:pPr>
        <w:spacing w:before="840"/>
        <w:jc w:val="center"/>
        <w:rPr>
          <w:rFonts w:asciiTheme="minorHAnsi" w:hAnsiTheme="minorHAnsi"/>
          <w:b/>
          <w:sz w:val="28"/>
          <w:szCs w:val="28"/>
        </w:rPr>
      </w:pPr>
      <w:r w:rsidRPr="002D6639">
        <w:rPr>
          <w:rFonts w:asciiTheme="minorHAnsi" w:hAnsiTheme="minorHAnsi"/>
          <w:b/>
          <w:sz w:val="28"/>
          <w:szCs w:val="28"/>
        </w:rPr>
        <w:t>CONTRIBUTION BY THE SECRETARIAT</w:t>
      </w:r>
    </w:p>
    <w:p w14:paraId="3C5DEB1B" w14:textId="554F4F1D" w:rsidR="003D0BC7" w:rsidRPr="002D6639" w:rsidRDefault="002D6639" w:rsidP="002D6639">
      <w:pPr>
        <w:spacing w:before="120" w:after="240"/>
        <w:jc w:val="center"/>
        <w:rPr>
          <w:rFonts w:asciiTheme="minorHAnsi" w:hAnsiTheme="minorHAnsi"/>
          <w:b/>
          <w:sz w:val="28"/>
          <w:szCs w:val="28"/>
        </w:rPr>
      </w:pPr>
      <w:r w:rsidRPr="002D6639">
        <w:rPr>
          <w:rFonts w:asciiTheme="minorHAnsi" w:hAnsiTheme="minorHAnsi"/>
          <w:b/>
          <w:sz w:val="28"/>
          <w:szCs w:val="28"/>
        </w:rPr>
        <w:t>Draft ITU risk management policy</w:t>
      </w:r>
    </w:p>
    <w:p w14:paraId="474166D2" w14:textId="6B615D49" w:rsidR="007F04A9" w:rsidRPr="003D0BC7" w:rsidRDefault="007F04A9" w:rsidP="003D0BC7">
      <w:pPr>
        <w:rPr>
          <w:rFonts w:asciiTheme="minorHAnsi" w:hAnsiTheme="minorHAnsi"/>
          <w:b/>
        </w:rPr>
      </w:pPr>
    </w:p>
    <w:tbl>
      <w:tblPr>
        <w:tblStyle w:val="TableGrid"/>
        <w:tblW w:w="0" w:type="auto"/>
        <w:tblInd w:w="567" w:type="dxa"/>
        <w:tblLook w:val="04A0" w:firstRow="1" w:lastRow="0" w:firstColumn="1" w:lastColumn="0" w:noHBand="0" w:noVBand="1"/>
      </w:tblPr>
      <w:tblGrid>
        <w:gridCol w:w="9017"/>
      </w:tblGrid>
      <w:tr w:rsidR="003D0BC7" w:rsidRPr="003D0BC7" w14:paraId="67427863" w14:textId="77777777" w:rsidTr="00CC3B27">
        <w:tc>
          <w:tcPr>
            <w:tcW w:w="9017" w:type="dxa"/>
          </w:tcPr>
          <w:p w14:paraId="7351EE43" w14:textId="77777777" w:rsidR="003D0BC7" w:rsidRPr="003D0BC7" w:rsidRDefault="003D0BC7" w:rsidP="003D0BC7">
            <w:pPr>
              <w:keepNext/>
              <w:keepLines/>
              <w:snapToGrid w:val="0"/>
              <w:spacing w:before="120" w:after="120"/>
              <w:ind w:left="567" w:hanging="567"/>
              <w:outlineLvl w:val="0"/>
              <w:rPr>
                <w:rFonts w:asciiTheme="minorHAnsi" w:hAnsiTheme="minorHAnsi"/>
                <w:b/>
              </w:rPr>
            </w:pPr>
            <w:r w:rsidRPr="003D0BC7">
              <w:rPr>
                <w:rFonts w:asciiTheme="minorHAnsi" w:hAnsiTheme="minorHAnsi"/>
                <w:b/>
              </w:rPr>
              <w:t>Background</w:t>
            </w:r>
          </w:p>
          <w:p w14:paraId="292E7F0C"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Following PP Resolutions 151, 71, and 72, Recommendations from the Independent Management Advisory Committee (IMAC) and the UN Joint Inspection Unit (JIU), ITU is implementing a systematic risk management framework, as a process of continuous improvement of its managerial practices towards increasing efficiency, transparency and accountability.</w:t>
            </w:r>
          </w:p>
          <w:p w14:paraId="77CCA8D4"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This document introduces the draft ITU risk management policy.</w:t>
            </w:r>
          </w:p>
          <w:p w14:paraId="0175B312" w14:textId="1362BF0D" w:rsidR="003D0BC7" w:rsidRPr="003D0BC7" w:rsidRDefault="003D0BC7" w:rsidP="002D6639">
            <w:pPr>
              <w:snapToGrid w:val="0"/>
              <w:spacing w:before="120" w:after="120"/>
              <w:rPr>
                <w:rFonts w:asciiTheme="minorHAnsi" w:hAnsiTheme="minorHAnsi"/>
              </w:rPr>
            </w:pPr>
            <w:r w:rsidRPr="003D0BC7">
              <w:rPr>
                <w:rFonts w:asciiTheme="minorHAnsi" w:hAnsiTheme="minorHAnsi"/>
              </w:rPr>
              <w:t>This policy is complemented by a separate Risk appetite statement (</w:t>
            </w:r>
            <w:hyperlink r:id="rId9" w:history="1">
              <w:r w:rsidRPr="002D6639">
                <w:rPr>
                  <w:rStyle w:val="Hyperlink"/>
                  <w:rFonts w:asciiTheme="minorHAnsi" w:hAnsiTheme="minorHAnsi"/>
                </w:rPr>
                <w:t>CWG-FHR/7/</w:t>
              </w:r>
              <w:r w:rsidR="002D6639" w:rsidRPr="002D6639">
                <w:rPr>
                  <w:rStyle w:val="Hyperlink"/>
                  <w:rFonts w:asciiTheme="minorHAnsi" w:hAnsiTheme="minorHAnsi"/>
                </w:rPr>
                <w:t>9</w:t>
              </w:r>
            </w:hyperlink>
            <w:r w:rsidRPr="003D0BC7">
              <w:rPr>
                <w:rFonts w:asciiTheme="minorHAnsi" w:hAnsiTheme="minorHAnsi"/>
              </w:rPr>
              <w:t>) indicating the amount and type of risk that the organization is willing to take in order to meet its strategic goals and objectives – this includes reference to both the organization’s risk appetite as well as its risk tolerance.</w:t>
            </w:r>
          </w:p>
          <w:p w14:paraId="1B637C4D" w14:textId="77777777" w:rsidR="003D0BC7" w:rsidRPr="003D0BC7" w:rsidRDefault="003D0BC7" w:rsidP="003D0BC7">
            <w:pPr>
              <w:keepNext/>
              <w:keepLines/>
              <w:snapToGrid w:val="0"/>
              <w:spacing w:before="120" w:after="120"/>
              <w:ind w:left="567" w:hanging="567"/>
              <w:outlineLvl w:val="0"/>
              <w:rPr>
                <w:rFonts w:asciiTheme="minorHAnsi" w:hAnsiTheme="minorHAnsi"/>
                <w:b/>
              </w:rPr>
            </w:pPr>
            <w:r w:rsidRPr="003D0BC7">
              <w:rPr>
                <w:rFonts w:asciiTheme="minorHAnsi" w:hAnsiTheme="minorHAnsi"/>
                <w:b/>
              </w:rPr>
              <w:t>Action required</w:t>
            </w:r>
          </w:p>
          <w:p w14:paraId="52A469BE"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 xml:space="preserve">The CWG-FHR is invited to </w:t>
            </w:r>
            <w:r w:rsidRPr="003D0BC7">
              <w:rPr>
                <w:rFonts w:asciiTheme="minorHAnsi" w:hAnsiTheme="minorHAnsi"/>
                <w:b/>
              </w:rPr>
              <w:t xml:space="preserve">review </w:t>
            </w:r>
            <w:r w:rsidRPr="003D0BC7">
              <w:rPr>
                <w:rFonts w:asciiTheme="minorHAnsi" w:hAnsiTheme="minorHAnsi"/>
                <w:bCs/>
              </w:rPr>
              <w:t>and</w:t>
            </w:r>
            <w:r w:rsidRPr="003D0BC7">
              <w:rPr>
                <w:rFonts w:asciiTheme="minorHAnsi" w:hAnsiTheme="minorHAnsi"/>
                <w:b/>
              </w:rPr>
              <w:t xml:space="preserve"> endorse </w:t>
            </w:r>
            <w:r w:rsidRPr="003D0BC7">
              <w:rPr>
                <w:rFonts w:asciiTheme="minorHAnsi" w:hAnsiTheme="minorHAnsi"/>
                <w:bCs/>
              </w:rPr>
              <w:t xml:space="preserve">the </w:t>
            </w:r>
            <w:r w:rsidRPr="003D0BC7">
              <w:rPr>
                <w:rFonts w:asciiTheme="minorHAnsi" w:hAnsiTheme="minorHAnsi"/>
              </w:rPr>
              <w:t xml:space="preserve">draft ITU risk management policy. </w:t>
            </w:r>
          </w:p>
          <w:p w14:paraId="08798637" w14:textId="77777777" w:rsidR="003D0BC7" w:rsidRPr="003D0BC7" w:rsidRDefault="003D0BC7" w:rsidP="003D0BC7">
            <w:pPr>
              <w:pStyle w:val="Headingb"/>
              <w:snapToGrid w:val="0"/>
              <w:spacing w:before="120" w:after="120"/>
              <w:rPr>
                <w:rFonts w:asciiTheme="minorHAnsi" w:hAnsiTheme="minorHAnsi"/>
                <w:szCs w:val="24"/>
                <w:lang w:val="en-US"/>
              </w:rPr>
            </w:pPr>
            <w:r w:rsidRPr="003D0BC7">
              <w:rPr>
                <w:rFonts w:asciiTheme="minorHAnsi" w:hAnsiTheme="minorHAnsi"/>
                <w:szCs w:val="24"/>
                <w:lang w:val="en-US"/>
              </w:rPr>
              <w:t>References</w:t>
            </w:r>
          </w:p>
          <w:p w14:paraId="391EA23B"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bCs/>
                <w:i/>
                <w:iCs/>
              </w:rPr>
              <w:t xml:space="preserve">PP Resolutions </w:t>
            </w:r>
            <w:hyperlink r:id="rId10" w:history="1">
              <w:r w:rsidRPr="003D0BC7">
                <w:rPr>
                  <w:rStyle w:val="Hyperlink"/>
                  <w:rFonts w:asciiTheme="minorHAnsi" w:hAnsiTheme="minorHAnsi"/>
                  <w:bCs/>
                  <w:i/>
                  <w:iCs/>
                </w:rPr>
                <w:t>71</w:t>
              </w:r>
            </w:hyperlink>
            <w:r w:rsidRPr="003D0BC7">
              <w:rPr>
                <w:rStyle w:val="Hyperlink"/>
                <w:rFonts w:asciiTheme="minorHAnsi" w:hAnsiTheme="minorHAnsi"/>
                <w:bCs/>
                <w:i/>
                <w:iCs/>
                <w:u w:val="none"/>
              </w:rPr>
              <w:t xml:space="preserve"> </w:t>
            </w:r>
            <w:r w:rsidRPr="003D0BC7">
              <w:rPr>
                <w:rFonts w:asciiTheme="minorHAnsi" w:hAnsiTheme="minorHAnsi"/>
                <w:bCs/>
                <w:i/>
                <w:iCs/>
              </w:rPr>
              <w:t xml:space="preserve">(rev. Busan, 2014) , </w:t>
            </w:r>
            <w:hyperlink r:id="rId11" w:history="1">
              <w:r w:rsidRPr="003D0BC7">
                <w:rPr>
                  <w:rStyle w:val="Hyperlink"/>
                  <w:rFonts w:asciiTheme="minorHAnsi" w:hAnsiTheme="minorHAnsi"/>
                  <w:bCs/>
                  <w:i/>
                  <w:iCs/>
                </w:rPr>
                <w:t>72</w:t>
              </w:r>
            </w:hyperlink>
            <w:r w:rsidRPr="003D0BC7">
              <w:rPr>
                <w:rFonts w:asciiTheme="minorHAnsi" w:hAnsiTheme="minorHAnsi"/>
                <w:bCs/>
                <w:i/>
                <w:iCs/>
              </w:rPr>
              <w:t xml:space="preserve"> (rev. Busan, 2014)  and </w:t>
            </w:r>
            <w:hyperlink r:id="rId12" w:history="1">
              <w:r w:rsidRPr="003D0BC7">
                <w:rPr>
                  <w:rStyle w:val="Hyperlink"/>
                  <w:rFonts w:asciiTheme="minorHAnsi" w:hAnsiTheme="minorHAnsi"/>
                  <w:bCs/>
                  <w:i/>
                  <w:iCs/>
                </w:rPr>
                <w:t>151</w:t>
              </w:r>
            </w:hyperlink>
            <w:r w:rsidRPr="003D0BC7">
              <w:rPr>
                <w:rFonts w:asciiTheme="minorHAnsi" w:hAnsiTheme="minorHAnsi"/>
                <w:bCs/>
                <w:i/>
                <w:iCs/>
              </w:rPr>
              <w:t xml:space="preserve"> (rev. Busan, 2014);  JIU review of ITU management and administration (</w:t>
            </w:r>
            <w:hyperlink r:id="rId13" w:history="1">
              <w:r w:rsidRPr="003D0BC7">
                <w:rPr>
                  <w:rStyle w:val="Hyperlink"/>
                  <w:rFonts w:asciiTheme="minorHAnsi" w:hAnsiTheme="minorHAnsi"/>
                  <w:bCs/>
                  <w:i/>
                  <w:iCs/>
                </w:rPr>
                <w:t>JIU/2016/1</w:t>
              </w:r>
            </w:hyperlink>
            <w:r w:rsidRPr="003D0BC7">
              <w:rPr>
                <w:rFonts w:asciiTheme="minorHAnsi" w:hAnsiTheme="minorHAnsi"/>
                <w:bCs/>
                <w:i/>
                <w:iCs/>
              </w:rPr>
              <w:t>).</w:t>
            </w:r>
          </w:p>
        </w:tc>
      </w:tr>
    </w:tbl>
    <w:p w14:paraId="3E1CA99C" w14:textId="77777777" w:rsidR="002D6639" w:rsidRDefault="002D6639" w:rsidP="00C515DE">
      <w:pPr>
        <w:pStyle w:val="Heading1"/>
        <w:snapToGrid w:val="0"/>
        <w:spacing w:before="600" w:after="120"/>
        <w:ind w:left="567" w:hanging="567"/>
        <w:jc w:val="both"/>
        <w:rPr>
          <w:rFonts w:asciiTheme="minorHAnsi" w:hAnsiTheme="minorHAnsi"/>
          <w:sz w:val="26"/>
          <w:szCs w:val="26"/>
        </w:rPr>
      </w:pPr>
    </w:p>
    <w:p w14:paraId="5E58DD2C" w14:textId="77777777" w:rsidR="002D6639" w:rsidRDefault="002D6639">
      <w:pPr>
        <w:rPr>
          <w:rFonts w:asciiTheme="minorHAnsi" w:eastAsiaTheme="majorEastAsia" w:hAnsiTheme="minorHAnsi" w:cstheme="majorBidi"/>
          <w:color w:val="365F91" w:themeColor="accent1" w:themeShade="BF"/>
          <w:sz w:val="26"/>
          <w:szCs w:val="26"/>
        </w:rPr>
      </w:pPr>
      <w:r>
        <w:rPr>
          <w:rFonts w:asciiTheme="minorHAnsi" w:hAnsiTheme="minorHAnsi"/>
          <w:sz w:val="26"/>
          <w:szCs w:val="26"/>
        </w:rPr>
        <w:br w:type="page"/>
      </w:r>
    </w:p>
    <w:p w14:paraId="1E253ACA" w14:textId="6CA3AE0B" w:rsidR="003D0BC7" w:rsidRPr="003D0BC7" w:rsidRDefault="003D0BC7" w:rsidP="00C515DE">
      <w:pPr>
        <w:pStyle w:val="Heading1"/>
        <w:snapToGrid w:val="0"/>
        <w:spacing w:before="600" w:after="120"/>
        <w:ind w:left="567" w:hanging="567"/>
        <w:jc w:val="both"/>
        <w:rPr>
          <w:rFonts w:asciiTheme="minorHAnsi" w:hAnsiTheme="minorHAnsi"/>
          <w:sz w:val="26"/>
          <w:szCs w:val="26"/>
        </w:rPr>
      </w:pPr>
      <w:r w:rsidRPr="003D0BC7">
        <w:rPr>
          <w:rFonts w:asciiTheme="minorHAnsi" w:hAnsiTheme="minorHAnsi"/>
          <w:sz w:val="26"/>
          <w:szCs w:val="26"/>
        </w:rPr>
        <w:lastRenderedPageBreak/>
        <w:t>1</w:t>
      </w:r>
      <w:r w:rsidRPr="003D0BC7">
        <w:rPr>
          <w:rFonts w:asciiTheme="minorHAnsi" w:hAnsiTheme="minorHAnsi"/>
          <w:sz w:val="26"/>
          <w:szCs w:val="26"/>
        </w:rPr>
        <w:tab/>
        <w:t>Introduction</w:t>
      </w:r>
    </w:p>
    <w:p w14:paraId="154D0F95" w14:textId="321B0D51" w:rsidR="003D0BC7" w:rsidRPr="003D0BC7" w:rsidRDefault="003D0BC7" w:rsidP="003D0BC7">
      <w:pPr>
        <w:pStyle w:val="Heading2"/>
        <w:numPr>
          <w:ilvl w:val="1"/>
          <w:numId w:val="0"/>
        </w:numPr>
        <w:snapToGrid w:val="0"/>
        <w:spacing w:before="120" w:after="120"/>
        <w:ind w:left="578" w:hanging="578"/>
        <w:jc w:val="both"/>
        <w:rPr>
          <w:rFonts w:asciiTheme="minorHAnsi" w:hAnsiTheme="minorHAnsi"/>
          <w:sz w:val="24"/>
          <w:szCs w:val="24"/>
        </w:rPr>
      </w:pPr>
      <w:r>
        <w:rPr>
          <w:rFonts w:asciiTheme="minorHAnsi" w:hAnsiTheme="minorHAnsi"/>
          <w:sz w:val="24"/>
          <w:szCs w:val="24"/>
        </w:rPr>
        <w:t>1.1</w:t>
      </w:r>
      <w:r>
        <w:rPr>
          <w:rFonts w:asciiTheme="minorHAnsi" w:hAnsiTheme="minorHAnsi"/>
          <w:sz w:val="24"/>
          <w:szCs w:val="24"/>
        </w:rPr>
        <w:tab/>
      </w:r>
      <w:r w:rsidRPr="003D0BC7">
        <w:rPr>
          <w:rFonts w:asciiTheme="minorHAnsi" w:hAnsiTheme="minorHAnsi"/>
          <w:sz w:val="24"/>
          <w:szCs w:val="24"/>
        </w:rPr>
        <w:t>Purpose</w:t>
      </w:r>
    </w:p>
    <w:p w14:paraId="485B8372"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 xml:space="preserve">The purpose of this policy is to document the common methodology and framework for the implementation of systematic risk management. The driving objective is to facilitate and promote the identification, communication and management of risks through the management reporting lines. </w:t>
      </w:r>
    </w:p>
    <w:p w14:paraId="79CE8EB7"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The methodology given in this document follows best practices promoted by professional organizations and is suited to ITU specificities.</w:t>
      </w:r>
    </w:p>
    <w:p w14:paraId="04460EAD" w14:textId="52DAB657" w:rsidR="003D0BC7" w:rsidRPr="003D0BC7" w:rsidRDefault="003D0BC7" w:rsidP="00C515DE">
      <w:pPr>
        <w:pStyle w:val="Heading2"/>
        <w:numPr>
          <w:ilvl w:val="1"/>
          <w:numId w:val="0"/>
        </w:numPr>
        <w:snapToGrid w:val="0"/>
        <w:spacing w:before="240" w:after="120"/>
        <w:ind w:left="578" w:hanging="578"/>
        <w:jc w:val="both"/>
        <w:rPr>
          <w:rFonts w:asciiTheme="minorHAnsi" w:hAnsiTheme="minorHAnsi"/>
          <w:sz w:val="24"/>
          <w:szCs w:val="24"/>
        </w:rPr>
      </w:pPr>
      <w:r>
        <w:rPr>
          <w:rFonts w:asciiTheme="minorHAnsi" w:hAnsiTheme="minorHAnsi"/>
          <w:sz w:val="24"/>
          <w:szCs w:val="24"/>
        </w:rPr>
        <w:t>1.2</w:t>
      </w:r>
      <w:r>
        <w:rPr>
          <w:rFonts w:asciiTheme="minorHAnsi" w:hAnsiTheme="minorHAnsi"/>
          <w:sz w:val="24"/>
          <w:szCs w:val="24"/>
        </w:rPr>
        <w:tab/>
      </w:r>
      <w:r w:rsidRPr="003D0BC7">
        <w:rPr>
          <w:rFonts w:asciiTheme="minorHAnsi" w:hAnsiTheme="minorHAnsi"/>
          <w:sz w:val="24"/>
          <w:szCs w:val="24"/>
        </w:rPr>
        <w:t>Objectives</w:t>
      </w:r>
    </w:p>
    <w:p w14:paraId="0EADB0A2" w14:textId="77777777" w:rsidR="003D0BC7" w:rsidRPr="003D0BC7" w:rsidRDefault="003D0BC7" w:rsidP="00C515DE">
      <w:pPr>
        <w:keepNext/>
        <w:keepLines/>
        <w:snapToGrid w:val="0"/>
        <w:spacing w:before="120" w:after="120"/>
        <w:rPr>
          <w:rFonts w:asciiTheme="minorHAnsi" w:hAnsiTheme="minorHAnsi"/>
        </w:rPr>
      </w:pPr>
      <w:r w:rsidRPr="003D0BC7">
        <w:rPr>
          <w:rFonts w:asciiTheme="minorHAnsi" w:hAnsiTheme="minorHAnsi"/>
        </w:rPr>
        <w:t>The main objectives of the risk management policy in ITU are as follows:</w:t>
      </w:r>
    </w:p>
    <w:p w14:paraId="385DE9A7" w14:textId="77777777" w:rsidR="003D0BC7" w:rsidRPr="003D0BC7" w:rsidRDefault="003D0BC7" w:rsidP="00C515DE">
      <w:pPr>
        <w:pStyle w:val="ListParagraph"/>
        <w:keepNext/>
        <w:keepLines/>
        <w:numPr>
          <w:ilvl w:val="0"/>
          <w:numId w:val="34"/>
        </w:numPr>
        <w:snapToGrid w:val="0"/>
        <w:spacing w:before="120" w:after="120"/>
        <w:ind w:left="357" w:hanging="357"/>
        <w:contextualSpacing w:val="0"/>
        <w:jc w:val="both"/>
        <w:rPr>
          <w:rFonts w:asciiTheme="minorHAnsi" w:hAnsiTheme="minorHAnsi"/>
        </w:rPr>
      </w:pPr>
      <w:r w:rsidRPr="003D0BC7">
        <w:rPr>
          <w:rFonts w:asciiTheme="minorHAnsi" w:hAnsiTheme="minorHAnsi"/>
        </w:rPr>
        <w:t>Embed risk management into the business process of the Organization, drawing from the best practices; and</w:t>
      </w:r>
    </w:p>
    <w:p w14:paraId="05D98B5B" w14:textId="77777777" w:rsidR="003D0BC7" w:rsidRPr="003D0BC7" w:rsidRDefault="003D0BC7" w:rsidP="003D0BC7">
      <w:pPr>
        <w:pStyle w:val="ListParagraph"/>
        <w:numPr>
          <w:ilvl w:val="0"/>
          <w:numId w:val="34"/>
        </w:numPr>
        <w:snapToGrid w:val="0"/>
        <w:spacing w:before="120" w:after="120"/>
        <w:ind w:left="357" w:hanging="357"/>
        <w:contextualSpacing w:val="0"/>
        <w:jc w:val="both"/>
        <w:rPr>
          <w:rFonts w:asciiTheme="minorHAnsi" w:hAnsiTheme="minorHAnsi"/>
        </w:rPr>
      </w:pPr>
      <w:r w:rsidRPr="003D0BC7">
        <w:rPr>
          <w:rFonts w:asciiTheme="minorHAnsi" w:hAnsiTheme="minorHAnsi"/>
        </w:rPr>
        <w:t>Allow for the achievement of the organizational goals and objectives, fostering a culture of risk awareness and organizational resilience.</w:t>
      </w:r>
    </w:p>
    <w:p w14:paraId="05C3D3D1" w14:textId="2B92003F" w:rsidR="003D0BC7" w:rsidRPr="003D0BC7" w:rsidRDefault="003D0BC7" w:rsidP="00C515DE">
      <w:pPr>
        <w:pStyle w:val="Heading2"/>
        <w:numPr>
          <w:ilvl w:val="1"/>
          <w:numId w:val="0"/>
        </w:numPr>
        <w:snapToGrid w:val="0"/>
        <w:spacing w:before="240" w:after="120"/>
        <w:ind w:left="578" w:hanging="578"/>
        <w:jc w:val="both"/>
        <w:rPr>
          <w:rFonts w:asciiTheme="minorHAnsi" w:hAnsiTheme="minorHAnsi"/>
          <w:sz w:val="24"/>
          <w:szCs w:val="24"/>
        </w:rPr>
      </w:pPr>
      <w:r>
        <w:rPr>
          <w:rFonts w:asciiTheme="minorHAnsi" w:hAnsiTheme="minorHAnsi"/>
          <w:sz w:val="24"/>
          <w:szCs w:val="24"/>
        </w:rPr>
        <w:t>1.3</w:t>
      </w:r>
      <w:r>
        <w:rPr>
          <w:rFonts w:asciiTheme="minorHAnsi" w:hAnsiTheme="minorHAnsi"/>
          <w:sz w:val="24"/>
          <w:szCs w:val="24"/>
        </w:rPr>
        <w:tab/>
      </w:r>
      <w:r w:rsidRPr="003D0BC7">
        <w:rPr>
          <w:rFonts w:asciiTheme="minorHAnsi" w:hAnsiTheme="minorHAnsi"/>
          <w:sz w:val="24"/>
          <w:szCs w:val="24"/>
        </w:rPr>
        <w:t>Driving Principles</w:t>
      </w:r>
    </w:p>
    <w:p w14:paraId="44A19D6A"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ITU’s risk management approach is guided by the following principles:</w:t>
      </w:r>
    </w:p>
    <w:p w14:paraId="0720D6F5" w14:textId="77777777" w:rsidR="003D0BC7" w:rsidRPr="003D0BC7" w:rsidRDefault="003D0BC7" w:rsidP="00C515DE">
      <w:pPr>
        <w:pStyle w:val="ListParagraph"/>
        <w:numPr>
          <w:ilvl w:val="0"/>
          <w:numId w:val="34"/>
        </w:numPr>
        <w:snapToGrid w:val="0"/>
        <w:spacing w:before="120" w:after="40"/>
        <w:ind w:left="357" w:hanging="357"/>
        <w:contextualSpacing w:val="0"/>
        <w:jc w:val="both"/>
        <w:rPr>
          <w:rFonts w:asciiTheme="minorHAnsi" w:hAnsiTheme="minorHAnsi"/>
        </w:rPr>
      </w:pPr>
      <w:r w:rsidRPr="003D0BC7">
        <w:rPr>
          <w:rFonts w:asciiTheme="minorHAnsi" w:hAnsiTheme="minorHAnsi"/>
        </w:rPr>
        <w:t>Integration into business processes: risk management does not stand in isolation, rather it is embedded into pre-existing business processes;</w:t>
      </w:r>
    </w:p>
    <w:p w14:paraId="11E33A9E" w14:textId="77777777" w:rsidR="003D0BC7" w:rsidRPr="003D0BC7" w:rsidRDefault="003D0BC7" w:rsidP="00C515DE">
      <w:pPr>
        <w:pStyle w:val="ListParagraph"/>
        <w:numPr>
          <w:ilvl w:val="0"/>
          <w:numId w:val="34"/>
        </w:numPr>
        <w:snapToGrid w:val="0"/>
        <w:spacing w:before="40" w:after="40"/>
        <w:ind w:left="357" w:hanging="357"/>
        <w:contextualSpacing w:val="0"/>
        <w:jc w:val="both"/>
        <w:rPr>
          <w:rFonts w:asciiTheme="minorHAnsi" w:hAnsiTheme="minorHAnsi"/>
        </w:rPr>
      </w:pPr>
      <w:r w:rsidRPr="003D0BC7">
        <w:rPr>
          <w:rFonts w:asciiTheme="minorHAnsi" w:hAnsiTheme="minorHAnsi"/>
        </w:rPr>
        <w:t xml:space="preserve">Discussion </w:t>
      </w:r>
      <w:proofErr w:type="spellStart"/>
      <w:r w:rsidRPr="003D0BC7">
        <w:rPr>
          <w:rFonts w:asciiTheme="minorHAnsi" w:hAnsiTheme="minorHAnsi"/>
        </w:rPr>
        <w:t>centered</w:t>
      </w:r>
      <w:proofErr w:type="spellEnd"/>
      <w:r w:rsidRPr="003D0BC7">
        <w:rPr>
          <w:rFonts w:asciiTheme="minorHAnsi" w:hAnsiTheme="minorHAnsi"/>
        </w:rPr>
        <w:t>: regular discussions take place about risk management from the operational entity to executive level;</w:t>
      </w:r>
    </w:p>
    <w:p w14:paraId="554C690F" w14:textId="77777777" w:rsidR="003D0BC7" w:rsidRPr="003D0BC7" w:rsidRDefault="003D0BC7" w:rsidP="00C515DE">
      <w:pPr>
        <w:pStyle w:val="ListParagraph"/>
        <w:numPr>
          <w:ilvl w:val="0"/>
          <w:numId w:val="34"/>
        </w:numPr>
        <w:snapToGrid w:val="0"/>
        <w:spacing w:before="40" w:after="40"/>
        <w:ind w:left="357" w:hanging="357"/>
        <w:contextualSpacing w:val="0"/>
        <w:jc w:val="both"/>
        <w:rPr>
          <w:rFonts w:asciiTheme="minorHAnsi" w:hAnsiTheme="minorHAnsi"/>
        </w:rPr>
      </w:pPr>
      <w:r w:rsidRPr="003D0BC7">
        <w:rPr>
          <w:rFonts w:asciiTheme="minorHAnsi" w:hAnsiTheme="minorHAnsi"/>
        </w:rPr>
        <w:t>Risk response: risks are identified, however there is also a corresponding response to them;</w:t>
      </w:r>
    </w:p>
    <w:p w14:paraId="6F673DFC" w14:textId="77777777" w:rsidR="003D0BC7" w:rsidRPr="003D0BC7" w:rsidRDefault="003D0BC7" w:rsidP="00C515DE">
      <w:pPr>
        <w:pStyle w:val="ListParagraph"/>
        <w:numPr>
          <w:ilvl w:val="0"/>
          <w:numId w:val="34"/>
        </w:numPr>
        <w:snapToGrid w:val="0"/>
        <w:spacing w:before="40" w:after="40"/>
        <w:ind w:left="357" w:hanging="357"/>
        <w:contextualSpacing w:val="0"/>
        <w:jc w:val="both"/>
        <w:rPr>
          <w:rFonts w:asciiTheme="minorHAnsi" w:hAnsiTheme="minorHAnsi"/>
        </w:rPr>
      </w:pPr>
      <w:r w:rsidRPr="003D0BC7">
        <w:rPr>
          <w:rFonts w:asciiTheme="minorHAnsi" w:hAnsiTheme="minorHAnsi"/>
        </w:rPr>
        <w:t>Different risks at different levels: recognition that different parts of the organization have different objectives, thus may face different risks; and</w:t>
      </w:r>
    </w:p>
    <w:p w14:paraId="66C1EF12" w14:textId="77777777" w:rsidR="003D0BC7" w:rsidRPr="003D0BC7" w:rsidRDefault="003D0BC7" w:rsidP="00C515DE">
      <w:pPr>
        <w:pStyle w:val="ListParagraph"/>
        <w:numPr>
          <w:ilvl w:val="0"/>
          <w:numId w:val="34"/>
        </w:numPr>
        <w:snapToGrid w:val="0"/>
        <w:spacing w:before="40" w:after="120"/>
        <w:ind w:left="357" w:hanging="357"/>
        <w:contextualSpacing w:val="0"/>
        <w:jc w:val="both"/>
        <w:rPr>
          <w:rFonts w:asciiTheme="minorHAnsi" w:hAnsiTheme="minorHAnsi"/>
        </w:rPr>
      </w:pPr>
      <w:r w:rsidRPr="003D0BC7">
        <w:rPr>
          <w:rFonts w:asciiTheme="minorHAnsi" w:hAnsiTheme="minorHAnsi"/>
        </w:rPr>
        <w:t>Make risk management decisions at the appropriate level: when risks cannot be mitigated at a level, they are reported to and managed at the level above.</w:t>
      </w:r>
    </w:p>
    <w:p w14:paraId="38FD6F90" w14:textId="1B204628" w:rsidR="003D0BC7" w:rsidRPr="00C515DE" w:rsidRDefault="003D0BC7" w:rsidP="00C515DE">
      <w:pPr>
        <w:pStyle w:val="Heading1"/>
        <w:snapToGrid w:val="0"/>
        <w:spacing w:before="360" w:after="120"/>
        <w:ind w:left="567" w:hanging="567"/>
        <w:jc w:val="both"/>
        <w:rPr>
          <w:rFonts w:asciiTheme="minorHAnsi" w:hAnsiTheme="minorHAnsi"/>
          <w:sz w:val="26"/>
          <w:szCs w:val="26"/>
        </w:rPr>
      </w:pPr>
      <w:r w:rsidRPr="00C515DE">
        <w:rPr>
          <w:rFonts w:asciiTheme="minorHAnsi" w:hAnsiTheme="minorHAnsi"/>
          <w:sz w:val="26"/>
          <w:szCs w:val="26"/>
        </w:rPr>
        <w:t>2</w:t>
      </w:r>
      <w:r w:rsidRPr="00C515DE">
        <w:rPr>
          <w:rFonts w:asciiTheme="minorHAnsi" w:hAnsiTheme="minorHAnsi"/>
          <w:sz w:val="26"/>
          <w:szCs w:val="26"/>
        </w:rPr>
        <w:tab/>
        <w:t>Risk categorization and assessment</w:t>
      </w:r>
    </w:p>
    <w:p w14:paraId="6DADC1F9" w14:textId="40303B22" w:rsidR="003D0BC7" w:rsidRPr="003D0BC7" w:rsidRDefault="003D0BC7" w:rsidP="003D0BC7">
      <w:pPr>
        <w:pStyle w:val="Heading2"/>
        <w:numPr>
          <w:ilvl w:val="1"/>
          <w:numId w:val="0"/>
        </w:numPr>
        <w:snapToGrid w:val="0"/>
        <w:spacing w:before="120" w:after="120"/>
        <w:ind w:left="578" w:hanging="578"/>
        <w:jc w:val="both"/>
        <w:rPr>
          <w:rFonts w:asciiTheme="minorHAnsi" w:hAnsiTheme="minorHAnsi"/>
          <w:sz w:val="24"/>
          <w:szCs w:val="24"/>
        </w:rPr>
      </w:pPr>
      <w:r>
        <w:rPr>
          <w:rFonts w:asciiTheme="minorHAnsi" w:hAnsiTheme="minorHAnsi"/>
          <w:sz w:val="24"/>
          <w:szCs w:val="24"/>
        </w:rPr>
        <w:t>2.1</w:t>
      </w:r>
      <w:r>
        <w:rPr>
          <w:rFonts w:asciiTheme="minorHAnsi" w:hAnsiTheme="minorHAnsi"/>
          <w:sz w:val="24"/>
          <w:szCs w:val="24"/>
        </w:rPr>
        <w:tab/>
      </w:r>
      <w:r w:rsidRPr="003D0BC7">
        <w:rPr>
          <w:rFonts w:asciiTheme="minorHAnsi" w:hAnsiTheme="minorHAnsi"/>
          <w:sz w:val="24"/>
          <w:szCs w:val="24"/>
        </w:rPr>
        <w:t>Risk perspective</w:t>
      </w:r>
    </w:p>
    <w:p w14:paraId="3DF7656B"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The broad categories of risks are:</w:t>
      </w:r>
    </w:p>
    <w:p w14:paraId="56FA8C5E" w14:textId="77777777" w:rsidR="003D0BC7" w:rsidRPr="003D0BC7" w:rsidRDefault="003D0BC7" w:rsidP="003D0BC7">
      <w:pPr>
        <w:pStyle w:val="ListParagraph"/>
        <w:numPr>
          <w:ilvl w:val="0"/>
          <w:numId w:val="34"/>
        </w:numPr>
        <w:snapToGrid w:val="0"/>
        <w:spacing w:before="120" w:after="120"/>
        <w:ind w:left="357" w:hanging="357"/>
        <w:contextualSpacing w:val="0"/>
        <w:jc w:val="both"/>
        <w:rPr>
          <w:rFonts w:asciiTheme="minorHAnsi" w:hAnsiTheme="minorHAnsi"/>
        </w:rPr>
      </w:pPr>
      <w:r w:rsidRPr="003D0BC7">
        <w:rPr>
          <w:rFonts w:asciiTheme="minorHAnsi" w:hAnsiTheme="minorHAnsi"/>
        </w:rPr>
        <w:t>Strategic risks: associated with reducing the capacity of the ITU at achieving its strategic goals; and</w:t>
      </w:r>
    </w:p>
    <w:p w14:paraId="64E7CB76" w14:textId="77777777" w:rsidR="003D0BC7" w:rsidRPr="003D0BC7" w:rsidRDefault="003D0BC7" w:rsidP="003D0BC7">
      <w:pPr>
        <w:pStyle w:val="ListParagraph"/>
        <w:numPr>
          <w:ilvl w:val="0"/>
          <w:numId w:val="34"/>
        </w:numPr>
        <w:snapToGrid w:val="0"/>
        <w:spacing w:before="120" w:after="120"/>
        <w:ind w:left="357" w:hanging="357"/>
        <w:contextualSpacing w:val="0"/>
        <w:jc w:val="both"/>
        <w:rPr>
          <w:rFonts w:asciiTheme="minorHAnsi" w:hAnsiTheme="minorHAnsi"/>
        </w:rPr>
      </w:pPr>
      <w:r w:rsidRPr="003D0BC7">
        <w:rPr>
          <w:rFonts w:asciiTheme="minorHAnsi" w:hAnsiTheme="minorHAnsi"/>
        </w:rPr>
        <w:t>Operational risks: associated with reducing the capacity of the ITU at achieving its operational objectives. Following are indicative broad categories of operational risks identified:</w:t>
      </w:r>
    </w:p>
    <w:p w14:paraId="2B755B7D" w14:textId="77777777" w:rsidR="003D0BC7" w:rsidRPr="003D0BC7" w:rsidRDefault="003D0BC7" w:rsidP="00D918FD">
      <w:pPr>
        <w:pStyle w:val="ListParagraph"/>
        <w:numPr>
          <w:ilvl w:val="0"/>
          <w:numId w:val="33"/>
        </w:numPr>
        <w:snapToGrid w:val="0"/>
        <w:spacing w:before="120" w:after="40"/>
        <w:ind w:left="1077" w:hanging="357"/>
        <w:contextualSpacing w:val="0"/>
        <w:jc w:val="both"/>
        <w:rPr>
          <w:rFonts w:asciiTheme="minorHAnsi" w:hAnsiTheme="minorHAnsi"/>
        </w:rPr>
      </w:pPr>
      <w:r w:rsidRPr="003D0BC7">
        <w:rPr>
          <w:rFonts w:asciiTheme="minorHAnsi" w:hAnsiTheme="minorHAnsi"/>
        </w:rPr>
        <w:t>Organizational</w:t>
      </w:r>
    </w:p>
    <w:p w14:paraId="50439A48" w14:textId="77777777" w:rsidR="003D0BC7" w:rsidRPr="003D0BC7" w:rsidRDefault="003D0BC7" w:rsidP="00D918FD">
      <w:pPr>
        <w:pStyle w:val="ListParagraph"/>
        <w:numPr>
          <w:ilvl w:val="0"/>
          <w:numId w:val="33"/>
        </w:numPr>
        <w:snapToGrid w:val="0"/>
        <w:spacing w:before="40" w:after="40"/>
        <w:ind w:left="1077" w:hanging="357"/>
        <w:contextualSpacing w:val="0"/>
        <w:jc w:val="both"/>
        <w:rPr>
          <w:rFonts w:asciiTheme="minorHAnsi" w:hAnsiTheme="minorHAnsi"/>
        </w:rPr>
      </w:pPr>
      <w:r w:rsidRPr="003D0BC7">
        <w:rPr>
          <w:rFonts w:asciiTheme="minorHAnsi" w:hAnsiTheme="minorHAnsi"/>
        </w:rPr>
        <w:t>Infrastructure</w:t>
      </w:r>
    </w:p>
    <w:p w14:paraId="4C82AE1F" w14:textId="77777777" w:rsidR="003D0BC7" w:rsidRPr="003D0BC7" w:rsidRDefault="003D0BC7" w:rsidP="00D918FD">
      <w:pPr>
        <w:pStyle w:val="ListParagraph"/>
        <w:numPr>
          <w:ilvl w:val="0"/>
          <w:numId w:val="33"/>
        </w:numPr>
        <w:snapToGrid w:val="0"/>
        <w:spacing w:before="40" w:after="40"/>
        <w:ind w:left="1077" w:hanging="357"/>
        <w:contextualSpacing w:val="0"/>
        <w:jc w:val="both"/>
        <w:rPr>
          <w:rFonts w:asciiTheme="minorHAnsi" w:hAnsiTheme="minorHAnsi"/>
        </w:rPr>
      </w:pPr>
      <w:r w:rsidRPr="003D0BC7">
        <w:rPr>
          <w:rFonts w:asciiTheme="minorHAnsi" w:hAnsiTheme="minorHAnsi"/>
        </w:rPr>
        <w:t>Human resources</w:t>
      </w:r>
    </w:p>
    <w:p w14:paraId="4C5EBFAA" w14:textId="77777777" w:rsidR="003D0BC7" w:rsidRPr="003D0BC7" w:rsidRDefault="003D0BC7" w:rsidP="00D918FD">
      <w:pPr>
        <w:pStyle w:val="ListParagraph"/>
        <w:numPr>
          <w:ilvl w:val="0"/>
          <w:numId w:val="33"/>
        </w:numPr>
        <w:snapToGrid w:val="0"/>
        <w:spacing w:before="40" w:after="40"/>
        <w:ind w:left="1077" w:hanging="357"/>
        <w:contextualSpacing w:val="0"/>
        <w:jc w:val="both"/>
        <w:rPr>
          <w:rFonts w:asciiTheme="minorHAnsi" w:hAnsiTheme="minorHAnsi"/>
        </w:rPr>
      </w:pPr>
      <w:r w:rsidRPr="003D0BC7">
        <w:rPr>
          <w:rFonts w:asciiTheme="minorHAnsi" w:hAnsiTheme="minorHAnsi"/>
        </w:rPr>
        <w:t>Financial resources</w:t>
      </w:r>
    </w:p>
    <w:p w14:paraId="69EBC5E1" w14:textId="77777777" w:rsidR="003D0BC7" w:rsidRPr="003D0BC7" w:rsidRDefault="003D0BC7" w:rsidP="00D918FD">
      <w:pPr>
        <w:pStyle w:val="ListParagraph"/>
        <w:numPr>
          <w:ilvl w:val="0"/>
          <w:numId w:val="33"/>
        </w:numPr>
        <w:snapToGrid w:val="0"/>
        <w:spacing w:before="40" w:after="40"/>
        <w:ind w:left="1077" w:hanging="357"/>
        <w:contextualSpacing w:val="0"/>
        <w:jc w:val="both"/>
        <w:rPr>
          <w:rFonts w:asciiTheme="minorHAnsi" w:hAnsiTheme="minorHAnsi"/>
        </w:rPr>
      </w:pPr>
      <w:r w:rsidRPr="003D0BC7">
        <w:rPr>
          <w:rFonts w:asciiTheme="minorHAnsi" w:hAnsiTheme="minorHAnsi"/>
        </w:rPr>
        <w:t>Stakeholder/ partners</w:t>
      </w:r>
    </w:p>
    <w:p w14:paraId="151342E0" w14:textId="77777777" w:rsidR="003D0BC7" w:rsidRPr="003D0BC7" w:rsidRDefault="003D0BC7" w:rsidP="00D918FD">
      <w:pPr>
        <w:pStyle w:val="ListParagraph"/>
        <w:numPr>
          <w:ilvl w:val="0"/>
          <w:numId w:val="33"/>
        </w:numPr>
        <w:snapToGrid w:val="0"/>
        <w:spacing w:before="40" w:after="120"/>
        <w:ind w:left="1077" w:hanging="357"/>
        <w:contextualSpacing w:val="0"/>
        <w:jc w:val="both"/>
        <w:rPr>
          <w:rFonts w:asciiTheme="minorHAnsi" w:hAnsiTheme="minorHAnsi"/>
        </w:rPr>
      </w:pPr>
      <w:r w:rsidRPr="003D0BC7">
        <w:rPr>
          <w:rFonts w:asciiTheme="minorHAnsi" w:hAnsiTheme="minorHAnsi"/>
        </w:rPr>
        <w:t>Environment.</w:t>
      </w:r>
    </w:p>
    <w:p w14:paraId="1EF941B3" w14:textId="15594F96" w:rsidR="003D0BC7" w:rsidRPr="003D0BC7" w:rsidRDefault="003D0BC7" w:rsidP="00C515DE">
      <w:pPr>
        <w:pStyle w:val="Heading2"/>
        <w:numPr>
          <w:ilvl w:val="1"/>
          <w:numId w:val="0"/>
        </w:numPr>
        <w:snapToGrid w:val="0"/>
        <w:spacing w:before="240" w:after="120"/>
        <w:ind w:left="578" w:hanging="578"/>
        <w:jc w:val="both"/>
        <w:rPr>
          <w:rFonts w:asciiTheme="minorHAnsi" w:hAnsiTheme="minorHAnsi"/>
          <w:sz w:val="24"/>
          <w:szCs w:val="24"/>
        </w:rPr>
      </w:pPr>
      <w:r>
        <w:rPr>
          <w:rFonts w:asciiTheme="minorHAnsi" w:hAnsiTheme="minorHAnsi"/>
          <w:sz w:val="24"/>
          <w:szCs w:val="24"/>
        </w:rPr>
        <w:lastRenderedPageBreak/>
        <w:t>2.2</w:t>
      </w:r>
      <w:r>
        <w:rPr>
          <w:rFonts w:asciiTheme="minorHAnsi" w:hAnsiTheme="minorHAnsi"/>
          <w:sz w:val="24"/>
          <w:szCs w:val="24"/>
        </w:rPr>
        <w:tab/>
      </w:r>
      <w:r w:rsidRPr="003D0BC7">
        <w:rPr>
          <w:rFonts w:asciiTheme="minorHAnsi" w:hAnsiTheme="minorHAnsi"/>
          <w:sz w:val="24"/>
          <w:szCs w:val="24"/>
        </w:rPr>
        <w:t>Risk evaluation</w:t>
      </w:r>
      <w:bookmarkStart w:id="7" w:name="_GoBack"/>
      <w:bookmarkEnd w:id="7"/>
    </w:p>
    <w:p w14:paraId="5B5A3DF4"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Risk is the combination of the likelihood of occurrence (probability) of an event and of its consequence (impact). This assessment of risk aims to prioritize, or rate the risk level (criticality). The Bureaux and the General Secretariat will assess the level of risks by using the following matrix:</w:t>
      </w:r>
    </w:p>
    <w:p w14:paraId="30078FE2" w14:textId="77777777" w:rsidR="003D0BC7" w:rsidRPr="003D0BC7" w:rsidRDefault="003D0BC7" w:rsidP="003D0BC7">
      <w:pPr>
        <w:keepNext/>
        <w:spacing w:after="60" w:line="276" w:lineRule="auto"/>
        <w:ind w:left="357"/>
        <w:jc w:val="center"/>
        <w:rPr>
          <w:rFonts w:asciiTheme="minorHAnsi" w:hAnsiTheme="minorHAnsi"/>
          <w:b/>
          <w:bCs/>
          <w:u w:val="single"/>
        </w:rPr>
      </w:pPr>
      <w:r w:rsidRPr="003D0BC7">
        <w:rPr>
          <w:rFonts w:asciiTheme="minorHAnsi" w:hAnsiTheme="minorHAnsi"/>
          <w:b/>
          <w:bCs/>
        </w:rPr>
        <w:t>Level of risk matrix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4"/>
        <w:gridCol w:w="992"/>
        <w:gridCol w:w="1510"/>
        <w:gridCol w:w="1596"/>
        <w:gridCol w:w="1596"/>
      </w:tblGrid>
      <w:tr w:rsidR="003D0BC7" w:rsidRPr="003D0BC7" w14:paraId="5991D167" w14:textId="77777777" w:rsidTr="003D0BC7">
        <w:trPr>
          <w:jc w:val="center"/>
        </w:trPr>
        <w:tc>
          <w:tcPr>
            <w:tcW w:w="284" w:type="dxa"/>
            <w:vAlign w:val="center"/>
          </w:tcPr>
          <w:p w14:paraId="2D27AD91" w14:textId="77777777" w:rsidR="003D0BC7" w:rsidRPr="003D0BC7" w:rsidRDefault="003D0BC7" w:rsidP="00CC3B27">
            <w:pPr>
              <w:jc w:val="center"/>
              <w:rPr>
                <w:rFonts w:asciiTheme="minorHAnsi" w:hAnsiTheme="minorHAnsi"/>
                <w:sz w:val="20"/>
                <w:szCs w:val="20"/>
              </w:rPr>
            </w:pPr>
          </w:p>
        </w:tc>
        <w:tc>
          <w:tcPr>
            <w:tcW w:w="992" w:type="dxa"/>
            <w:tcBorders>
              <w:right w:val="single" w:sz="4" w:space="0" w:color="4BACC6" w:themeColor="accent5"/>
            </w:tcBorders>
            <w:vAlign w:val="center"/>
          </w:tcPr>
          <w:p w14:paraId="663A4CB2" w14:textId="77777777" w:rsidR="003D0BC7" w:rsidRPr="003D0BC7" w:rsidRDefault="003D0BC7" w:rsidP="00CC3B27">
            <w:pPr>
              <w:jc w:val="center"/>
              <w:rPr>
                <w:rFonts w:asciiTheme="minorHAnsi" w:hAnsiTheme="minorHAnsi"/>
                <w:sz w:val="20"/>
                <w:szCs w:val="20"/>
              </w:rPr>
            </w:pPr>
          </w:p>
        </w:tc>
        <w:tc>
          <w:tcPr>
            <w:tcW w:w="4702" w:type="dxa"/>
            <w:gridSpan w:val="3"/>
            <w:tcBorders>
              <w:top w:val="single" w:sz="4" w:space="0" w:color="4BACC6" w:themeColor="accent5"/>
              <w:left w:val="single" w:sz="4" w:space="0" w:color="4BACC6" w:themeColor="accent5"/>
              <w:right w:val="single" w:sz="4" w:space="0" w:color="4BACC6" w:themeColor="accent5"/>
            </w:tcBorders>
            <w:shd w:val="clear" w:color="auto" w:fill="4472C4"/>
            <w:vAlign w:val="center"/>
          </w:tcPr>
          <w:p w14:paraId="659D2B45"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color w:val="FFFFFF" w:themeColor="background1"/>
                <w:sz w:val="20"/>
                <w:szCs w:val="20"/>
              </w:rPr>
              <w:t>Impact</w:t>
            </w:r>
          </w:p>
        </w:tc>
      </w:tr>
      <w:tr w:rsidR="003D0BC7" w:rsidRPr="003D0BC7" w14:paraId="6526B8DC" w14:textId="77777777" w:rsidTr="00CC3B27">
        <w:trPr>
          <w:trHeight w:val="141"/>
          <w:jc w:val="center"/>
        </w:trPr>
        <w:tc>
          <w:tcPr>
            <w:tcW w:w="284" w:type="dxa"/>
            <w:tcBorders>
              <w:bottom w:val="single" w:sz="4" w:space="0" w:color="4BACC6" w:themeColor="accent5"/>
            </w:tcBorders>
            <w:vAlign w:val="center"/>
          </w:tcPr>
          <w:p w14:paraId="4A1B465E" w14:textId="77777777" w:rsidR="003D0BC7" w:rsidRPr="003D0BC7" w:rsidRDefault="003D0BC7" w:rsidP="00CC3B27">
            <w:pPr>
              <w:jc w:val="center"/>
              <w:rPr>
                <w:rFonts w:asciiTheme="minorHAnsi" w:hAnsiTheme="minorHAnsi"/>
                <w:sz w:val="20"/>
                <w:szCs w:val="20"/>
              </w:rPr>
            </w:pPr>
          </w:p>
        </w:tc>
        <w:tc>
          <w:tcPr>
            <w:tcW w:w="992" w:type="dxa"/>
            <w:vAlign w:val="center"/>
          </w:tcPr>
          <w:p w14:paraId="136757D9" w14:textId="77777777" w:rsidR="003D0BC7" w:rsidRPr="003D0BC7" w:rsidRDefault="003D0BC7" w:rsidP="00CC3B27">
            <w:pPr>
              <w:jc w:val="center"/>
              <w:rPr>
                <w:rFonts w:asciiTheme="minorHAnsi" w:hAnsiTheme="minorHAnsi"/>
                <w:sz w:val="20"/>
                <w:szCs w:val="20"/>
              </w:rPr>
            </w:pPr>
          </w:p>
        </w:tc>
        <w:tc>
          <w:tcPr>
            <w:tcW w:w="1510" w:type="dxa"/>
            <w:tcBorders>
              <w:bottom w:val="single" w:sz="4" w:space="0" w:color="auto"/>
            </w:tcBorders>
            <w:shd w:val="clear" w:color="auto" w:fill="auto"/>
            <w:vAlign w:val="center"/>
          </w:tcPr>
          <w:p w14:paraId="7EA1CF2F"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Low</w:t>
            </w:r>
          </w:p>
        </w:tc>
        <w:tc>
          <w:tcPr>
            <w:tcW w:w="1596" w:type="dxa"/>
            <w:tcBorders>
              <w:bottom w:val="single" w:sz="4" w:space="0" w:color="auto"/>
            </w:tcBorders>
            <w:shd w:val="clear" w:color="auto" w:fill="auto"/>
            <w:vAlign w:val="center"/>
          </w:tcPr>
          <w:p w14:paraId="2096367C"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Medium</w:t>
            </w:r>
          </w:p>
        </w:tc>
        <w:tc>
          <w:tcPr>
            <w:tcW w:w="1596" w:type="dxa"/>
            <w:tcBorders>
              <w:bottom w:val="single" w:sz="4" w:space="0" w:color="auto"/>
            </w:tcBorders>
            <w:shd w:val="clear" w:color="auto" w:fill="auto"/>
            <w:vAlign w:val="center"/>
          </w:tcPr>
          <w:p w14:paraId="3DB508FD"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High</w:t>
            </w:r>
          </w:p>
        </w:tc>
      </w:tr>
      <w:tr w:rsidR="003D0BC7" w:rsidRPr="003D0BC7" w14:paraId="56152906" w14:textId="77777777" w:rsidTr="003D0BC7">
        <w:trPr>
          <w:cantSplit/>
          <w:trHeight w:val="369"/>
          <w:jc w:val="center"/>
        </w:trPr>
        <w:tc>
          <w:tcPr>
            <w:tcW w:w="284" w:type="dxa"/>
            <w:vMerge w:val="restart"/>
            <w:tcBorders>
              <w:top w:val="single" w:sz="4" w:space="0" w:color="4BACC6" w:themeColor="accent5"/>
              <w:left w:val="single" w:sz="4" w:space="0" w:color="4BACC6" w:themeColor="accent5"/>
              <w:bottom w:val="single" w:sz="4" w:space="0" w:color="4BACC6" w:themeColor="accent5"/>
            </w:tcBorders>
            <w:shd w:val="clear" w:color="auto" w:fill="4472C4"/>
            <w:textDirection w:val="btLr"/>
            <w:vAlign w:val="center"/>
          </w:tcPr>
          <w:p w14:paraId="198EBFCB" w14:textId="77777777" w:rsidR="003D0BC7" w:rsidRPr="003D0BC7" w:rsidRDefault="003D0BC7" w:rsidP="00CC3B27">
            <w:pPr>
              <w:ind w:left="113" w:right="113"/>
              <w:jc w:val="center"/>
              <w:rPr>
                <w:rFonts w:asciiTheme="minorHAnsi" w:hAnsiTheme="minorHAnsi"/>
                <w:b/>
                <w:bCs/>
                <w:sz w:val="20"/>
                <w:szCs w:val="20"/>
              </w:rPr>
            </w:pPr>
            <w:r w:rsidRPr="003D0BC7">
              <w:rPr>
                <w:rFonts w:asciiTheme="minorHAnsi" w:hAnsiTheme="minorHAnsi"/>
                <w:b/>
                <w:bCs/>
                <w:color w:val="FFFFFF" w:themeColor="background1"/>
                <w:sz w:val="20"/>
                <w:szCs w:val="20"/>
              </w:rPr>
              <w:t>Likelihood</w:t>
            </w:r>
          </w:p>
        </w:tc>
        <w:tc>
          <w:tcPr>
            <w:tcW w:w="992" w:type="dxa"/>
            <w:tcBorders>
              <w:right w:val="single" w:sz="4" w:space="0" w:color="auto"/>
            </w:tcBorders>
            <w:shd w:val="clear" w:color="auto" w:fill="auto"/>
            <w:vAlign w:val="center"/>
          </w:tcPr>
          <w:p w14:paraId="1460897E"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High</w:t>
            </w:r>
          </w:p>
        </w:tc>
        <w:tc>
          <w:tcPr>
            <w:tcW w:w="1510" w:type="dxa"/>
            <w:tcBorders>
              <w:top w:val="single" w:sz="4" w:space="0" w:color="auto"/>
              <w:left w:val="single" w:sz="4" w:space="0" w:color="auto"/>
              <w:bottom w:val="single" w:sz="4" w:space="0" w:color="auto"/>
              <w:right w:val="single" w:sz="4" w:space="0" w:color="auto"/>
            </w:tcBorders>
            <w:shd w:val="clear" w:color="auto" w:fill="FFD757"/>
            <w:vAlign w:val="center"/>
          </w:tcPr>
          <w:p w14:paraId="568769D5"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Medium risk</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14:paraId="23F40006"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High risk</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14:paraId="62B1B261"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High risk</w:t>
            </w:r>
          </w:p>
        </w:tc>
      </w:tr>
      <w:tr w:rsidR="003D0BC7" w:rsidRPr="003D0BC7" w14:paraId="3F2188D0" w14:textId="77777777" w:rsidTr="003D0BC7">
        <w:trPr>
          <w:cantSplit/>
          <w:trHeight w:val="369"/>
          <w:jc w:val="center"/>
        </w:trPr>
        <w:tc>
          <w:tcPr>
            <w:tcW w:w="284" w:type="dxa"/>
            <w:vMerge/>
            <w:tcBorders>
              <w:top w:val="single" w:sz="4" w:space="0" w:color="4BACC6" w:themeColor="accent5"/>
              <w:left w:val="single" w:sz="4" w:space="0" w:color="4BACC6" w:themeColor="accent5"/>
              <w:bottom w:val="single" w:sz="4" w:space="0" w:color="4BACC6" w:themeColor="accent5"/>
            </w:tcBorders>
            <w:shd w:val="clear" w:color="auto" w:fill="4472C4"/>
            <w:vAlign w:val="center"/>
          </w:tcPr>
          <w:p w14:paraId="04D3B9B4" w14:textId="77777777" w:rsidR="003D0BC7" w:rsidRPr="003D0BC7" w:rsidRDefault="003D0BC7" w:rsidP="00CC3B27">
            <w:pPr>
              <w:jc w:val="center"/>
              <w:rPr>
                <w:rFonts w:asciiTheme="minorHAnsi" w:hAnsiTheme="minorHAnsi"/>
                <w:sz w:val="20"/>
                <w:szCs w:val="20"/>
              </w:rPr>
            </w:pPr>
          </w:p>
        </w:tc>
        <w:tc>
          <w:tcPr>
            <w:tcW w:w="992" w:type="dxa"/>
            <w:tcBorders>
              <w:right w:val="single" w:sz="4" w:space="0" w:color="auto"/>
            </w:tcBorders>
            <w:shd w:val="clear" w:color="auto" w:fill="auto"/>
            <w:vAlign w:val="center"/>
          </w:tcPr>
          <w:p w14:paraId="4987DECB"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Medium</w:t>
            </w:r>
          </w:p>
        </w:tc>
        <w:tc>
          <w:tcPr>
            <w:tcW w:w="1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7AF89F"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Low risk</w:t>
            </w:r>
          </w:p>
        </w:tc>
        <w:tc>
          <w:tcPr>
            <w:tcW w:w="1596" w:type="dxa"/>
            <w:tcBorders>
              <w:top w:val="single" w:sz="4" w:space="0" w:color="auto"/>
              <w:left w:val="single" w:sz="4" w:space="0" w:color="auto"/>
              <w:bottom w:val="single" w:sz="4" w:space="0" w:color="auto"/>
              <w:right w:val="single" w:sz="4" w:space="0" w:color="auto"/>
            </w:tcBorders>
            <w:shd w:val="clear" w:color="auto" w:fill="FFD757"/>
            <w:vAlign w:val="center"/>
          </w:tcPr>
          <w:p w14:paraId="14A0D4AA"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Medium risk</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14:paraId="790B3C9F"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High risk</w:t>
            </w:r>
          </w:p>
        </w:tc>
      </w:tr>
      <w:tr w:rsidR="003D0BC7" w:rsidRPr="003D0BC7" w14:paraId="1827ED74" w14:textId="77777777" w:rsidTr="003D0BC7">
        <w:trPr>
          <w:cantSplit/>
          <w:trHeight w:val="369"/>
          <w:jc w:val="center"/>
        </w:trPr>
        <w:tc>
          <w:tcPr>
            <w:tcW w:w="284" w:type="dxa"/>
            <w:vMerge/>
            <w:tcBorders>
              <w:top w:val="single" w:sz="4" w:space="0" w:color="4BACC6" w:themeColor="accent5"/>
              <w:left w:val="single" w:sz="4" w:space="0" w:color="4BACC6" w:themeColor="accent5"/>
              <w:bottom w:val="single" w:sz="4" w:space="0" w:color="4BACC6" w:themeColor="accent5"/>
            </w:tcBorders>
            <w:shd w:val="clear" w:color="auto" w:fill="4472C4"/>
            <w:vAlign w:val="center"/>
          </w:tcPr>
          <w:p w14:paraId="048A6085" w14:textId="77777777" w:rsidR="003D0BC7" w:rsidRPr="003D0BC7" w:rsidRDefault="003D0BC7" w:rsidP="00CC3B27">
            <w:pPr>
              <w:jc w:val="center"/>
              <w:rPr>
                <w:rFonts w:asciiTheme="minorHAnsi" w:hAnsiTheme="minorHAnsi"/>
                <w:sz w:val="20"/>
                <w:szCs w:val="20"/>
              </w:rPr>
            </w:pPr>
          </w:p>
        </w:tc>
        <w:tc>
          <w:tcPr>
            <w:tcW w:w="992" w:type="dxa"/>
            <w:tcBorders>
              <w:right w:val="single" w:sz="4" w:space="0" w:color="auto"/>
            </w:tcBorders>
            <w:shd w:val="clear" w:color="auto" w:fill="auto"/>
            <w:vAlign w:val="center"/>
          </w:tcPr>
          <w:p w14:paraId="4BA57055"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Low</w:t>
            </w:r>
          </w:p>
        </w:tc>
        <w:tc>
          <w:tcPr>
            <w:tcW w:w="1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4D3588E"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Low risk</w:t>
            </w:r>
          </w:p>
        </w:tc>
        <w:tc>
          <w:tcPr>
            <w:tcW w:w="15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F8F3BC"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Low risk</w:t>
            </w:r>
          </w:p>
        </w:tc>
        <w:tc>
          <w:tcPr>
            <w:tcW w:w="1596" w:type="dxa"/>
            <w:tcBorders>
              <w:top w:val="single" w:sz="4" w:space="0" w:color="auto"/>
              <w:left w:val="single" w:sz="4" w:space="0" w:color="auto"/>
              <w:bottom w:val="single" w:sz="4" w:space="0" w:color="auto"/>
              <w:right w:val="single" w:sz="4" w:space="0" w:color="auto"/>
            </w:tcBorders>
            <w:shd w:val="clear" w:color="auto" w:fill="FFD757"/>
            <w:vAlign w:val="center"/>
          </w:tcPr>
          <w:p w14:paraId="1BAB5D53" w14:textId="77777777" w:rsidR="003D0BC7" w:rsidRPr="003D0BC7" w:rsidRDefault="003D0BC7" w:rsidP="00CC3B27">
            <w:pPr>
              <w:jc w:val="center"/>
              <w:rPr>
                <w:rFonts w:asciiTheme="minorHAnsi" w:hAnsiTheme="minorHAnsi"/>
                <w:b/>
                <w:bCs/>
                <w:sz w:val="20"/>
                <w:szCs w:val="20"/>
              </w:rPr>
            </w:pPr>
            <w:r w:rsidRPr="003D0BC7">
              <w:rPr>
                <w:rFonts w:asciiTheme="minorHAnsi" w:hAnsiTheme="minorHAnsi"/>
                <w:b/>
                <w:bCs/>
                <w:sz w:val="20"/>
                <w:szCs w:val="20"/>
              </w:rPr>
              <w:t>Medium risk</w:t>
            </w:r>
          </w:p>
        </w:tc>
      </w:tr>
    </w:tbl>
    <w:p w14:paraId="4ECD4CBD" w14:textId="77777777" w:rsidR="003D0BC7" w:rsidRPr="003D0BC7" w:rsidRDefault="003D0BC7" w:rsidP="003D0BC7">
      <w:pPr>
        <w:spacing w:line="276" w:lineRule="auto"/>
        <w:rPr>
          <w:rFonts w:asciiTheme="minorHAnsi" w:hAnsiTheme="minorHAnsi"/>
        </w:rPr>
      </w:pPr>
    </w:p>
    <w:p w14:paraId="3505C115"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The likelihood and impact are measured on different levels according to the tables below.</w:t>
      </w:r>
    </w:p>
    <w:p w14:paraId="38CD14FA" w14:textId="77777777" w:rsidR="003D0BC7" w:rsidRPr="003D0BC7" w:rsidRDefault="003D0BC7" w:rsidP="00C515DE">
      <w:pPr>
        <w:keepNext/>
        <w:spacing w:before="240" w:after="60" w:line="276" w:lineRule="auto"/>
        <w:ind w:left="357"/>
        <w:jc w:val="center"/>
        <w:rPr>
          <w:rFonts w:asciiTheme="minorHAnsi" w:hAnsiTheme="minorHAnsi"/>
          <w:b/>
          <w:bCs/>
        </w:rPr>
      </w:pPr>
      <w:r w:rsidRPr="003D0BC7">
        <w:rPr>
          <w:rFonts w:asciiTheme="minorHAnsi" w:hAnsiTheme="minorHAnsi"/>
          <w:b/>
          <w:bCs/>
        </w:rPr>
        <w:t>Likelihood</w:t>
      </w:r>
    </w:p>
    <w:tbl>
      <w:tblPr>
        <w:tblStyle w:val="ListTable3-Accent51"/>
        <w:tblW w:w="6020" w:type="dxa"/>
        <w:jc w:val="center"/>
        <w:tblLook w:val="04A0" w:firstRow="1" w:lastRow="0" w:firstColumn="1" w:lastColumn="0" w:noHBand="0" w:noVBand="1"/>
      </w:tblPr>
      <w:tblGrid>
        <w:gridCol w:w="918"/>
        <w:gridCol w:w="5102"/>
      </w:tblGrid>
      <w:tr w:rsidR="003D0BC7" w:rsidRPr="003D0BC7" w14:paraId="7D8535AA" w14:textId="77777777" w:rsidTr="003D0BC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100" w:firstRow="0" w:lastRow="0" w:firstColumn="1" w:lastColumn="0" w:oddVBand="0" w:evenVBand="0" w:oddHBand="0" w:evenHBand="0" w:firstRowFirstColumn="1" w:firstRowLastColumn="0" w:lastRowFirstColumn="0" w:lastRowLastColumn="0"/>
            <w:tcW w:w="918" w:type="dxa"/>
            <w:shd w:val="clear" w:color="auto" w:fill="4472C4"/>
            <w:vAlign w:val="center"/>
            <w:hideMark/>
          </w:tcPr>
          <w:p w14:paraId="2EAA8633" w14:textId="77777777" w:rsidR="003D0BC7" w:rsidRPr="003D0BC7" w:rsidRDefault="003D0BC7" w:rsidP="00CC3B27">
            <w:pPr>
              <w:jc w:val="center"/>
              <w:rPr>
                <w:rFonts w:asciiTheme="minorHAnsi" w:eastAsia="Times New Roman" w:hAnsiTheme="minorHAnsi"/>
                <w:b w:val="0"/>
                <w:bCs w:val="0"/>
                <w:color w:val="FFFFFF"/>
                <w:sz w:val="20"/>
                <w:szCs w:val="20"/>
              </w:rPr>
            </w:pPr>
            <w:r w:rsidRPr="003D0BC7">
              <w:rPr>
                <w:rFonts w:asciiTheme="minorHAnsi" w:eastAsia="Times New Roman" w:hAnsiTheme="minorHAnsi"/>
                <w:color w:val="FFFFFF"/>
                <w:sz w:val="20"/>
                <w:szCs w:val="20"/>
              </w:rPr>
              <w:t>Level</w:t>
            </w:r>
          </w:p>
        </w:tc>
        <w:tc>
          <w:tcPr>
            <w:tcW w:w="5102" w:type="dxa"/>
            <w:shd w:val="clear" w:color="auto" w:fill="4472C4"/>
            <w:vAlign w:val="center"/>
            <w:hideMark/>
          </w:tcPr>
          <w:p w14:paraId="5EEB2206" w14:textId="77777777" w:rsidR="003D0BC7" w:rsidRPr="003D0BC7" w:rsidRDefault="003D0BC7" w:rsidP="00CC3B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val="0"/>
                <w:color w:val="FFFFFF"/>
                <w:sz w:val="20"/>
                <w:szCs w:val="20"/>
              </w:rPr>
            </w:pPr>
            <w:r w:rsidRPr="003D0BC7">
              <w:rPr>
                <w:rFonts w:asciiTheme="minorHAnsi" w:eastAsia="Times New Roman" w:hAnsiTheme="minorHAnsi"/>
                <w:color w:val="FFFFFF"/>
                <w:sz w:val="20"/>
                <w:szCs w:val="20"/>
              </w:rPr>
              <w:t>Justification</w:t>
            </w:r>
          </w:p>
        </w:tc>
      </w:tr>
      <w:tr w:rsidR="003D0BC7" w:rsidRPr="003D0BC7" w14:paraId="353C2077" w14:textId="77777777" w:rsidTr="00CC3B2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7A68B3C4" w14:textId="77777777" w:rsidR="003D0BC7" w:rsidRPr="003D0BC7" w:rsidRDefault="003D0BC7" w:rsidP="00CC3B27">
            <w:pPr>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Low</w:t>
            </w:r>
          </w:p>
        </w:tc>
        <w:tc>
          <w:tcPr>
            <w:tcW w:w="5102" w:type="dxa"/>
            <w:noWrap/>
            <w:vAlign w:val="center"/>
            <w:hideMark/>
          </w:tcPr>
          <w:p w14:paraId="1DC54D88" w14:textId="77777777" w:rsidR="003D0BC7" w:rsidRPr="003D0BC7" w:rsidRDefault="003D0BC7" w:rsidP="00CC3B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An event that is very unlikely to happen</w:t>
            </w:r>
          </w:p>
        </w:tc>
      </w:tr>
      <w:tr w:rsidR="003D0BC7" w:rsidRPr="003D0BC7" w14:paraId="0665C34E" w14:textId="77777777" w:rsidTr="00CC3B27">
        <w:trPr>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5EB648B3" w14:textId="77777777" w:rsidR="003D0BC7" w:rsidRPr="003D0BC7" w:rsidRDefault="003D0BC7" w:rsidP="00CC3B27">
            <w:pPr>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Medium</w:t>
            </w:r>
          </w:p>
        </w:tc>
        <w:tc>
          <w:tcPr>
            <w:tcW w:w="5102" w:type="dxa"/>
            <w:noWrap/>
            <w:vAlign w:val="center"/>
            <w:hideMark/>
          </w:tcPr>
          <w:p w14:paraId="120FE235" w14:textId="77777777" w:rsidR="003D0BC7" w:rsidRPr="003D0BC7" w:rsidRDefault="003D0BC7" w:rsidP="00CC3B2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An event that is likely to happen</w:t>
            </w:r>
          </w:p>
        </w:tc>
      </w:tr>
      <w:tr w:rsidR="003D0BC7" w:rsidRPr="003D0BC7" w14:paraId="347C299F" w14:textId="77777777" w:rsidTr="00CC3B2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090235B8" w14:textId="77777777" w:rsidR="003D0BC7" w:rsidRPr="003D0BC7" w:rsidRDefault="003D0BC7" w:rsidP="00CC3B27">
            <w:pPr>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High</w:t>
            </w:r>
          </w:p>
        </w:tc>
        <w:tc>
          <w:tcPr>
            <w:tcW w:w="5102" w:type="dxa"/>
            <w:noWrap/>
            <w:vAlign w:val="center"/>
            <w:hideMark/>
          </w:tcPr>
          <w:p w14:paraId="34D39808" w14:textId="77777777" w:rsidR="003D0BC7" w:rsidRPr="003D0BC7" w:rsidRDefault="003D0BC7" w:rsidP="00CC3B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An event that is very likely to happen</w:t>
            </w:r>
          </w:p>
        </w:tc>
      </w:tr>
    </w:tbl>
    <w:p w14:paraId="1A5593E1" w14:textId="77777777" w:rsidR="003D0BC7" w:rsidRPr="003D0BC7" w:rsidRDefault="003D0BC7" w:rsidP="003D0BC7">
      <w:pPr>
        <w:contextualSpacing/>
        <w:rPr>
          <w:rFonts w:asciiTheme="minorHAnsi" w:hAnsiTheme="minorHAnsi"/>
        </w:rPr>
      </w:pPr>
    </w:p>
    <w:p w14:paraId="6016CD6B" w14:textId="77777777" w:rsidR="003D0BC7" w:rsidRPr="003D0BC7" w:rsidRDefault="003D0BC7" w:rsidP="00C515DE">
      <w:pPr>
        <w:keepNext/>
        <w:spacing w:before="120" w:after="60" w:line="276" w:lineRule="auto"/>
        <w:ind w:left="357"/>
        <w:jc w:val="center"/>
        <w:rPr>
          <w:rFonts w:asciiTheme="minorHAnsi" w:hAnsiTheme="minorHAnsi"/>
          <w:b/>
          <w:bCs/>
        </w:rPr>
      </w:pPr>
      <w:r w:rsidRPr="003D0BC7">
        <w:rPr>
          <w:rFonts w:asciiTheme="minorHAnsi" w:hAnsiTheme="minorHAnsi"/>
          <w:b/>
          <w:bCs/>
        </w:rPr>
        <w:t>Risk Impact</w:t>
      </w:r>
    </w:p>
    <w:tbl>
      <w:tblPr>
        <w:tblStyle w:val="ListTable3-Accent51"/>
        <w:tblW w:w="8572" w:type="dxa"/>
        <w:jc w:val="center"/>
        <w:tblLook w:val="04A0" w:firstRow="1" w:lastRow="0" w:firstColumn="1" w:lastColumn="0" w:noHBand="0" w:noVBand="1"/>
      </w:tblPr>
      <w:tblGrid>
        <w:gridCol w:w="918"/>
        <w:gridCol w:w="7654"/>
      </w:tblGrid>
      <w:tr w:rsidR="003D0BC7" w:rsidRPr="003D0BC7" w14:paraId="0F1B41B3" w14:textId="77777777" w:rsidTr="003D0BC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100" w:firstRow="0" w:lastRow="0" w:firstColumn="1" w:lastColumn="0" w:oddVBand="0" w:evenVBand="0" w:oddHBand="0" w:evenHBand="0" w:firstRowFirstColumn="1" w:firstRowLastColumn="0" w:lastRowFirstColumn="0" w:lastRowLastColumn="0"/>
            <w:tcW w:w="918" w:type="dxa"/>
            <w:shd w:val="clear" w:color="auto" w:fill="4472C4"/>
            <w:vAlign w:val="center"/>
            <w:hideMark/>
          </w:tcPr>
          <w:p w14:paraId="65D361ED" w14:textId="77777777" w:rsidR="003D0BC7" w:rsidRPr="003D0BC7" w:rsidRDefault="003D0BC7" w:rsidP="00CC3B27">
            <w:pPr>
              <w:jc w:val="center"/>
              <w:rPr>
                <w:rFonts w:asciiTheme="minorHAnsi" w:eastAsia="Times New Roman" w:hAnsiTheme="minorHAnsi"/>
                <w:b w:val="0"/>
                <w:bCs w:val="0"/>
                <w:color w:val="FFFFFF"/>
                <w:sz w:val="20"/>
                <w:szCs w:val="20"/>
              </w:rPr>
            </w:pPr>
            <w:r w:rsidRPr="003D0BC7">
              <w:rPr>
                <w:rFonts w:asciiTheme="minorHAnsi" w:eastAsia="Times New Roman" w:hAnsiTheme="minorHAnsi"/>
                <w:color w:val="FFFFFF"/>
                <w:sz w:val="20"/>
                <w:szCs w:val="20"/>
              </w:rPr>
              <w:t>Level</w:t>
            </w:r>
          </w:p>
        </w:tc>
        <w:tc>
          <w:tcPr>
            <w:tcW w:w="7654" w:type="dxa"/>
            <w:shd w:val="clear" w:color="auto" w:fill="4472C4"/>
            <w:vAlign w:val="center"/>
            <w:hideMark/>
          </w:tcPr>
          <w:p w14:paraId="7960BC0D" w14:textId="77777777" w:rsidR="003D0BC7" w:rsidRPr="003D0BC7" w:rsidRDefault="003D0BC7" w:rsidP="00CC3B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val="0"/>
                <w:color w:val="FFFFFF"/>
                <w:sz w:val="20"/>
                <w:szCs w:val="20"/>
              </w:rPr>
            </w:pPr>
            <w:r w:rsidRPr="003D0BC7">
              <w:rPr>
                <w:rFonts w:asciiTheme="minorHAnsi" w:eastAsia="Times New Roman" w:hAnsiTheme="minorHAnsi"/>
                <w:color w:val="FFFFFF"/>
                <w:sz w:val="20"/>
                <w:szCs w:val="20"/>
              </w:rPr>
              <w:t>Justification</w:t>
            </w:r>
          </w:p>
        </w:tc>
      </w:tr>
      <w:tr w:rsidR="003D0BC7" w:rsidRPr="003D0BC7" w14:paraId="5E3D35BB" w14:textId="77777777" w:rsidTr="00CC3B2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23B436FD" w14:textId="77777777" w:rsidR="003D0BC7" w:rsidRPr="003D0BC7" w:rsidRDefault="003D0BC7" w:rsidP="00CC3B27">
            <w:pPr>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 xml:space="preserve">Low </w:t>
            </w:r>
          </w:p>
        </w:tc>
        <w:tc>
          <w:tcPr>
            <w:tcW w:w="7654" w:type="dxa"/>
            <w:noWrap/>
            <w:vAlign w:val="center"/>
            <w:hideMark/>
          </w:tcPr>
          <w:p w14:paraId="53AE3BE9" w14:textId="77777777" w:rsidR="003D0BC7" w:rsidRPr="003D0BC7" w:rsidRDefault="003D0BC7" w:rsidP="00CC3B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Minor impact on activities, reputation, or funding status</w:t>
            </w:r>
          </w:p>
        </w:tc>
      </w:tr>
      <w:tr w:rsidR="003D0BC7" w:rsidRPr="003D0BC7" w14:paraId="1FBD832F" w14:textId="77777777" w:rsidTr="00CC3B27">
        <w:trPr>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6D4329D6" w14:textId="77777777" w:rsidR="003D0BC7" w:rsidRPr="003D0BC7" w:rsidRDefault="003D0BC7" w:rsidP="00CC3B27">
            <w:pPr>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Medium</w:t>
            </w:r>
          </w:p>
        </w:tc>
        <w:tc>
          <w:tcPr>
            <w:tcW w:w="7654" w:type="dxa"/>
            <w:noWrap/>
            <w:vAlign w:val="center"/>
            <w:hideMark/>
          </w:tcPr>
          <w:p w14:paraId="44A8EDF4" w14:textId="77777777" w:rsidR="003D0BC7" w:rsidRPr="003D0BC7" w:rsidRDefault="003D0BC7" w:rsidP="00CC3B2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Significant impact on activities, reputation, or funding status</w:t>
            </w:r>
          </w:p>
        </w:tc>
      </w:tr>
      <w:tr w:rsidR="003D0BC7" w:rsidRPr="003D0BC7" w14:paraId="18C8A432" w14:textId="77777777" w:rsidTr="00CC3B2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445E57DF" w14:textId="77777777" w:rsidR="003D0BC7" w:rsidRPr="003D0BC7" w:rsidRDefault="003D0BC7" w:rsidP="00CC3B27">
            <w:pPr>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 xml:space="preserve">High </w:t>
            </w:r>
          </w:p>
        </w:tc>
        <w:tc>
          <w:tcPr>
            <w:tcW w:w="7654" w:type="dxa"/>
            <w:noWrap/>
            <w:vAlign w:val="center"/>
            <w:hideMark/>
          </w:tcPr>
          <w:p w14:paraId="725DEFE2" w14:textId="77777777" w:rsidR="003D0BC7" w:rsidRPr="003D0BC7" w:rsidRDefault="003D0BC7" w:rsidP="00CC3B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3D0BC7">
              <w:rPr>
                <w:rFonts w:asciiTheme="minorHAnsi" w:eastAsia="Times New Roman" w:hAnsiTheme="minorHAnsi"/>
                <w:color w:val="000000"/>
                <w:sz w:val="20"/>
                <w:szCs w:val="20"/>
              </w:rPr>
              <w:t>Critical impact on activities, reputation, or funding status and requires immediate attention</w:t>
            </w:r>
          </w:p>
        </w:tc>
      </w:tr>
    </w:tbl>
    <w:p w14:paraId="635DF640" w14:textId="00B3CD1D" w:rsidR="003D0BC7" w:rsidRPr="003D0BC7" w:rsidRDefault="003D0BC7" w:rsidP="00C515DE">
      <w:pPr>
        <w:pStyle w:val="Heading2"/>
        <w:numPr>
          <w:ilvl w:val="1"/>
          <w:numId w:val="0"/>
        </w:numPr>
        <w:snapToGrid w:val="0"/>
        <w:spacing w:before="360" w:after="120"/>
        <w:ind w:left="578" w:hanging="578"/>
        <w:jc w:val="both"/>
        <w:rPr>
          <w:rFonts w:asciiTheme="minorHAnsi" w:hAnsiTheme="minorHAnsi"/>
          <w:sz w:val="24"/>
          <w:szCs w:val="24"/>
        </w:rPr>
      </w:pPr>
      <w:r>
        <w:rPr>
          <w:rFonts w:asciiTheme="minorHAnsi" w:hAnsiTheme="minorHAnsi"/>
          <w:sz w:val="24"/>
          <w:szCs w:val="24"/>
        </w:rPr>
        <w:t>2.3</w:t>
      </w:r>
      <w:r>
        <w:rPr>
          <w:rFonts w:asciiTheme="minorHAnsi" w:hAnsiTheme="minorHAnsi"/>
          <w:sz w:val="24"/>
          <w:szCs w:val="24"/>
        </w:rPr>
        <w:tab/>
      </w:r>
      <w:r w:rsidRPr="003D0BC7">
        <w:rPr>
          <w:rFonts w:asciiTheme="minorHAnsi" w:hAnsiTheme="minorHAnsi"/>
          <w:sz w:val="24"/>
          <w:szCs w:val="24"/>
        </w:rPr>
        <w:t>Risk treatment</w:t>
      </w:r>
    </w:p>
    <w:p w14:paraId="26BCCEA4" w14:textId="77777777" w:rsidR="003D0BC7" w:rsidRPr="003D0BC7" w:rsidRDefault="003D0BC7" w:rsidP="003D0BC7">
      <w:pPr>
        <w:tabs>
          <w:tab w:val="left" w:pos="2215"/>
        </w:tabs>
        <w:snapToGrid w:val="0"/>
        <w:spacing w:before="120" w:after="120"/>
        <w:rPr>
          <w:rFonts w:asciiTheme="minorHAnsi" w:hAnsiTheme="minorHAnsi"/>
        </w:rPr>
      </w:pPr>
      <w:r w:rsidRPr="003D0BC7">
        <w:rPr>
          <w:rFonts w:asciiTheme="minorHAnsi" w:hAnsiTheme="minorHAnsi"/>
        </w:rPr>
        <w:t>Defining a risk response involves selecting an action that is appropriate for the risk in question. There are three possible responses to a risk:</w:t>
      </w:r>
    </w:p>
    <w:p w14:paraId="345037CE" w14:textId="77777777" w:rsidR="003D0BC7" w:rsidRPr="003D0BC7" w:rsidRDefault="003D0BC7" w:rsidP="003D0BC7">
      <w:pPr>
        <w:pStyle w:val="ListParagraph"/>
        <w:numPr>
          <w:ilvl w:val="0"/>
          <w:numId w:val="34"/>
        </w:numPr>
        <w:snapToGrid w:val="0"/>
        <w:spacing w:before="120" w:after="120"/>
        <w:contextualSpacing w:val="0"/>
        <w:jc w:val="both"/>
        <w:rPr>
          <w:rFonts w:asciiTheme="minorHAnsi" w:hAnsiTheme="minorHAnsi"/>
        </w:rPr>
      </w:pPr>
      <w:r w:rsidRPr="003D0BC7">
        <w:rPr>
          <w:rFonts w:asciiTheme="minorHAnsi" w:hAnsiTheme="minorHAnsi"/>
          <w:b/>
          <w:bCs/>
        </w:rPr>
        <w:t>Acceptance</w:t>
      </w:r>
      <w:r w:rsidRPr="003D0BC7">
        <w:rPr>
          <w:rFonts w:asciiTheme="minorHAnsi" w:hAnsiTheme="minorHAnsi"/>
        </w:rPr>
        <w:t>: the risk is identified, but because of its rather low level and insignificant impact, or because the mitigation efforts outweighs the consequences, the risk is accepted and no particular action is taken to mitigate it;</w:t>
      </w:r>
    </w:p>
    <w:p w14:paraId="0479A598" w14:textId="77777777" w:rsidR="003D0BC7" w:rsidRPr="003D0BC7" w:rsidRDefault="003D0BC7" w:rsidP="003D0BC7">
      <w:pPr>
        <w:pStyle w:val="ListParagraph"/>
        <w:numPr>
          <w:ilvl w:val="0"/>
          <w:numId w:val="34"/>
        </w:numPr>
        <w:snapToGrid w:val="0"/>
        <w:spacing w:before="120" w:after="120"/>
        <w:ind w:left="357" w:hanging="357"/>
        <w:contextualSpacing w:val="0"/>
        <w:jc w:val="both"/>
        <w:rPr>
          <w:rFonts w:asciiTheme="minorHAnsi" w:hAnsiTheme="minorHAnsi"/>
        </w:rPr>
      </w:pPr>
      <w:r w:rsidRPr="003D0BC7">
        <w:rPr>
          <w:rFonts w:asciiTheme="minorHAnsi" w:hAnsiTheme="minorHAnsi"/>
          <w:b/>
          <w:bCs/>
        </w:rPr>
        <w:t>Mitigation</w:t>
      </w:r>
      <w:r w:rsidRPr="003D0BC7">
        <w:rPr>
          <w:rFonts w:asciiTheme="minorHAnsi" w:hAnsiTheme="minorHAnsi"/>
        </w:rPr>
        <w:t>: the risk is identified, but actions have already been carried out or are ongoing to reduce/avoid the risk; and</w:t>
      </w:r>
    </w:p>
    <w:p w14:paraId="49D25DD5" w14:textId="77777777" w:rsidR="003D0BC7" w:rsidRPr="003D0BC7" w:rsidRDefault="003D0BC7" w:rsidP="003D0BC7">
      <w:pPr>
        <w:pStyle w:val="ListParagraph"/>
        <w:numPr>
          <w:ilvl w:val="0"/>
          <w:numId w:val="34"/>
        </w:numPr>
        <w:snapToGrid w:val="0"/>
        <w:spacing w:before="120" w:after="120"/>
        <w:ind w:left="357" w:hanging="357"/>
        <w:contextualSpacing w:val="0"/>
        <w:jc w:val="both"/>
        <w:rPr>
          <w:rFonts w:asciiTheme="minorHAnsi" w:hAnsiTheme="minorHAnsi"/>
        </w:rPr>
      </w:pPr>
      <w:r w:rsidRPr="003D0BC7">
        <w:rPr>
          <w:rFonts w:asciiTheme="minorHAnsi" w:hAnsiTheme="minorHAnsi"/>
          <w:b/>
          <w:bCs/>
        </w:rPr>
        <w:t>Transfer</w:t>
      </w:r>
      <w:r w:rsidRPr="003D0BC7">
        <w:rPr>
          <w:rFonts w:asciiTheme="minorHAnsi" w:hAnsiTheme="minorHAnsi"/>
        </w:rPr>
        <w:t>: Risk is identified, the responsibility of the risk remains with the risk owner, but the management of the risk mitigation measures is assigned to the appropriate level: another department, division, section, unit, or outsourced.</w:t>
      </w:r>
    </w:p>
    <w:p w14:paraId="26669543" w14:textId="0CD0738E" w:rsidR="003D0BC7" w:rsidRPr="00C515DE" w:rsidRDefault="003D0BC7" w:rsidP="00C515DE">
      <w:pPr>
        <w:pStyle w:val="Heading1"/>
        <w:snapToGrid w:val="0"/>
        <w:spacing w:before="360" w:after="120"/>
        <w:ind w:left="567" w:hanging="567"/>
        <w:jc w:val="both"/>
        <w:rPr>
          <w:rFonts w:asciiTheme="minorHAnsi" w:hAnsiTheme="minorHAnsi"/>
          <w:sz w:val="26"/>
          <w:szCs w:val="26"/>
        </w:rPr>
      </w:pPr>
      <w:r w:rsidRPr="00C515DE">
        <w:rPr>
          <w:rFonts w:asciiTheme="minorHAnsi" w:hAnsiTheme="minorHAnsi"/>
          <w:sz w:val="26"/>
          <w:szCs w:val="26"/>
        </w:rPr>
        <w:t>3</w:t>
      </w:r>
      <w:r w:rsidRPr="00C515DE">
        <w:rPr>
          <w:rFonts w:asciiTheme="minorHAnsi" w:hAnsiTheme="minorHAnsi"/>
          <w:sz w:val="26"/>
          <w:szCs w:val="26"/>
        </w:rPr>
        <w:tab/>
        <w:t>Monitoring and reviewing</w:t>
      </w:r>
    </w:p>
    <w:p w14:paraId="4878FFDC" w14:textId="77777777" w:rsidR="003D0BC7" w:rsidRPr="003D0BC7" w:rsidRDefault="003D0BC7" w:rsidP="00C515DE">
      <w:pPr>
        <w:pStyle w:val="Heading2"/>
        <w:snapToGrid w:val="0"/>
        <w:spacing w:before="240" w:after="120"/>
        <w:ind w:left="576" w:hanging="576"/>
        <w:rPr>
          <w:rFonts w:asciiTheme="minorHAnsi" w:hAnsiTheme="minorHAnsi"/>
          <w:sz w:val="24"/>
          <w:szCs w:val="24"/>
        </w:rPr>
      </w:pPr>
      <w:r w:rsidRPr="003D0BC7">
        <w:rPr>
          <w:rFonts w:asciiTheme="minorHAnsi" w:hAnsiTheme="minorHAnsi"/>
          <w:sz w:val="24"/>
          <w:szCs w:val="24"/>
        </w:rPr>
        <w:t>Reviewing and updating of risk register</w:t>
      </w:r>
    </w:p>
    <w:p w14:paraId="64FC7090"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ITU will maintain a list of risks it faces, as well as the corresponding mitigation measures. Risks are regularly reviewed as follows:</w:t>
      </w:r>
    </w:p>
    <w:p w14:paraId="437735C1" w14:textId="77777777" w:rsidR="003D0BC7" w:rsidRPr="003D0BC7" w:rsidRDefault="003D0BC7" w:rsidP="003D0BC7">
      <w:pPr>
        <w:pStyle w:val="ListParagraph"/>
        <w:numPr>
          <w:ilvl w:val="0"/>
          <w:numId w:val="34"/>
        </w:numPr>
        <w:snapToGrid w:val="0"/>
        <w:spacing w:before="120" w:after="120"/>
        <w:ind w:left="357" w:hanging="357"/>
        <w:contextualSpacing w:val="0"/>
        <w:jc w:val="both"/>
        <w:rPr>
          <w:rFonts w:asciiTheme="minorHAnsi" w:hAnsiTheme="minorHAnsi"/>
        </w:rPr>
      </w:pPr>
      <w:r w:rsidRPr="003D0BC7">
        <w:rPr>
          <w:rFonts w:asciiTheme="minorHAnsi" w:hAnsiTheme="minorHAnsi"/>
        </w:rPr>
        <w:lastRenderedPageBreak/>
        <w:t>The review of the strategic and operational risks is integrated in the business process operations of ITU, rather than being treated as a periodic exercise;</w:t>
      </w:r>
    </w:p>
    <w:p w14:paraId="4F56071A" w14:textId="77777777" w:rsidR="003D0BC7" w:rsidRPr="003D0BC7" w:rsidRDefault="003D0BC7" w:rsidP="003D0BC7">
      <w:pPr>
        <w:pStyle w:val="ListParagraph"/>
        <w:numPr>
          <w:ilvl w:val="0"/>
          <w:numId w:val="34"/>
        </w:numPr>
        <w:snapToGrid w:val="0"/>
        <w:spacing w:before="120" w:after="120"/>
        <w:ind w:left="357" w:hanging="357"/>
        <w:contextualSpacing w:val="0"/>
        <w:jc w:val="both"/>
        <w:rPr>
          <w:rFonts w:asciiTheme="minorHAnsi" w:hAnsiTheme="minorHAnsi"/>
        </w:rPr>
      </w:pPr>
      <w:r w:rsidRPr="003D0BC7">
        <w:rPr>
          <w:rFonts w:asciiTheme="minorHAnsi" w:hAnsiTheme="minorHAnsi"/>
        </w:rPr>
        <w:t xml:space="preserve">As part of the process for the elaboration of the Operational Plans (OPs), the Bureaux and the GS review on a yearly basis the operational risks –identifying, </w:t>
      </w:r>
      <w:proofErr w:type="spellStart"/>
      <w:r w:rsidRPr="003D0BC7">
        <w:rPr>
          <w:rFonts w:asciiTheme="minorHAnsi" w:hAnsiTheme="minorHAnsi"/>
        </w:rPr>
        <w:t>analyzing</w:t>
      </w:r>
      <w:proofErr w:type="spellEnd"/>
      <w:r w:rsidRPr="003D0BC7">
        <w:rPr>
          <w:rFonts w:asciiTheme="minorHAnsi" w:hAnsiTheme="minorHAnsi"/>
        </w:rPr>
        <w:t xml:space="preserve"> and evaluating existing or new risks;</w:t>
      </w:r>
    </w:p>
    <w:p w14:paraId="325B500E" w14:textId="77777777" w:rsidR="003D0BC7" w:rsidRPr="003D0BC7" w:rsidRDefault="003D0BC7" w:rsidP="003D0BC7">
      <w:pPr>
        <w:pStyle w:val="ListParagraph"/>
        <w:numPr>
          <w:ilvl w:val="0"/>
          <w:numId w:val="34"/>
        </w:numPr>
        <w:snapToGrid w:val="0"/>
        <w:spacing w:before="120" w:after="120"/>
        <w:ind w:left="357" w:hanging="357"/>
        <w:contextualSpacing w:val="0"/>
        <w:jc w:val="both"/>
        <w:rPr>
          <w:rFonts w:asciiTheme="minorHAnsi" w:hAnsiTheme="minorHAnsi"/>
        </w:rPr>
      </w:pPr>
      <w:r w:rsidRPr="003D0BC7">
        <w:rPr>
          <w:rFonts w:asciiTheme="minorHAnsi" w:hAnsiTheme="minorHAnsi"/>
        </w:rPr>
        <w:t>The reviewed risks of the OPs of the Sectors and the GS are consolidated, and the senior management team collectively review all key operational and strategic risks; and</w:t>
      </w:r>
    </w:p>
    <w:p w14:paraId="741AFA3B" w14:textId="77777777" w:rsidR="003D0BC7" w:rsidRPr="003D0BC7" w:rsidRDefault="003D0BC7" w:rsidP="003D0BC7">
      <w:pPr>
        <w:pStyle w:val="ListParagraph"/>
        <w:numPr>
          <w:ilvl w:val="0"/>
          <w:numId w:val="34"/>
        </w:numPr>
        <w:snapToGrid w:val="0"/>
        <w:spacing w:before="120" w:after="120"/>
        <w:ind w:left="357" w:hanging="357"/>
        <w:contextualSpacing w:val="0"/>
        <w:jc w:val="both"/>
        <w:rPr>
          <w:rFonts w:asciiTheme="minorHAnsi" w:hAnsiTheme="minorHAnsi"/>
        </w:rPr>
      </w:pPr>
      <w:r w:rsidRPr="003D0BC7">
        <w:rPr>
          <w:rFonts w:asciiTheme="minorHAnsi" w:hAnsiTheme="minorHAnsi"/>
        </w:rPr>
        <w:t>Operational risks are communicated and consulted with membership through the OPs. The Sector advisory groups have the opportunity to review them and Council makes a final review of the risks and the mitigation measures to be implemented.</w:t>
      </w:r>
    </w:p>
    <w:p w14:paraId="49FE9EC5" w14:textId="33EDD3E6" w:rsidR="003D0BC7" w:rsidRPr="00C515DE" w:rsidRDefault="003D0BC7" w:rsidP="002D6639">
      <w:pPr>
        <w:pStyle w:val="Heading1"/>
        <w:spacing w:before="360" w:after="120" w:line="259" w:lineRule="auto"/>
        <w:ind w:left="567" w:hanging="567"/>
        <w:jc w:val="both"/>
        <w:rPr>
          <w:rFonts w:asciiTheme="minorHAnsi" w:hAnsiTheme="minorHAnsi"/>
          <w:sz w:val="26"/>
          <w:szCs w:val="26"/>
        </w:rPr>
      </w:pPr>
      <w:r w:rsidRPr="00C515DE">
        <w:rPr>
          <w:rFonts w:asciiTheme="minorHAnsi" w:hAnsiTheme="minorHAnsi"/>
          <w:sz w:val="26"/>
          <w:szCs w:val="26"/>
        </w:rPr>
        <w:t>4</w:t>
      </w:r>
      <w:r w:rsidRPr="00C515DE">
        <w:rPr>
          <w:rFonts w:asciiTheme="minorHAnsi" w:hAnsiTheme="minorHAnsi"/>
          <w:sz w:val="26"/>
          <w:szCs w:val="26"/>
        </w:rPr>
        <w:tab/>
        <w:t>Roles and responsibilities</w:t>
      </w:r>
    </w:p>
    <w:tbl>
      <w:tblPr>
        <w:tblStyle w:val="ListTable3-Accent51"/>
        <w:tblW w:w="0" w:type="auto"/>
        <w:tblLook w:val="04A0" w:firstRow="1" w:lastRow="0" w:firstColumn="1" w:lastColumn="0" w:noHBand="0" w:noVBand="1"/>
      </w:tblPr>
      <w:tblGrid>
        <w:gridCol w:w="1838"/>
        <w:gridCol w:w="3119"/>
        <w:gridCol w:w="4393"/>
      </w:tblGrid>
      <w:tr w:rsidR="003D0BC7" w:rsidRPr="003D0BC7" w14:paraId="12DC05AD" w14:textId="77777777" w:rsidTr="003D0B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shd w:val="clear" w:color="auto" w:fill="4472C4"/>
          </w:tcPr>
          <w:p w14:paraId="481DD6CA" w14:textId="77777777" w:rsidR="003D0BC7" w:rsidRPr="003D0BC7" w:rsidRDefault="003D0BC7" w:rsidP="00C515DE">
            <w:pPr>
              <w:keepNext/>
              <w:keepLines/>
              <w:spacing w:before="120" w:after="120"/>
              <w:rPr>
                <w:rFonts w:asciiTheme="minorHAnsi" w:hAnsiTheme="minorHAnsi"/>
                <w:sz w:val="20"/>
                <w:szCs w:val="20"/>
              </w:rPr>
            </w:pPr>
            <w:r w:rsidRPr="003D0BC7">
              <w:rPr>
                <w:rFonts w:asciiTheme="minorHAnsi" w:hAnsiTheme="minorHAnsi"/>
                <w:sz w:val="20"/>
                <w:szCs w:val="20"/>
              </w:rPr>
              <w:t>Title</w:t>
            </w:r>
          </w:p>
        </w:tc>
        <w:tc>
          <w:tcPr>
            <w:tcW w:w="3119" w:type="dxa"/>
            <w:shd w:val="clear" w:color="auto" w:fill="4472C4"/>
          </w:tcPr>
          <w:p w14:paraId="3BC5DA73" w14:textId="77777777" w:rsidR="003D0BC7" w:rsidRPr="003D0BC7" w:rsidRDefault="003D0BC7" w:rsidP="00C515DE">
            <w:pPr>
              <w:keepNext/>
              <w:keepLines/>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Role</w:t>
            </w:r>
          </w:p>
        </w:tc>
        <w:tc>
          <w:tcPr>
            <w:tcW w:w="4393" w:type="dxa"/>
            <w:shd w:val="clear" w:color="auto" w:fill="4472C4"/>
          </w:tcPr>
          <w:p w14:paraId="305A4A2A" w14:textId="77777777" w:rsidR="003D0BC7" w:rsidRPr="003D0BC7" w:rsidRDefault="003D0BC7" w:rsidP="00C515DE">
            <w:pPr>
              <w:keepNext/>
              <w:keepLines/>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Responsibilities</w:t>
            </w:r>
          </w:p>
        </w:tc>
      </w:tr>
      <w:tr w:rsidR="003D0BC7" w:rsidRPr="003D0BC7" w14:paraId="203444FE" w14:textId="77777777" w:rsidTr="00CC3B27">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1838" w:type="dxa"/>
          </w:tcPr>
          <w:p w14:paraId="1DD27E37" w14:textId="77777777" w:rsidR="003D0BC7" w:rsidRPr="003D0BC7" w:rsidRDefault="003D0BC7" w:rsidP="002D6639">
            <w:pPr>
              <w:keepNext/>
              <w:keepLines/>
              <w:spacing w:before="40" w:after="40"/>
              <w:rPr>
                <w:rFonts w:asciiTheme="minorHAnsi" w:hAnsiTheme="minorHAnsi"/>
                <w:sz w:val="20"/>
                <w:szCs w:val="20"/>
              </w:rPr>
            </w:pPr>
            <w:r w:rsidRPr="003D0BC7">
              <w:rPr>
                <w:rFonts w:asciiTheme="minorHAnsi" w:hAnsiTheme="minorHAnsi"/>
                <w:sz w:val="20"/>
                <w:szCs w:val="20"/>
              </w:rPr>
              <w:t>Risk owner</w:t>
            </w:r>
          </w:p>
        </w:tc>
        <w:tc>
          <w:tcPr>
            <w:tcW w:w="3119" w:type="dxa"/>
          </w:tcPr>
          <w:p w14:paraId="2F40B895" w14:textId="77777777" w:rsidR="003D0BC7" w:rsidRPr="003D0BC7" w:rsidRDefault="003D0BC7" w:rsidP="002D6639">
            <w:pPr>
              <w:keepNext/>
              <w:keepLine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The risk owner is accountable for the management of the risk, having the highest interest in the risk being correctly treated, and has the right level of authority to treat the risk accordingly</w:t>
            </w:r>
          </w:p>
        </w:tc>
        <w:tc>
          <w:tcPr>
            <w:tcW w:w="4393" w:type="dxa"/>
          </w:tcPr>
          <w:p w14:paraId="60F5F33C" w14:textId="77777777" w:rsidR="003D0BC7" w:rsidRPr="003D0BC7" w:rsidRDefault="003D0BC7" w:rsidP="002D6639">
            <w:pPr>
              <w:pStyle w:val="ListParagraph"/>
              <w:keepNext/>
              <w:keepLines/>
              <w:numPr>
                <w:ilvl w:val="0"/>
                <w:numId w:val="34"/>
              </w:numPr>
              <w:spacing w:before="40" w:after="40"/>
              <w:ind w:left="227" w:hanging="22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Accountable for the overall management of the risk, including when the risk is transferred</w:t>
            </w:r>
          </w:p>
          <w:p w14:paraId="56812D19" w14:textId="77777777" w:rsidR="003D0BC7" w:rsidRPr="003D0BC7" w:rsidRDefault="003D0BC7" w:rsidP="002D6639">
            <w:pPr>
              <w:pStyle w:val="ListParagraph"/>
              <w:keepNext/>
              <w:keepLines/>
              <w:numPr>
                <w:ilvl w:val="0"/>
                <w:numId w:val="34"/>
              </w:numPr>
              <w:spacing w:before="40" w:after="40"/>
              <w:ind w:left="227" w:hanging="22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Decides on the risk mitigation measures</w:t>
            </w:r>
          </w:p>
          <w:p w14:paraId="34ABEBEE" w14:textId="77777777" w:rsidR="003D0BC7" w:rsidRPr="003D0BC7" w:rsidRDefault="003D0BC7" w:rsidP="002D6639">
            <w:pPr>
              <w:pStyle w:val="ListParagraph"/>
              <w:keepNext/>
              <w:keepLines/>
              <w:numPr>
                <w:ilvl w:val="0"/>
                <w:numId w:val="34"/>
              </w:numPr>
              <w:spacing w:before="40" w:after="40"/>
              <w:ind w:left="227" w:hanging="22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Allocates resources/budget for mitigation actions</w:t>
            </w:r>
          </w:p>
          <w:p w14:paraId="4286C6C1" w14:textId="77777777" w:rsidR="003D0BC7" w:rsidRPr="003D0BC7" w:rsidRDefault="003D0BC7" w:rsidP="002D6639">
            <w:pPr>
              <w:pStyle w:val="ListParagraph"/>
              <w:keepNext/>
              <w:keepLines/>
              <w:numPr>
                <w:ilvl w:val="0"/>
                <w:numId w:val="34"/>
              </w:numPr>
              <w:spacing w:before="40" w:after="40"/>
              <w:ind w:left="227" w:hanging="22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Manages risk (re)assessment process</w:t>
            </w:r>
          </w:p>
          <w:p w14:paraId="4783A3EB" w14:textId="77777777" w:rsidR="003D0BC7" w:rsidRPr="003D0BC7" w:rsidRDefault="003D0BC7" w:rsidP="002D6639">
            <w:pPr>
              <w:pStyle w:val="ListParagraph"/>
              <w:keepNext/>
              <w:keepLines/>
              <w:numPr>
                <w:ilvl w:val="0"/>
                <w:numId w:val="34"/>
              </w:numPr>
              <w:spacing w:before="40" w:after="40"/>
              <w:ind w:left="227" w:hanging="22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Manages risk reporting process</w:t>
            </w:r>
          </w:p>
        </w:tc>
      </w:tr>
      <w:tr w:rsidR="003D0BC7" w:rsidRPr="003D0BC7" w14:paraId="2B2BAEE1" w14:textId="77777777" w:rsidTr="00CC3B27">
        <w:trPr>
          <w:trHeight w:val="1304"/>
        </w:trPr>
        <w:tc>
          <w:tcPr>
            <w:cnfStyle w:val="001000000000" w:firstRow="0" w:lastRow="0" w:firstColumn="1" w:lastColumn="0" w:oddVBand="0" w:evenVBand="0" w:oddHBand="0" w:evenHBand="0" w:firstRowFirstColumn="0" w:firstRowLastColumn="0" w:lastRowFirstColumn="0" w:lastRowLastColumn="0"/>
            <w:tcW w:w="1838" w:type="dxa"/>
          </w:tcPr>
          <w:p w14:paraId="104776DA" w14:textId="77777777" w:rsidR="003D0BC7" w:rsidRPr="003D0BC7" w:rsidRDefault="003D0BC7" w:rsidP="002D6639">
            <w:pPr>
              <w:spacing w:before="40" w:after="40"/>
              <w:rPr>
                <w:rFonts w:asciiTheme="minorHAnsi" w:hAnsiTheme="minorHAnsi"/>
                <w:sz w:val="20"/>
                <w:szCs w:val="20"/>
              </w:rPr>
            </w:pPr>
            <w:r w:rsidRPr="003D0BC7">
              <w:rPr>
                <w:rFonts w:asciiTheme="minorHAnsi" w:hAnsiTheme="minorHAnsi"/>
                <w:sz w:val="20"/>
                <w:szCs w:val="20"/>
              </w:rPr>
              <w:t>Risk management focal point</w:t>
            </w:r>
          </w:p>
        </w:tc>
        <w:tc>
          <w:tcPr>
            <w:tcW w:w="3119" w:type="dxa"/>
          </w:tcPr>
          <w:p w14:paraId="20A753FA" w14:textId="77777777" w:rsidR="003D0BC7" w:rsidRPr="003D0BC7" w:rsidRDefault="003D0BC7" w:rsidP="002D663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Coordinates risk management process within respective Bureau or the General Secretariat</w:t>
            </w:r>
          </w:p>
        </w:tc>
        <w:tc>
          <w:tcPr>
            <w:tcW w:w="4393" w:type="dxa"/>
          </w:tcPr>
          <w:p w14:paraId="4E4D5BEF" w14:textId="77777777" w:rsidR="003D0BC7" w:rsidRPr="003D0BC7" w:rsidRDefault="003D0BC7" w:rsidP="002D6639">
            <w:pPr>
              <w:pStyle w:val="ListParagraph"/>
              <w:numPr>
                <w:ilvl w:val="0"/>
                <w:numId w:val="34"/>
              </w:numPr>
              <w:spacing w:before="40" w:after="40"/>
              <w:ind w:left="227" w:hanging="22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Facilitates risk management within Bureau or the General Secretariat</w:t>
            </w:r>
          </w:p>
          <w:p w14:paraId="08CCCFEC" w14:textId="77777777" w:rsidR="003D0BC7" w:rsidRPr="003D0BC7" w:rsidRDefault="003D0BC7" w:rsidP="002D6639">
            <w:pPr>
              <w:pStyle w:val="ListParagraph"/>
              <w:numPr>
                <w:ilvl w:val="0"/>
                <w:numId w:val="34"/>
              </w:numPr>
              <w:spacing w:before="40" w:after="40"/>
              <w:ind w:left="227" w:hanging="22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Maintains and updates risk list</w:t>
            </w:r>
          </w:p>
          <w:p w14:paraId="34513A05" w14:textId="77777777" w:rsidR="003D0BC7" w:rsidRPr="003D0BC7" w:rsidRDefault="003D0BC7" w:rsidP="002D6639">
            <w:pPr>
              <w:pStyle w:val="ListParagraph"/>
              <w:numPr>
                <w:ilvl w:val="0"/>
                <w:numId w:val="34"/>
              </w:numPr>
              <w:spacing w:before="40" w:after="40"/>
              <w:ind w:left="227" w:hanging="22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Consolidates and submits information for management review and risk reporting</w:t>
            </w:r>
          </w:p>
        </w:tc>
      </w:tr>
      <w:tr w:rsidR="003D0BC7" w:rsidRPr="003D0BC7" w14:paraId="64367C83" w14:textId="77777777" w:rsidTr="00CC3B2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838" w:type="dxa"/>
          </w:tcPr>
          <w:p w14:paraId="45E0B824" w14:textId="77777777" w:rsidR="003D0BC7" w:rsidRPr="003D0BC7" w:rsidRDefault="003D0BC7" w:rsidP="002D6639">
            <w:pPr>
              <w:spacing w:before="40" w:after="40"/>
              <w:rPr>
                <w:rFonts w:asciiTheme="minorHAnsi" w:hAnsiTheme="minorHAnsi"/>
                <w:sz w:val="20"/>
                <w:szCs w:val="20"/>
              </w:rPr>
            </w:pPr>
            <w:r w:rsidRPr="003D0BC7">
              <w:rPr>
                <w:rFonts w:asciiTheme="minorHAnsi" w:hAnsiTheme="minorHAnsi"/>
                <w:sz w:val="20"/>
                <w:szCs w:val="20"/>
              </w:rPr>
              <w:t>Responsible for implementing mitigation measure</w:t>
            </w:r>
          </w:p>
        </w:tc>
        <w:tc>
          <w:tcPr>
            <w:tcW w:w="3119" w:type="dxa"/>
          </w:tcPr>
          <w:p w14:paraId="59052514" w14:textId="77777777" w:rsidR="003D0BC7" w:rsidRPr="003D0BC7" w:rsidRDefault="003D0BC7" w:rsidP="002D663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Implements mitigation measure and reports on their implementation to the risk owner</w:t>
            </w:r>
          </w:p>
        </w:tc>
        <w:tc>
          <w:tcPr>
            <w:tcW w:w="4393" w:type="dxa"/>
          </w:tcPr>
          <w:p w14:paraId="356C4E9A" w14:textId="77777777" w:rsidR="003D0BC7" w:rsidRPr="003D0BC7" w:rsidRDefault="003D0BC7" w:rsidP="002D6639">
            <w:pPr>
              <w:pStyle w:val="ListParagraph"/>
              <w:numPr>
                <w:ilvl w:val="0"/>
                <w:numId w:val="34"/>
              </w:numPr>
              <w:spacing w:before="40" w:after="40"/>
              <w:ind w:left="227" w:hanging="22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Implements mitigation measure</w:t>
            </w:r>
          </w:p>
          <w:p w14:paraId="171037B9" w14:textId="77777777" w:rsidR="003D0BC7" w:rsidRPr="003D0BC7" w:rsidRDefault="003D0BC7" w:rsidP="002D6639">
            <w:pPr>
              <w:pStyle w:val="ListParagraph"/>
              <w:numPr>
                <w:ilvl w:val="0"/>
                <w:numId w:val="34"/>
              </w:numPr>
              <w:spacing w:before="40" w:after="40"/>
              <w:ind w:left="227" w:hanging="22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Provides input for management review and risk list update</w:t>
            </w:r>
          </w:p>
        </w:tc>
      </w:tr>
      <w:tr w:rsidR="003D0BC7" w:rsidRPr="003D0BC7" w14:paraId="1EDD1E02" w14:textId="77777777" w:rsidTr="00CC3B27">
        <w:trPr>
          <w:trHeight w:val="850"/>
        </w:trPr>
        <w:tc>
          <w:tcPr>
            <w:cnfStyle w:val="001000000000" w:firstRow="0" w:lastRow="0" w:firstColumn="1" w:lastColumn="0" w:oddVBand="0" w:evenVBand="0" w:oddHBand="0" w:evenHBand="0" w:firstRowFirstColumn="0" w:firstRowLastColumn="0" w:lastRowFirstColumn="0" w:lastRowLastColumn="0"/>
            <w:tcW w:w="1838" w:type="dxa"/>
          </w:tcPr>
          <w:p w14:paraId="1953924C" w14:textId="77777777" w:rsidR="003D0BC7" w:rsidRPr="003D0BC7" w:rsidRDefault="003D0BC7" w:rsidP="002D6639">
            <w:pPr>
              <w:spacing w:before="40" w:after="40"/>
              <w:rPr>
                <w:rFonts w:asciiTheme="minorHAnsi" w:hAnsiTheme="minorHAnsi"/>
                <w:sz w:val="20"/>
                <w:szCs w:val="20"/>
              </w:rPr>
            </w:pPr>
            <w:r w:rsidRPr="003D0BC7">
              <w:rPr>
                <w:rFonts w:asciiTheme="minorHAnsi" w:hAnsiTheme="minorHAnsi"/>
                <w:sz w:val="20"/>
                <w:szCs w:val="20"/>
              </w:rPr>
              <w:t>Senior management team</w:t>
            </w:r>
          </w:p>
        </w:tc>
        <w:tc>
          <w:tcPr>
            <w:tcW w:w="3119" w:type="dxa"/>
          </w:tcPr>
          <w:p w14:paraId="362025E2" w14:textId="77777777" w:rsidR="003D0BC7" w:rsidRPr="003D0BC7" w:rsidRDefault="003D0BC7" w:rsidP="002D663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Reviews risk on a regular basis and takes decisions related to risk management</w:t>
            </w:r>
          </w:p>
        </w:tc>
        <w:tc>
          <w:tcPr>
            <w:tcW w:w="4393" w:type="dxa"/>
          </w:tcPr>
          <w:p w14:paraId="0A5A1264" w14:textId="77777777" w:rsidR="003D0BC7" w:rsidRPr="003D0BC7" w:rsidRDefault="003D0BC7" w:rsidP="002D6639">
            <w:pPr>
              <w:pStyle w:val="ListParagraph"/>
              <w:numPr>
                <w:ilvl w:val="0"/>
                <w:numId w:val="34"/>
              </w:numPr>
              <w:spacing w:before="40" w:after="40"/>
              <w:ind w:left="227" w:hanging="22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Regularly reviews risks, as part of the organization’s business processes</w:t>
            </w:r>
          </w:p>
          <w:p w14:paraId="3C803E26" w14:textId="77777777" w:rsidR="003D0BC7" w:rsidRPr="003D0BC7" w:rsidRDefault="003D0BC7" w:rsidP="002D6639">
            <w:pPr>
              <w:pStyle w:val="ListParagraph"/>
              <w:numPr>
                <w:ilvl w:val="0"/>
                <w:numId w:val="34"/>
              </w:numPr>
              <w:spacing w:before="40" w:after="40"/>
              <w:ind w:left="227" w:hanging="22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D0BC7">
              <w:rPr>
                <w:rFonts w:asciiTheme="minorHAnsi" w:hAnsiTheme="minorHAnsi"/>
                <w:sz w:val="20"/>
                <w:szCs w:val="20"/>
              </w:rPr>
              <w:t>Takes decisions on the implementation and review of the risk management strategy</w:t>
            </w:r>
          </w:p>
        </w:tc>
      </w:tr>
    </w:tbl>
    <w:p w14:paraId="23D50347" w14:textId="0182E9B7" w:rsidR="003D0BC7" w:rsidRPr="00C515DE" w:rsidRDefault="003D0BC7" w:rsidP="00C515DE">
      <w:pPr>
        <w:pStyle w:val="Heading1"/>
        <w:snapToGrid w:val="0"/>
        <w:spacing w:before="360" w:after="120"/>
        <w:ind w:left="567" w:hanging="567"/>
        <w:jc w:val="both"/>
        <w:rPr>
          <w:rFonts w:asciiTheme="minorHAnsi" w:hAnsiTheme="minorHAnsi"/>
          <w:sz w:val="26"/>
          <w:szCs w:val="26"/>
        </w:rPr>
      </w:pPr>
      <w:r w:rsidRPr="00C515DE">
        <w:rPr>
          <w:rFonts w:asciiTheme="minorHAnsi" w:hAnsiTheme="minorHAnsi"/>
          <w:sz w:val="26"/>
          <w:szCs w:val="26"/>
        </w:rPr>
        <w:t>5</w:t>
      </w:r>
      <w:r w:rsidRPr="00C515DE">
        <w:rPr>
          <w:rFonts w:asciiTheme="minorHAnsi" w:hAnsiTheme="minorHAnsi"/>
          <w:sz w:val="26"/>
          <w:szCs w:val="26"/>
        </w:rPr>
        <w:tab/>
        <w:t>Communication</w:t>
      </w:r>
    </w:p>
    <w:p w14:paraId="3DEB7862"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Communication with external (Member States) and internal stakeholders takes place during all stages of the risk management process.</w:t>
      </w:r>
    </w:p>
    <w:p w14:paraId="0D762D48"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Therefore, plans for communication and consultation are developed at an early stage. These address issues relating to the risk itself, its causes, its consequences (if known), and the measures being taken to treat it. Effective external and internal communication and consultation takes place to ensure that those accountable for implementing the risk management process and stakeholders understand the basis on which decisions are made, and the reasons why particular actions are required.</w:t>
      </w:r>
    </w:p>
    <w:p w14:paraId="09B3E94B" w14:textId="164CC6AF" w:rsidR="003D0BC7" w:rsidRPr="00C515DE" w:rsidRDefault="003D0BC7" w:rsidP="00C515DE">
      <w:pPr>
        <w:pStyle w:val="Heading1"/>
        <w:snapToGrid w:val="0"/>
        <w:spacing w:before="360" w:after="120"/>
        <w:ind w:left="567" w:hanging="567"/>
        <w:jc w:val="both"/>
        <w:rPr>
          <w:rFonts w:asciiTheme="minorHAnsi" w:hAnsiTheme="minorHAnsi"/>
          <w:sz w:val="26"/>
          <w:szCs w:val="26"/>
        </w:rPr>
      </w:pPr>
      <w:r w:rsidRPr="00C515DE">
        <w:rPr>
          <w:rFonts w:asciiTheme="minorHAnsi" w:hAnsiTheme="minorHAnsi"/>
          <w:sz w:val="26"/>
          <w:szCs w:val="26"/>
        </w:rPr>
        <w:t>6</w:t>
      </w:r>
      <w:r w:rsidRPr="00C515DE">
        <w:rPr>
          <w:rFonts w:asciiTheme="minorHAnsi" w:hAnsiTheme="minorHAnsi"/>
          <w:sz w:val="26"/>
          <w:szCs w:val="26"/>
        </w:rPr>
        <w:tab/>
        <w:t>Review of the Policy</w:t>
      </w:r>
    </w:p>
    <w:p w14:paraId="56099652"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rPr>
        <w:t>The Policy will be reviewed and updated to draw from emerging best practices and lessons learned every 2 years after its inception.</w:t>
      </w:r>
      <w:r w:rsidRPr="003D0BC7">
        <w:rPr>
          <w:rFonts w:asciiTheme="minorHAnsi" w:hAnsiTheme="minorHAnsi"/>
        </w:rPr>
        <w:br w:type="page"/>
      </w:r>
    </w:p>
    <w:p w14:paraId="48D8AAD8" w14:textId="06C88BC6" w:rsidR="003D0BC7" w:rsidRPr="00C515DE" w:rsidRDefault="00C515DE" w:rsidP="00C515DE">
      <w:pPr>
        <w:pStyle w:val="Heading1"/>
        <w:spacing w:after="240"/>
        <w:ind w:left="432" w:hanging="432"/>
        <w:rPr>
          <w:rFonts w:asciiTheme="minorHAnsi" w:hAnsiTheme="minorHAnsi"/>
          <w:sz w:val="26"/>
          <w:szCs w:val="26"/>
        </w:rPr>
      </w:pPr>
      <w:r w:rsidRPr="00C515DE">
        <w:rPr>
          <w:rFonts w:asciiTheme="minorHAnsi" w:hAnsiTheme="minorHAnsi"/>
          <w:sz w:val="26"/>
          <w:szCs w:val="26"/>
        </w:rPr>
        <w:lastRenderedPageBreak/>
        <w:t>ANNEX</w:t>
      </w:r>
      <w:r w:rsidR="003D0BC7" w:rsidRPr="00C515DE">
        <w:rPr>
          <w:rFonts w:asciiTheme="minorHAnsi" w:hAnsiTheme="minorHAnsi"/>
          <w:sz w:val="26"/>
          <w:szCs w:val="26"/>
        </w:rPr>
        <w:t xml:space="preserve"> 1: Risk Register template</w:t>
      </w:r>
    </w:p>
    <w:tbl>
      <w:tblPr>
        <w:tblStyle w:val="TableGrid"/>
        <w:tblW w:w="9752" w:type="dxa"/>
        <w:jc w:val="center"/>
        <w:tblLayout w:type="fixed"/>
        <w:tblCellMar>
          <w:left w:w="0" w:type="dxa"/>
          <w:right w:w="0" w:type="dxa"/>
        </w:tblCellMar>
        <w:tblLook w:val="04A0" w:firstRow="1" w:lastRow="0" w:firstColumn="1" w:lastColumn="0" w:noHBand="0" w:noVBand="1"/>
      </w:tblPr>
      <w:tblGrid>
        <w:gridCol w:w="1051"/>
        <w:gridCol w:w="1050"/>
        <w:gridCol w:w="750"/>
        <w:gridCol w:w="900"/>
        <w:gridCol w:w="750"/>
        <w:gridCol w:w="901"/>
        <w:gridCol w:w="901"/>
        <w:gridCol w:w="749"/>
        <w:gridCol w:w="1050"/>
        <w:gridCol w:w="904"/>
        <w:gridCol w:w="746"/>
      </w:tblGrid>
      <w:tr w:rsidR="003D0BC7" w:rsidRPr="003D0BC7" w14:paraId="6A2BF88C" w14:textId="77777777" w:rsidTr="00DB2709">
        <w:trPr>
          <w:trHeight w:val="90"/>
          <w:jc w:val="center"/>
        </w:trPr>
        <w:tc>
          <w:tcPr>
            <w:tcW w:w="1985" w:type="dxa"/>
            <w:gridSpan w:val="2"/>
            <w:vMerge w:val="restart"/>
            <w:tcMar>
              <w:left w:w="28" w:type="dxa"/>
              <w:right w:w="28" w:type="dxa"/>
            </w:tcMar>
          </w:tcPr>
          <w:p w14:paraId="3B1EFF41"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Risk List</w:t>
            </w:r>
          </w:p>
        </w:tc>
        <w:tc>
          <w:tcPr>
            <w:tcW w:w="5670" w:type="dxa"/>
            <w:gridSpan w:val="7"/>
            <w:vMerge w:val="restart"/>
            <w:tcMar>
              <w:left w:w="28" w:type="dxa"/>
              <w:right w:w="28" w:type="dxa"/>
            </w:tcMar>
          </w:tcPr>
          <w:p w14:paraId="2F3331D6"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(Insert Sector or GS)</w:t>
            </w:r>
          </w:p>
          <w:p w14:paraId="5A0BB4AF"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(as per the 2017-2020 Operational Plan)</w:t>
            </w:r>
          </w:p>
        </w:tc>
        <w:tc>
          <w:tcPr>
            <w:tcW w:w="1559" w:type="dxa"/>
            <w:gridSpan w:val="2"/>
            <w:tcMar>
              <w:left w:w="28" w:type="dxa"/>
              <w:right w:w="28" w:type="dxa"/>
            </w:tcMar>
          </w:tcPr>
          <w:p w14:paraId="0E1F8487"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Latest review summary</w:t>
            </w:r>
          </w:p>
        </w:tc>
      </w:tr>
      <w:tr w:rsidR="003D0BC7" w:rsidRPr="003D0BC7" w14:paraId="432D2CB4" w14:textId="77777777" w:rsidTr="00DB2709">
        <w:trPr>
          <w:trHeight w:val="88"/>
          <w:jc w:val="center"/>
        </w:trPr>
        <w:tc>
          <w:tcPr>
            <w:tcW w:w="1985" w:type="dxa"/>
            <w:gridSpan w:val="2"/>
            <w:vMerge/>
            <w:tcMar>
              <w:left w:w="28" w:type="dxa"/>
              <w:right w:w="28" w:type="dxa"/>
            </w:tcMar>
          </w:tcPr>
          <w:p w14:paraId="33EAF3F8" w14:textId="77777777" w:rsidR="003D0BC7" w:rsidRPr="003D0BC7" w:rsidRDefault="003D0BC7" w:rsidP="00C515DE">
            <w:pPr>
              <w:spacing w:before="40" w:after="40"/>
              <w:jc w:val="center"/>
              <w:rPr>
                <w:rFonts w:asciiTheme="minorHAnsi" w:hAnsiTheme="minorHAnsi"/>
                <w:b/>
                <w:bCs/>
                <w:sz w:val="16"/>
                <w:szCs w:val="16"/>
              </w:rPr>
            </w:pPr>
          </w:p>
        </w:tc>
        <w:tc>
          <w:tcPr>
            <w:tcW w:w="5670" w:type="dxa"/>
            <w:gridSpan w:val="7"/>
            <w:vMerge/>
            <w:tcMar>
              <w:left w:w="28" w:type="dxa"/>
              <w:right w:w="28" w:type="dxa"/>
            </w:tcMar>
          </w:tcPr>
          <w:p w14:paraId="579E3427" w14:textId="77777777" w:rsidR="003D0BC7" w:rsidRPr="003D0BC7" w:rsidRDefault="003D0BC7" w:rsidP="00C515DE">
            <w:pPr>
              <w:spacing w:before="40" w:after="40"/>
              <w:jc w:val="center"/>
              <w:rPr>
                <w:rFonts w:asciiTheme="minorHAnsi" w:hAnsiTheme="minorHAnsi"/>
                <w:b/>
                <w:bCs/>
                <w:sz w:val="16"/>
                <w:szCs w:val="16"/>
              </w:rPr>
            </w:pPr>
          </w:p>
        </w:tc>
        <w:tc>
          <w:tcPr>
            <w:tcW w:w="854" w:type="dxa"/>
            <w:tcMar>
              <w:left w:w="28" w:type="dxa"/>
              <w:right w:w="28" w:type="dxa"/>
            </w:tcMar>
          </w:tcPr>
          <w:p w14:paraId="6B43ABCF"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Date</w:t>
            </w:r>
          </w:p>
        </w:tc>
        <w:tc>
          <w:tcPr>
            <w:tcW w:w="705" w:type="dxa"/>
            <w:tcMar>
              <w:left w:w="28" w:type="dxa"/>
              <w:right w:w="28" w:type="dxa"/>
            </w:tcMar>
          </w:tcPr>
          <w:p w14:paraId="1E2316C4" w14:textId="77777777" w:rsidR="003D0BC7" w:rsidRPr="003D0BC7" w:rsidRDefault="003D0BC7" w:rsidP="00C515DE">
            <w:pPr>
              <w:spacing w:before="40" w:after="40"/>
              <w:jc w:val="center"/>
              <w:rPr>
                <w:rFonts w:asciiTheme="minorHAnsi" w:hAnsiTheme="minorHAnsi"/>
                <w:b/>
                <w:bCs/>
                <w:i/>
                <w:iCs/>
                <w:sz w:val="16"/>
                <w:szCs w:val="16"/>
              </w:rPr>
            </w:pPr>
            <w:r w:rsidRPr="003D0BC7">
              <w:rPr>
                <w:rFonts w:asciiTheme="minorHAnsi" w:hAnsiTheme="minorHAnsi"/>
                <w:b/>
                <w:bCs/>
                <w:i/>
                <w:iCs/>
                <w:sz w:val="16"/>
                <w:szCs w:val="16"/>
              </w:rPr>
              <w:t>Date</w:t>
            </w:r>
          </w:p>
        </w:tc>
      </w:tr>
      <w:tr w:rsidR="003D0BC7" w:rsidRPr="003D0BC7" w14:paraId="6FFDED19" w14:textId="77777777" w:rsidTr="00DB2709">
        <w:trPr>
          <w:trHeight w:val="88"/>
          <w:jc w:val="center"/>
        </w:trPr>
        <w:tc>
          <w:tcPr>
            <w:tcW w:w="1985" w:type="dxa"/>
            <w:gridSpan w:val="2"/>
            <w:vMerge/>
            <w:tcMar>
              <w:left w:w="28" w:type="dxa"/>
              <w:right w:w="28" w:type="dxa"/>
            </w:tcMar>
          </w:tcPr>
          <w:p w14:paraId="3718C484" w14:textId="77777777" w:rsidR="003D0BC7" w:rsidRPr="003D0BC7" w:rsidRDefault="003D0BC7" w:rsidP="00C515DE">
            <w:pPr>
              <w:spacing w:before="40" w:after="40"/>
              <w:jc w:val="center"/>
              <w:rPr>
                <w:rFonts w:asciiTheme="minorHAnsi" w:hAnsiTheme="minorHAnsi"/>
                <w:b/>
                <w:bCs/>
                <w:sz w:val="16"/>
                <w:szCs w:val="16"/>
              </w:rPr>
            </w:pPr>
          </w:p>
        </w:tc>
        <w:tc>
          <w:tcPr>
            <w:tcW w:w="5670" w:type="dxa"/>
            <w:gridSpan w:val="7"/>
            <w:vMerge/>
            <w:tcMar>
              <w:left w:w="28" w:type="dxa"/>
              <w:right w:w="28" w:type="dxa"/>
            </w:tcMar>
          </w:tcPr>
          <w:p w14:paraId="4C37CE99" w14:textId="77777777" w:rsidR="003D0BC7" w:rsidRPr="003D0BC7" w:rsidRDefault="003D0BC7" w:rsidP="00C515DE">
            <w:pPr>
              <w:spacing w:before="40" w:after="40"/>
              <w:jc w:val="center"/>
              <w:rPr>
                <w:rFonts w:asciiTheme="minorHAnsi" w:hAnsiTheme="minorHAnsi"/>
                <w:b/>
                <w:bCs/>
                <w:sz w:val="16"/>
                <w:szCs w:val="16"/>
              </w:rPr>
            </w:pPr>
          </w:p>
        </w:tc>
        <w:tc>
          <w:tcPr>
            <w:tcW w:w="854" w:type="dxa"/>
            <w:tcMar>
              <w:left w:w="28" w:type="dxa"/>
              <w:right w:w="28" w:type="dxa"/>
            </w:tcMar>
          </w:tcPr>
          <w:p w14:paraId="13FDAAD6"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To be received by</w:t>
            </w:r>
          </w:p>
        </w:tc>
        <w:tc>
          <w:tcPr>
            <w:tcW w:w="705" w:type="dxa"/>
            <w:tcMar>
              <w:left w:w="28" w:type="dxa"/>
              <w:right w:w="28" w:type="dxa"/>
            </w:tcMar>
          </w:tcPr>
          <w:p w14:paraId="058F92C3" w14:textId="77777777" w:rsidR="003D0BC7" w:rsidRPr="003D0BC7" w:rsidRDefault="003D0BC7" w:rsidP="00C515DE">
            <w:pPr>
              <w:spacing w:before="40" w:after="40"/>
              <w:jc w:val="center"/>
              <w:rPr>
                <w:rFonts w:asciiTheme="minorHAnsi" w:hAnsiTheme="minorHAnsi"/>
                <w:b/>
                <w:bCs/>
                <w:sz w:val="16"/>
                <w:szCs w:val="16"/>
              </w:rPr>
            </w:pPr>
          </w:p>
        </w:tc>
      </w:tr>
      <w:tr w:rsidR="003D0BC7" w:rsidRPr="003D0BC7" w14:paraId="0E23E0D5" w14:textId="77777777" w:rsidTr="00DB2709">
        <w:trPr>
          <w:trHeight w:val="302"/>
          <w:jc w:val="center"/>
        </w:trPr>
        <w:tc>
          <w:tcPr>
            <w:tcW w:w="993" w:type="dxa"/>
            <w:vMerge w:val="restart"/>
            <w:tcMar>
              <w:left w:w="28" w:type="dxa"/>
              <w:right w:w="28" w:type="dxa"/>
            </w:tcMar>
          </w:tcPr>
          <w:p w14:paraId="7B7DC300"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Perspective</w:t>
            </w:r>
          </w:p>
        </w:tc>
        <w:tc>
          <w:tcPr>
            <w:tcW w:w="992" w:type="dxa"/>
            <w:vMerge w:val="restart"/>
            <w:tcMar>
              <w:left w:w="28" w:type="dxa"/>
              <w:right w:w="28" w:type="dxa"/>
            </w:tcMar>
          </w:tcPr>
          <w:p w14:paraId="22AEDEFF"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Description of risk</w:t>
            </w:r>
          </w:p>
        </w:tc>
        <w:tc>
          <w:tcPr>
            <w:tcW w:w="709" w:type="dxa"/>
            <w:vMerge w:val="restart"/>
            <w:tcMar>
              <w:left w:w="28" w:type="dxa"/>
              <w:right w:w="28" w:type="dxa"/>
            </w:tcMar>
          </w:tcPr>
          <w:p w14:paraId="29ADAA30"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Risk owner</w:t>
            </w:r>
          </w:p>
        </w:tc>
        <w:tc>
          <w:tcPr>
            <w:tcW w:w="850" w:type="dxa"/>
            <w:vMerge w:val="restart"/>
            <w:tcMar>
              <w:left w:w="28" w:type="dxa"/>
              <w:right w:w="28" w:type="dxa"/>
            </w:tcMar>
          </w:tcPr>
          <w:p w14:paraId="0666CD35"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Probability</w:t>
            </w:r>
          </w:p>
        </w:tc>
        <w:tc>
          <w:tcPr>
            <w:tcW w:w="709" w:type="dxa"/>
            <w:vMerge w:val="restart"/>
            <w:tcMar>
              <w:left w:w="28" w:type="dxa"/>
              <w:right w:w="28" w:type="dxa"/>
            </w:tcMar>
          </w:tcPr>
          <w:p w14:paraId="30DB0E98"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Impact level</w:t>
            </w:r>
          </w:p>
        </w:tc>
        <w:tc>
          <w:tcPr>
            <w:tcW w:w="2410" w:type="dxa"/>
            <w:gridSpan w:val="3"/>
            <w:tcMar>
              <w:left w:w="28" w:type="dxa"/>
              <w:right w:w="28" w:type="dxa"/>
            </w:tcMar>
          </w:tcPr>
          <w:p w14:paraId="5ECBBABA"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Mitigation measures</w:t>
            </w:r>
          </w:p>
        </w:tc>
        <w:tc>
          <w:tcPr>
            <w:tcW w:w="992" w:type="dxa"/>
            <w:vMerge w:val="restart"/>
            <w:tcMar>
              <w:left w:w="28" w:type="dxa"/>
              <w:right w:w="28" w:type="dxa"/>
            </w:tcMar>
          </w:tcPr>
          <w:p w14:paraId="48C765C9"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Residual risk</w:t>
            </w:r>
          </w:p>
        </w:tc>
        <w:tc>
          <w:tcPr>
            <w:tcW w:w="1559" w:type="dxa"/>
            <w:gridSpan w:val="2"/>
            <w:vMerge w:val="restart"/>
            <w:tcMar>
              <w:left w:w="28" w:type="dxa"/>
              <w:right w:w="28" w:type="dxa"/>
            </w:tcMar>
          </w:tcPr>
          <w:p w14:paraId="24989F4C"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Follow up decisions/comments</w:t>
            </w:r>
          </w:p>
        </w:tc>
      </w:tr>
      <w:tr w:rsidR="003D0BC7" w:rsidRPr="003D0BC7" w14:paraId="0368B117" w14:textId="77777777" w:rsidTr="00DB2709">
        <w:trPr>
          <w:trHeight w:val="301"/>
          <w:jc w:val="center"/>
        </w:trPr>
        <w:tc>
          <w:tcPr>
            <w:tcW w:w="993" w:type="dxa"/>
            <w:vMerge/>
            <w:tcMar>
              <w:left w:w="28" w:type="dxa"/>
              <w:right w:w="28" w:type="dxa"/>
            </w:tcMar>
          </w:tcPr>
          <w:p w14:paraId="11750407" w14:textId="77777777" w:rsidR="003D0BC7" w:rsidRPr="003D0BC7" w:rsidRDefault="003D0BC7" w:rsidP="00C515DE">
            <w:pPr>
              <w:spacing w:before="40" w:after="40"/>
              <w:jc w:val="center"/>
              <w:rPr>
                <w:rFonts w:asciiTheme="minorHAnsi" w:hAnsiTheme="minorHAnsi"/>
                <w:sz w:val="16"/>
                <w:szCs w:val="16"/>
              </w:rPr>
            </w:pPr>
          </w:p>
        </w:tc>
        <w:tc>
          <w:tcPr>
            <w:tcW w:w="992" w:type="dxa"/>
            <w:vMerge/>
            <w:tcMar>
              <w:left w:w="28" w:type="dxa"/>
              <w:right w:w="28" w:type="dxa"/>
            </w:tcMar>
          </w:tcPr>
          <w:p w14:paraId="5128404E" w14:textId="77777777" w:rsidR="003D0BC7" w:rsidRPr="003D0BC7" w:rsidRDefault="003D0BC7" w:rsidP="00C515DE">
            <w:pPr>
              <w:spacing w:before="40" w:after="40"/>
              <w:jc w:val="center"/>
              <w:rPr>
                <w:rFonts w:asciiTheme="minorHAnsi" w:hAnsiTheme="minorHAnsi"/>
                <w:sz w:val="16"/>
                <w:szCs w:val="16"/>
              </w:rPr>
            </w:pPr>
          </w:p>
        </w:tc>
        <w:tc>
          <w:tcPr>
            <w:tcW w:w="709" w:type="dxa"/>
            <w:vMerge/>
            <w:tcMar>
              <w:left w:w="28" w:type="dxa"/>
              <w:right w:w="28" w:type="dxa"/>
            </w:tcMar>
          </w:tcPr>
          <w:p w14:paraId="1037E048" w14:textId="77777777" w:rsidR="003D0BC7" w:rsidRPr="003D0BC7" w:rsidRDefault="003D0BC7" w:rsidP="00C515DE">
            <w:pPr>
              <w:spacing w:before="40" w:after="40"/>
              <w:jc w:val="center"/>
              <w:rPr>
                <w:rFonts w:asciiTheme="minorHAnsi" w:hAnsiTheme="minorHAnsi"/>
                <w:sz w:val="16"/>
                <w:szCs w:val="16"/>
              </w:rPr>
            </w:pPr>
          </w:p>
        </w:tc>
        <w:tc>
          <w:tcPr>
            <w:tcW w:w="850" w:type="dxa"/>
            <w:vMerge/>
            <w:tcMar>
              <w:left w:w="28" w:type="dxa"/>
              <w:right w:w="28" w:type="dxa"/>
            </w:tcMar>
          </w:tcPr>
          <w:p w14:paraId="4AA3EBDE" w14:textId="77777777" w:rsidR="003D0BC7" w:rsidRPr="003D0BC7" w:rsidRDefault="003D0BC7" w:rsidP="00C515DE">
            <w:pPr>
              <w:spacing w:before="40" w:after="40"/>
              <w:jc w:val="center"/>
              <w:rPr>
                <w:rFonts w:asciiTheme="minorHAnsi" w:hAnsiTheme="minorHAnsi"/>
                <w:sz w:val="16"/>
                <w:szCs w:val="16"/>
              </w:rPr>
            </w:pPr>
          </w:p>
        </w:tc>
        <w:tc>
          <w:tcPr>
            <w:tcW w:w="709" w:type="dxa"/>
            <w:vMerge/>
            <w:tcMar>
              <w:left w:w="28" w:type="dxa"/>
              <w:right w:w="28" w:type="dxa"/>
            </w:tcMar>
          </w:tcPr>
          <w:p w14:paraId="0D9C88F4" w14:textId="77777777" w:rsidR="003D0BC7" w:rsidRPr="003D0BC7" w:rsidRDefault="003D0BC7" w:rsidP="00C515DE">
            <w:pPr>
              <w:spacing w:before="40" w:after="40"/>
              <w:jc w:val="center"/>
              <w:rPr>
                <w:rFonts w:asciiTheme="minorHAnsi" w:hAnsiTheme="minorHAnsi"/>
                <w:sz w:val="16"/>
                <w:szCs w:val="16"/>
              </w:rPr>
            </w:pPr>
          </w:p>
        </w:tc>
        <w:tc>
          <w:tcPr>
            <w:tcW w:w="851" w:type="dxa"/>
            <w:tcMar>
              <w:left w:w="28" w:type="dxa"/>
              <w:right w:w="28" w:type="dxa"/>
            </w:tcMar>
          </w:tcPr>
          <w:p w14:paraId="493EC24B"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Measure</w:t>
            </w:r>
          </w:p>
        </w:tc>
        <w:tc>
          <w:tcPr>
            <w:tcW w:w="851" w:type="dxa"/>
            <w:tcMar>
              <w:left w:w="28" w:type="dxa"/>
              <w:right w:w="28" w:type="dxa"/>
            </w:tcMar>
          </w:tcPr>
          <w:p w14:paraId="07B0A64B"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Responsible</w:t>
            </w:r>
          </w:p>
        </w:tc>
        <w:tc>
          <w:tcPr>
            <w:tcW w:w="708" w:type="dxa"/>
            <w:tcMar>
              <w:left w:w="28" w:type="dxa"/>
              <w:right w:w="28" w:type="dxa"/>
            </w:tcMar>
          </w:tcPr>
          <w:p w14:paraId="1EE84611" w14:textId="77777777" w:rsidR="003D0BC7" w:rsidRPr="003D0BC7" w:rsidRDefault="003D0BC7" w:rsidP="00C515DE">
            <w:pPr>
              <w:spacing w:before="40" w:after="40"/>
              <w:jc w:val="center"/>
              <w:rPr>
                <w:rFonts w:asciiTheme="minorHAnsi" w:hAnsiTheme="minorHAnsi"/>
                <w:b/>
                <w:bCs/>
                <w:sz w:val="16"/>
                <w:szCs w:val="16"/>
              </w:rPr>
            </w:pPr>
            <w:r w:rsidRPr="003D0BC7">
              <w:rPr>
                <w:rFonts w:asciiTheme="minorHAnsi" w:hAnsiTheme="minorHAnsi"/>
                <w:b/>
                <w:bCs/>
                <w:sz w:val="16"/>
                <w:szCs w:val="16"/>
              </w:rPr>
              <w:t>Status</w:t>
            </w:r>
          </w:p>
        </w:tc>
        <w:tc>
          <w:tcPr>
            <w:tcW w:w="992" w:type="dxa"/>
            <w:vMerge/>
            <w:tcMar>
              <w:left w:w="28" w:type="dxa"/>
              <w:right w:w="28" w:type="dxa"/>
            </w:tcMar>
          </w:tcPr>
          <w:p w14:paraId="4FD4C434" w14:textId="77777777" w:rsidR="003D0BC7" w:rsidRPr="003D0BC7" w:rsidRDefault="003D0BC7" w:rsidP="00C515DE">
            <w:pPr>
              <w:spacing w:before="40" w:after="40"/>
              <w:jc w:val="center"/>
              <w:rPr>
                <w:rFonts w:asciiTheme="minorHAnsi" w:hAnsiTheme="minorHAnsi"/>
                <w:sz w:val="16"/>
                <w:szCs w:val="16"/>
              </w:rPr>
            </w:pPr>
          </w:p>
        </w:tc>
        <w:tc>
          <w:tcPr>
            <w:tcW w:w="1559" w:type="dxa"/>
            <w:gridSpan w:val="2"/>
            <w:vMerge/>
            <w:tcMar>
              <w:left w:w="28" w:type="dxa"/>
              <w:right w:w="28" w:type="dxa"/>
            </w:tcMar>
          </w:tcPr>
          <w:p w14:paraId="3077EA6A" w14:textId="77777777" w:rsidR="003D0BC7" w:rsidRPr="003D0BC7" w:rsidRDefault="003D0BC7" w:rsidP="00C515DE">
            <w:pPr>
              <w:spacing w:before="40" w:after="40"/>
              <w:jc w:val="center"/>
              <w:rPr>
                <w:rFonts w:asciiTheme="minorHAnsi" w:hAnsiTheme="minorHAnsi"/>
                <w:sz w:val="16"/>
                <w:szCs w:val="16"/>
              </w:rPr>
            </w:pPr>
          </w:p>
        </w:tc>
      </w:tr>
      <w:tr w:rsidR="003D0BC7" w:rsidRPr="003D0BC7" w14:paraId="2F16BBFD" w14:textId="77777777" w:rsidTr="00DB2709">
        <w:trPr>
          <w:trHeight w:val="274"/>
          <w:jc w:val="center"/>
        </w:trPr>
        <w:tc>
          <w:tcPr>
            <w:tcW w:w="993" w:type="dxa"/>
            <w:tcMar>
              <w:left w:w="28" w:type="dxa"/>
              <w:right w:w="28" w:type="dxa"/>
            </w:tcMar>
          </w:tcPr>
          <w:p w14:paraId="625E64E5" w14:textId="77777777" w:rsidR="003D0BC7" w:rsidRPr="003D0BC7" w:rsidRDefault="003D0BC7" w:rsidP="00C515DE">
            <w:pPr>
              <w:spacing w:before="40" w:after="40"/>
              <w:jc w:val="center"/>
              <w:rPr>
                <w:rFonts w:asciiTheme="minorHAnsi" w:hAnsiTheme="minorHAnsi"/>
                <w:i/>
                <w:iCs/>
                <w:sz w:val="16"/>
                <w:szCs w:val="16"/>
              </w:rPr>
            </w:pPr>
            <w:r w:rsidRPr="003D0BC7">
              <w:rPr>
                <w:rFonts w:asciiTheme="minorHAnsi" w:hAnsiTheme="minorHAnsi"/>
                <w:i/>
                <w:iCs/>
                <w:sz w:val="16"/>
                <w:szCs w:val="16"/>
              </w:rPr>
              <w:t>Example:</w:t>
            </w:r>
          </w:p>
        </w:tc>
        <w:tc>
          <w:tcPr>
            <w:tcW w:w="992" w:type="dxa"/>
            <w:tcMar>
              <w:left w:w="28" w:type="dxa"/>
              <w:right w:w="28" w:type="dxa"/>
            </w:tcMar>
          </w:tcPr>
          <w:p w14:paraId="5A517F1B" w14:textId="77777777" w:rsidR="003D0BC7" w:rsidRPr="003D0BC7" w:rsidRDefault="003D0BC7" w:rsidP="00C515DE">
            <w:pPr>
              <w:spacing w:before="40" w:after="40"/>
              <w:jc w:val="center"/>
              <w:rPr>
                <w:rFonts w:asciiTheme="minorHAnsi" w:hAnsiTheme="minorHAnsi"/>
                <w:sz w:val="16"/>
                <w:szCs w:val="16"/>
              </w:rPr>
            </w:pPr>
          </w:p>
        </w:tc>
        <w:tc>
          <w:tcPr>
            <w:tcW w:w="709" w:type="dxa"/>
            <w:tcMar>
              <w:left w:w="28" w:type="dxa"/>
              <w:right w:w="28" w:type="dxa"/>
            </w:tcMar>
          </w:tcPr>
          <w:p w14:paraId="03860774" w14:textId="77777777" w:rsidR="003D0BC7" w:rsidRPr="003D0BC7" w:rsidRDefault="003D0BC7" w:rsidP="00C515DE">
            <w:pPr>
              <w:spacing w:before="40" w:after="40"/>
              <w:jc w:val="center"/>
              <w:rPr>
                <w:rFonts w:asciiTheme="minorHAnsi" w:hAnsiTheme="minorHAnsi"/>
                <w:sz w:val="16"/>
                <w:szCs w:val="16"/>
              </w:rPr>
            </w:pPr>
          </w:p>
        </w:tc>
        <w:tc>
          <w:tcPr>
            <w:tcW w:w="850" w:type="dxa"/>
            <w:tcMar>
              <w:left w:w="28" w:type="dxa"/>
              <w:right w:w="28" w:type="dxa"/>
            </w:tcMar>
          </w:tcPr>
          <w:p w14:paraId="47D89C0C" w14:textId="77777777" w:rsidR="003D0BC7" w:rsidRPr="003D0BC7" w:rsidRDefault="003D0BC7" w:rsidP="00C515DE">
            <w:pPr>
              <w:spacing w:before="40" w:after="40"/>
              <w:jc w:val="center"/>
              <w:rPr>
                <w:rFonts w:asciiTheme="minorHAnsi" w:hAnsiTheme="minorHAnsi"/>
                <w:sz w:val="16"/>
                <w:szCs w:val="16"/>
              </w:rPr>
            </w:pPr>
          </w:p>
        </w:tc>
        <w:tc>
          <w:tcPr>
            <w:tcW w:w="709" w:type="dxa"/>
            <w:tcMar>
              <w:left w:w="28" w:type="dxa"/>
              <w:right w:w="28" w:type="dxa"/>
            </w:tcMar>
          </w:tcPr>
          <w:p w14:paraId="5BE746F5" w14:textId="77777777" w:rsidR="003D0BC7" w:rsidRPr="003D0BC7" w:rsidRDefault="003D0BC7" w:rsidP="00C515DE">
            <w:pPr>
              <w:spacing w:before="40" w:after="40"/>
              <w:jc w:val="center"/>
              <w:rPr>
                <w:rFonts w:asciiTheme="minorHAnsi" w:hAnsiTheme="minorHAnsi"/>
                <w:sz w:val="16"/>
                <w:szCs w:val="16"/>
              </w:rPr>
            </w:pPr>
          </w:p>
        </w:tc>
        <w:tc>
          <w:tcPr>
            <w:tcW w:w="851" w:type="dxa"/>
            <w:tcMar>
              <w:left w:w="28" w:type="dxa"/>
              <w:right w:w="28" w:type="dxa"/>
            </w:tcMar>
          </w:tcPr>
          <w:p w14:paraId="529A1399" w14:textId="77777777" w:rsidR="003D0BC7" w:rsidRPr="003D0BC7" w:rsidRDefault="003D0BC7" w:rsidP="00C515DE">
            <w:pPr>
              <w:spacing w:before="40" w:after="40"/>
              <w:jc w:val="center"/>
              <w:rPr>
                <w:rFonts w:asciiTheme="minorHAnsi" w:hAnsiTheme="minorHAnsi"/>
                <w:sz w:val="16"/>
                <w:szCs w:val="16"/>
              </w:rPr>
            </w:pPr>
          </w:p>
        </w:tc>
        <w:tc>
          <w:tcPr>
            <w:tcW w:w="851" w:type="dxa"/>
            <w:tcMar>
              <w:left w:w="28" w:type="dxa"/>
              <w:right w:w="28" w:type="dxa"/>
            </w:tcMar>
          </w:tcPr>
          <w:p w14:paraId="7BEEB250" w14:textId="77777777" w:rsidR="003D0BC7" w:rsidRPr="003D0BC7" w:rsidRDefault="003D0BC7" w:rsidP="00C515DE">
            <w:pPr>
              <w:spacing w:before="40" w:after="40"/>
              <w:jc w:val="center"/>
              <w:rPr>
                <w:rFonts w:asciiTheme="minorHAnsi" w:hAnsiTheme="minorHAnsi"/>
                <w:sz w:val="16"/>
                <w:szCs w:val="16"/>
              </w:rPr>
            </w:pPr>
          </w:p>
        </w:tc>
        <w:tc>
          <w:tcPr>
            <w:tcW w:w="708" w:type="dxa"/>
            <w:tcMar>
              <w:left w:w="28" w:type="dxa"/>
              <w:right w:w="28" w:type="dxa"/>
            </w:tcMar>
          </w:tcPr>
          <w:p w14:paraId="0F3BB02F" w14:textId="77777777" w:rsidR="003D0BC7" w:rsidRPr="003D0BC7" w:rsidRDefault="003D0BC7" w:rsidP="00C515DE">
            <w:pPr>
              <w:spacing w:before="40" w:after="40"/>
              <w:jc w:val="center"/>
              <w:rPr>
                <w:rFonts w:asciiTheme="minorHAnsi" w:hAnsiTheme="minorHAnsi"/>
                <w:sz w:val="16"/>
                <w:szCs w:val="16"/>
              </w:rPr>
            </w:pPr>
          </w:p>
        </w:tc>
        <w:tc>
          <w:tcPr>
            <w:tcW w:w="992" w:type="dxa"/>
            <w:tcMar>
              <w:left w:w="28" w:type="dxa"/>
              <w:right w:w="28" w:type="dxa"/>
            </w:tcMar>
          </w:tcPr>
          <w:p w14:paraId="7FE2BE22" w14:textId="77777777" w:rsidR="003D0BC7" w:rsidRPr="003D0BC7" w:rsidRDefault="003D0BC7" w:rsidP="00C515DE">
            <w:pPr>
              <w:spacing w:before="40" w:after="40"/>
              <w:jc w:val="center"/>
              <w:rPr>
                <w:rFonts w:asciiTheme="minorHAnsi" w:hAnsiTheme="minorHAnsi"/>
                <w:sz w:val="16"/>
                <w:szCs w:val="16"/>
              </w:rPr>
            </w:pPr>
          </w:p>
        </w:tc>
        <w:tc>
          <w:tcPr>
            <w:tcW w:w="1559" w:type="dxa"/>
            <w:gridSpan w:val="2"/>
            <w:tcMar>
              <w:left w:w="28" w:type="dxa"/>
              <w:right w:w="28" w:type="dxa"/>
            </w:tcMar>
          </w:tcPr>
          <w:p w14:paraId="38A50DFF" w14:textId="77777777" w:rsidR="003D0BC7" w:rsidRPr="003D0BC7" w:rsidRDefault="003D0BC7" w:rsidP="00C515DE">
            <w:pPr>
              <w:spacing w:before="40" w:after="40"/>
              <w:jc w:val="center"/>
              <w:rPr>
                <w:rFonts w:asciiTheme="minorHAnsi" w:hAnsiTheme="minorHAnsi"/>
                <w:sz w:val="16"/>
                <w:szCs w:val="16"/>
              </w:rPr>
            </w:pPr>
          </w:p>
        </w:tc>
      </w:tr>
      <w:tr w:rsidR="003D0BC7" w:rsidRPr="003D0BC7" w14:paraId="09F8B8C4" w14:textId="77777777" w:rsidTr="00DB2709">
        <w:trPr>
          <w:trHeight w:val="274"/>
          <w:jc w:val="center"/>
        </w:trPr>
        <w:tc>
          <w:tcPr>
            <w:tcW w:w="993" w:type="dxa"/>
            <w:tcMar>
              <w:left w:w="28" w:type="dxa"/>
              <w:right w:w="28" w:type="dxa"/>
            </w:tcMar>
          </w:tcPr>
          <w:p w14:paraId="1636B646" w14:textId="77777777" w:rsidR="003D0BC7" w:rsidRPr="003D0BC7" w:rsidRDefault="003D0BC7" w:rsidP="00C515DE">
            <w:pPr>
              <w:spacing w:before="40" w:after="40"/>
              <w:jc w:val="center"/>
              <w:rPr>
                <w:rFonts w:asciiTheme="minorHAnsi" w:hAnsiTheme="minorHAnsi"/>
                <w:sz w:val="16"/>
                <w:szCs w:val="16"/>
              </w:rPr>
            </w:pPr>
            <w:r w:rsidRPr="003D0BC7">
              <w:rPr>
                <w:rFonts w:asciiTheme="minorHAnsi" w:hAnsiTheme="minorHAnsi"/>
                <w:sz w:val="16"/>
                <w:szCs w:val="16"/>
              </w:rPr>
              <w:t>Financial</w:t>
            </w:r>
          </w:p>
        </w:tc>
        <w:tc>
          <w:tcPr>
            <w:tcW w:w="992" w:type="dxa"/>
            <w:tcMar>
              <w:left w:w="28" w:type="dxa"/>
              <w:right w:w="28" w:type="dxa"/>
            </w:tcMar>
          </w:tcPr>
          <w:p w14:paraId="4BFB5B58" w14:textId="77777777" w:rsidR="003D0BC7" w:rsidRPr="003D0BC7" w:rsidRDefault="003D0BC7" w:rsidP="00C515DE">
            <w:pPr>
              <w:spacing w:before="40" w:after="40"/>
              <w:rPr>
                <w:rFonts w:asciiTheme="minorHAnsi" w:hAnsiTheme="minorHAnsi"/>
                <w:sz w:val="16"/>
                <w:szCs w:val="16"/>
              </w:rPr>
            </w:pPr>
            <w:r w:rsidRPr="003D0BC7">
              <w:rPr>
                <w:rFonts w:asciiTheme="minorHAnsi" w:hAnsiTheme="minorHAnsi"/>
                <w:sz w:val="16"/>
                <w:szCs w:val="16"/>
              </w:rPr>
              <w:t>Inability of membership to pay assessed contributions</w:t>
            </w:r>
          </w:p>
        </w:tc>
        <w:tc>
          <w:tcPr>
            <w:tcW w:w="709" w:type="dxa"/>
            <w:tcMar>
              <w:left w:w="28" w:type="dxa"/>
              <w:right w:w="28" w:type="dxa"/>
            </w:tcMar>
          </w:tcPr>
          <w:p w14:paraId="04EC167D" w14:textId="77777777" w:rsidR="003D0BC7" w:rsidRPr="003D0BC7" w:rsidRDefault="003D0BC7" w:rsidP="00C515DE">
            <w:pPr>
              <w:spacing w:before="40" w:after="40"/>
              <w:jc w:val="center"/>
              <w:rPr>
                <w:rFonts w:asciiTheme="minorHAnsi" w:hAnsiTheme="minorHAnsi"/>
                <w:sz w:val="16"/>
                <w:szCs w:val="16"/>
              </w:rPr>
            </w:pPr>
            <w:r w:rsidRPr="003D0BC7">
              <w:rPr>
                <w:rFonts w:asciiTheme="minorHAnsi" w:hAnsiTheme="minorHAnsi"/>
                <w:sz w:val="16"/>
                <w:szCs w:val="16"/>
              </w:rPr>
              <w:t>Chief of FRMD</w:t>
            </w:r>
          </w:p>
        </w:tc>
        <w:tc>
          <w:tcPr>
            <w:tcW w:w="850" w:type="dxa"/>
            <w:tcMar>
              <w:left w:w="28" w:type="dxa"/>
              <w:right w:w="28" w:type="dxa"/>
            </w:tcMar>
          </w:tcPr>
          <w:p w14:paraId="702772E1" w14:textId="77777777" w:rsidR="003D0BC7" w:rsidRPr="003D0BC7" w:rsidRDefault="003D0BC7" w:rsidP="00C515DE">
            <w:pPr>
              <w:spacing w:before="40" w:after="40"/>
              <w:jc w:val="center"/>
              <w:rPr>
                <w:rFonts w:asciiTheme="minorHAnsi" w:hAnsiTheme="minorHAnsi"/>
                <w:sz w:val="16"/>
                <w:szCs w:val="16"/>
              </w:rPr>
            </w:pPr>
            <w:r w:rsidRPr="003D0BC7">
              <w:rPr>
                <w:rFonts w:asciiTheme="minorHAnsi" w:hAnsiTheme="minorHAnsi"/>
                <w:sz w:val="16"/>
                <w:szCs w:val="16"/>
              </w:rPr>
              <w:t>Medium</w:t>
            </w:r>
          </w:p>
        </w:tc>
        <w:tc>
          <w:tcPr>
            <w:tcW w:w="709" w:type="dxa"/>
            <w:tcMar>
              <w:left w:w="28" w:type="dxa"/>
              <w:right w:w="28" w:type="dxa"/>
            </w:tcMar>
          </w:tcPr>
          <w:p w14:paraId="346F07CB" w14:textId="77777777" w:rsidR="003D0BC7" w:rsidRPr="003D0BC7" w:rsidRDefault="003D0BC7" w:rsidP="00C515DE">
            <w:pPr>
              <w:spacing w:before="40" w:after="40"/>
              <w:jc w:val="center"/>
              <w:rPr>
                <w:rFonts w:asciiTheme="minorHAnsi" w:hAnsiTheme="minorHAnsi"/>
                <w:sz w:val="16"/>
                <w:szCs w:val="16"/>
              </w:rPr>
            </w:pPr>
            <w:r w:rsidRPr="003D0BC7">
              <w:rPr>
                <w:rFonts w:asciiTheme="minorHAnsi" w:hAnsiTheme="minorHAnsi"/>
                <w:sz w:val="16"/>
                <w:szCs w:val="16"/>
              </w:rPr>
              <w:t>High</w:t>
            </w:r>
          </w:p>
        </w:tc>
        <w:tc>
          <w:tcPr>
            <w:tcW w:w="851" w:type="dxa"/>
            <w:tcMar>
              <w:left w:w="28" w:type="dxa"/>
              <w:right w:w="28" w:type="dxa"/>
            </w:tcMar>
          </w:tcPr>
          <w:p w14:paraId="228AB982" w14:textId="77777777" w:rsidR="003D0BC7" w:rsidRPr="003D0BC7" w:rsidRDefault="003D0BC7" w:rsidP="00C515DE">
            <w:pPr>
              <w:spacing w:before="40" w:after="40"/>
              <w:rPr>
                <w:rFonts w:asciiTheme="minorHAnsi" w:hAnsiTheme="minorHAnsi"/>
                <w:sz w:val="16"/>
                <w:szCs w:val="16"/>
              </w:rPr>
            </w:pPr>
            <w:r w:rsidRPr="003D0BC7">
              <w:rPr>
                <w:rFonts w:asciiTheme="minorHAnsi" w:hAnsiTheme="minorHAnsi"/>
                <w:sz w:val="16"/>
                <w:szCs w:val="16"/>
              </w:rPr>
              <w:t>Engagement with membership  (incl. CRM system)</w:t>
            </w:r>
          </w:p>
        </w:tc>
        <w:tc>
          <w:tcPr>
            <w:tcW w:w="851" w:type="dxa"/>
            <w:tcMar>
              <w:left w:w="28" w:type="dxa"/>
              <w:right w:w="28" w:type="dxa"/>
            </w:tcMar>
          </w:tcPr>
          <w:p w14:paraId="3EFB83FF" w14:textId="77777777" w:rsidR="003D0BC7" w:rsidRPr="003D0BC7" w:rsidRDefault="003D0BC7" w:rsidP="00C515DE">
            <w:pPr>
              <w:spacing w:before="40" w:after="40"/>
              <w:jc w:val="center"/>
              <w:rPr>
                <w:rFonts w:asciiTheme="minorHAnsi" w:hAnsiTheme="minorHAnsi"/>
                <w:sz w:val="16"/>
                <w:szCs w:val="16"/>
              </w:rPr>
            </w:pPr>
            <w:r w:rsidRPr="003D0BC7">
              <w:rPr>
                <w:rFonts w:asciiTheme="minorHAnsi" w:hAnsiTheme="minorHAnsi"/>
                <w:sz w:val="16"/>
                <w:szCs w:val="16"/>
              </w:rPr>
              <w:t>FRMD &amp; SPM (PRM)</w:t>
            </w:r>
          </w:p>
        </w:tc>
        <w:tc>
          <w:tcPr>
            <w:tcW w:w="708" w:type="dxa"/>
            <w:tcMar>
              <w:left w:w="28" w:type="dxa"/>
              <w:right w:w="28" w:type="dxa"/>
            </w:tcMar>
          </w:tcPr>
          <w:p w14:paraId="5203AA52" w14:textId="77777777" w:rsidR="003D0BC7" w:rsidRPr="003D0BC7" w:rsidRDefault="003D0BC7" w:rsidP="00C515DE">
            <w:pPr>
              <w:spacing w:before="40" w:after="40"/>
              <w:jc w:val="center"/>
              <w:rPr>
                <w:rFonts w:asciiTheme="minorHAnsi" w:hAnsiTheme="minorHAnsi"/>
                <w:sz w:val="16"/>
                <w:szCs w:val="16"/>
              </w:rPr>
            </w:pPr>
            <w:r w:rsidRPr="003D0BC7">
              <w:rPr>
                <w:rFonts w:asciiTheme="minorHAnsi" w:hAnsiTheme="minorHAnsi"/>
                <w:sz w:val="16"/>
                <w:szCs w:val="16"/>
              </w:rPr>
              <w:t>Ongoing</w:t>
            </w:r>
          </w:p>
        </w:tc>
        <w:tc>
          <w:tcPr>
            <w:tcW w:w="992" w:type="dxa"/>
            <w:tcMar>
              <w:left w:w="28" w:type="dxa"/>
              <w:right w:w="28" w:type="dxa"/>
            </w:tcMar>
          </w:tcPr>
          <w:p w14:paraId="71AA0013" w14:textId="77777777" w:rsidR="003D0BC7" w:rsidRPr="003D0BC7" w:rsidRDefault="003D0BC7" w:rsidP="00C515DE">
            <w:pPr>
              <w:spacing w:before="40" w:after="40"/>
              <w:rPr>
                <w:rFonts w:asciiTheme="minorHAnsi" w:hAnsiTheme="minorHAnsi"/>
                <w:sz w:val="16"/>
                <w:szCs w:val="16"/>
              </w:rPr>
            </w:pPr>
            <w:r w:rsidRPr="003D0BC7">
              <w:rPr>
                <w:rFonts w:asciiTheme="minorHAnsi" w:hAnsiTheme="minorHAnsi"/>
                <w:sz w:val="16"/>
                <w:szCs w:val="16"/>
              </w:rPr>
              <w:t>Risk remains after controls, active management is required</w:t>
            </w:r>
          </w:p>
        </w:tc>
        <w:tc>
          <w:tcPr>
            <w:tcW w:w="1559" w:type="dxa"/>
            <w:gridSpan w:val="2"/>
            <w:tcMar>
              <w:left w:w="28" w:type="dxa"/>
              <w:right w:w="28" w:type="dxa"/>
            </w:tcMar>
          </w:tcPr>
          <w:p w14:paraId="21D1D583" w14:textId="77777777" w:rsidR="003D0BC7" w:rsidRPr="003D0BC7" w:rsidRDefault="003D0BC7" w:rsidP="00C515DE">
            <w:pPr>
              <w:spacing w:before="40" w:after="40"/>
              <w:rPr>
                <w:rFonts w:asciiTheme="minorHAnsi" w:hAnsiTheme="minorHAnsi"/>
                <w:sz w:val="16"/>
                <w:szCs w:val="16"/>
              </w:rPr>
            </w:pPr>
            <w:r w:rsidRPr="003D0BC7">
              <w:rPr>
                <w:rFonts w:asciiTheme="minorHAnsi" w:hAnsiTheme="minorHAnsi"/>
                <w:sz w:val="16"/>
                <w:szCs w:val="16"/>
              </w:rPr>
              <w:t>CRM system to help get more information on members' engagement and better manage the relationship</w:t>
            </w:r>
          </w:p>
        </w:tc>
      </w:tr>
    </w:tbl>
    <w:p w14:paraId="25D4F732" w14:textId="77777777" w:rsidR="003D0BC7" w:rsidRPr="003D0BC7" w:rsidRDefault="003D0BC7" w:rsidP="003D0BC7">
      <w:pPr>
        <w:rPr>
          <w:rFonts w:asciiTheme="minorHAnsi" w:hAnsiTheme="minorHAnsi"/>
          <w:b/>
          <w:bCs/>
        </w:rPr>
      </w:pPr>
    </w:p>
    <w:p w14:paraId="761BF148" w14:textId="7C9EE2E0" w:rsidR="003D0BC7" w:rsidRPr="00C515DE" w:rsidRDefault="00C515DE" w:rsidP="00DB2709">
      <w:pPr>
        <w:pStyle w:val="Heading1"/>
        <w:snapToGrid w:val="0"/>
        <w:spacing w:before="360" w:after="120"/>
        <w:ind w:left="432" w:hanging="432"/>
        <w:rPr>
          <w:rFonts w:asciiTheme="minorHAnsi" w:hAnsiTheme="minorHAnsi"/>
          <w:sz w:val="26"/>
          <w:szCs w:val="26"/>
        </w:rPr>
      </w:pPr>
      <w:r w:rsidRPr="00C515DE">
        <w:rPr>
          <w:rFonts w:asciiTheme="minorHAnsi" w:hAnsiTheme="minorHAnsi"/>
          <w:sz w:val="26"/>
          <w:szCs w:val="26"/>
        </w:rPr>
        <w:t>ANNEX</w:t>
      </w:r>
      <w:r w:rsidR="003D0BC7" w:rsidRPr="00C515DE">
        <w:rPr>
          <w:rFonts w:asciiTheme="minorHAnsi" w:hAnsiTheme="minorHAnsi"/>
          <w:sz w:val="26"/>
          <w:szCs w:val="26"/>
        </w:rPr>
        <w:t xml:space="preserve"> 2 - Glossary</w:t>
      </w:r>
      <w:r w:rsidR="00DB2709">
        <w:rPr>
          <w:rStyle w:val="FootnoteReference"/>
          <w:rFonts w:asciiTheme="minorHAnsi" w:hAnsiTheme="minorHAnsi"/>
          <w:szCs w:val="26"/>
        </w:rPr>
        <w:footnoteReference w:id="1"/>
      </w:r>
    </w:p>
    <w:p w14:paraId="2904593C"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b/>
          <w:bCs/>
        </w:rPr>
        <w:t xml:space="preserve">Risk management </w:t>
      </w:r>
      <w:r w:rsidRPr="003D0BC7">
        <w:rPr>
          <w:rFonts w:asciiTheme="minorHAnsi" w:hAnsiTheme="minorHAnsi"/>
        </w:rPr>
        <w:t>refers to a coordinated set of activities and methods that is used to direct an organization and to control the many risks that can affect its ability to achieve objectives.</w:t>
      </w:r>
    </w:p>
    <w:p w14:paraId="26E012DD"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b/>
          <w:bCs/>
        </w:rPr>
        <w:t>Risk</w:t>
      </w:r>
      <w:r w:rsidRPr="003D0BC7">
        <w:rPr>
          <w:rFonts w:asciiTheme="minorHAnsi" w:hAnsiTheme="minorHAnsi"/>
        </w:rPr>
        <w:t xml:space="preserve"> is the “effect of uncertainty on objectives” and an effect is a positive or negative deviation from what is expected.</w:t>
      </w:r>
    </w:p>
    <w:p w14:paraId="7D40675F"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b/>
          <w:bCs/>
        </w:rPr>
        <w:t xml:space="preserve">Impact </w:t>
      </w:r>
      <w:r w:rsidRPr="003D0BC7">
        <w:rPr>
          <w:rFonts w:asciiTheme="minorHAnsi" w:hAnsiTheme="minorHAnsi"/>
        </w:rPr>
        <w:t>or consequence is the outcome of an event and has an effect on objectives.</w:t>
      </w:r>
    </w:p>
    <w:p w14:paraId="2ACAA578"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b/>
          <w:bCs/>
        </w:rPr>
        <w:t xml:space="preserve">Likelihood </w:t>
      </w:r>
      <w:r w:rsidRPr="003D0BC7">
        <w:rPr>
          <w:rFonts w:asciiTheme="minorHAnsi" w:hAnsiTheme="minorHAnsi"/>
        </w:rPr>
        <w:t>or Probability</w:t>
      </w:r>
      <w:r w:rsidRPr="003D0BC7">
        <w:rPr>
          <w:rFonts w:asciiTheme="minorHAnsi" w:hAnsiTheme="minorHAnsi"/>
          <w:b/>
          <w:bCs/>
        </w:rPr>
        <w:t xml:space="preserve"> </w:t>
      </w:r>
      <w:r w:rsidRPr="003D0BC7">
        <w:rPr>
          <w:rFonts w:asciiTheme="minorHAnsi" w:hAnsiTheme="minorHAnsi"/>
        </w:rPr>
        <w:t>is the chance that something might happen. Likelihood can be defined, determined, or measured objectively or subjectively and can be expressed either qualitatively or quantitatively.</w:t>
      </w:r>
    </w:p>
    <w:p w14:paraId="3B3AAD1C" w14:textId="77777777" w:rsidR="003D0BC7" w:rsidRPr="003D0BC7" w:rsidRDefault="003D0BC7" w:rsidP="003D0BC7">
      <w:pPr>
        <w:snapToGrid w:val="0"/>
        <w:spacing w:before="120" w:after="120"/>
        <w:rPr>
          <w:rFonts w:asciiTheme="minorHAnsi" w:hAnsiTheme="minorHAnsi"/>
          <w:b/>
          <w:bCs/>
        </w:rPr>
      </w:pPr>
      <w:r w:rsidRPr="003D0BC7">
        <w:rPr>
          <w:rFonts w:asciiTheme="minorHAnsi" w:hAnsiTheme="minorHAnsi"/>
          <w:b/>
          <w:bCs/>
        </w:rPr>
        <w:t xml:space="preserve">Risk appetite </w:t>
      </w:r>
      <w:r w:rsidRPr="003D0BC7">
        <w:rPr>
          <w:rFonts w:asciiTheme="minorHAnsi" w:hAnsiTheme="minorHAnsi"/>
        </w:rPr>
        <w:t>is the amount and type of risk that an organization is willing to pursue or retain.</w:t>
      </w:r>
      <w:r w:rsidRPr="003D0BC7">
        <w:rPr>
          <w:rFonts w:asciiTheme="minorHAnsi" w:hAnsiTheme="minorHAnsi"/>
          <w:b/>
          <w:bCs/>
        </w:rPr>
        <w:t xml:space="preserve"> </w:t>
      </w:r>
    </w:p>
    <w:p w14:paraId="550FCDB5"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b/>
          <w:bCs/>
        </w:rPr>
        <w:t xml:space="preserve">Risk response </w:t>
      </w:r>
      <w:r w:rsidRPr="003D0BC7">
        <w:rPr>
          <w:rFonts w:asciiTheme="minorHAnsi" w:hAnsiTheme="minorHAnsi"/>
        </w:rPr>
        <w:t>refers to the decisions made to deal with risks that have been identified. The organization can respond to a risk by either accepting it, mitigating it, or transferring it.</w:t>
      </w:r>
    </w:p>
    <w:p w14:paraId="5A537DFB" w14:textId="77777777" w:rsidR="003D0BC7" w:rsidRPr="003D0BC7" w:rsidRDefault="003D0BC7" w:rsidP="003D0BC7">
      <w:pPr>
        <w:snapToGrid w:val="0"/>
        <w:spacing w:before="120" w:after="120"/>
        <w:rPr>
          <w:rFonts w:asciiTheme="minorHAnsi" w:hAnsiTheme="minorHAnsi"/>
        </w:rPr>
      </w:pPr>
      <w:r w:rsidRPr="003D0BC7">
        <w:rPr>
          <w:rFonts w:asciiTheme="minorHAnsi" w:hAnsiTheme="minorHAnsi"/>
          <w:b/>
          <w:bCs/>
        </w:rPr>
        <w:t xml:space="preserve">Risk register </w:t>
      </w:r>
      <w:r w:rsidRPr="003D0BC7">
        <w:rPr>
          <w:rFonts w:asciiTheme="minorHAnsi" w:hAnsiTheme="minorHAnsi"/>
        </w:rPr>
        <w:t>is a risk log of identified risks which outlines the description of the risk, the risk owner, the probability and impact of the risk, mitigation measures, and follow up decisions.</w:t>
      </w:r>
    </w:p>
    <w:p w14:paraId="4CE5922A" w14:textId="470F3588" w:rsidR="003D0BC7" w:rsidRDefault="003D0BC7" w:rsidP="003D0BC7">
      <w:pPr>
        <w:snapToGrid w:val="0"/>
        <w:spacing w:before="120" w:after="120"/>
        <w:rPr>
          <w:rFonts w:asciiTheme="minorHAnsi" w:hAnsiTheme="minorHAnsi"/>
        </w:rPr>
      </w:pPr>
      <w:r w:rsidRPr="003D0BC7">
        <w:rPr>
          <w:rFonts w:asciiTheme="minorHAnsi" w:hAnsiTheme="minorHAnsi"/>
          <w:b/>
          <w:bCs/>
        </w:rPr>
        <w:t>Residual risk</w:t>
      </w:r>
      <w:r w:rsidRPr="003D0BC7">
        <w:rPr>
          <w:rFonts w:asciiTheme="minorHAnsi" w:hAnsiTheme="minorHAnsi"/>
        </w:rPr>
        <w:t xml:space="preserve"> is the level of risk that remains after consideration of all existing mitigating practices and controls. The residual risk provides guidance to the required level of management attention.</w:t>
      </w:r>
    </w:p>
    <w:p w14:paraId="1229C085" w14:textId="66CB787E" w:rsidR="002D6639" w:rsidRPr="003D0BC7" w:rsidRDefault="002D6639" w:rsidP="002D6639">
      <w:pPr>
        <w:snapToGrid w:val="0"/>
        <w:spacing w:before="840"/>
        <w:jc w:val="center"/>
        <w:rPr>
          <w:rFonts w:asciiTheme="minorHAnsi" w:hAnsiTheme="minorHAnsi"/>
        </w:rPr>
      </w:pPr>
      <w:r>
        <w:rPr>
          <w:rFonts w:asciiTheme="minorHAnsi" w:hAnsiTheme="minorHAnsi"/>
        </w:rPr>
        <w:t>________________</w:t>
      </w:r>
    </w:p>
    <w:sectPr w:rsidR="002D6639" w:rsidRPr="003D0BC7" w:rsidSect="00C0037A">
      <w:headerReference w:type="default" r:id="rId14"/>
      <w:headerReference w:type="first" r:id="rId15"/>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935DD" w14:textId="77777777" w:rsidR="0076679F" w:rsidRDefault="0076679F" w:rsidP="005E4CD9">
      <w:r>
        <w:separator/>
      </w:r>
    </w:p>
  </w:endnote>
  <w:endnote w:type="continuationSeparator" w:id="0">
    <w:p w14:paraId="3399E497" w14:textId="77777777" w:rsidR="0076679F" w:rsidRDefault="0076679F"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38703" w14:textId="77777777" w:rsidR="0076679F" w:rsidRDefault="0076679F" w:rsidP="005E4CD9">
      <w:r>
        <w:separator/>
      </w:r>
    </w:p>
  </w:footnote>
  <w:footnote w:type="continuationSeparator" w:id="0">
    <w:p w14:paraId="35FF5FAB" w14:textId="77777777" w:rsidR="0076679F" w:rsidRDefault="0076679F" w:rsidP="005E4CD9">
      <w:r>
        <w:continuationSeparator/>
      </w:r>
    </w:p>
  </w:footnote>
  <w:footnote w:id="1">
    <w:p w14:paraId="7672B521" w14:textId="2160A60D" w:rsidR="00DB2709" w:rsidRPr="00DB2709" w:rsidRDefault="00DB2709">
      <w:pPr>
        <w:pStyle w:val="FootnoteText"/>
        <w:rPr>
          <w:lang w:val="en-US"/>
        </w:rPr>
      </w:pPr>
      <w:r>
        <w:rPr>
          <w:rStyle w:val="FootnoteReference"/>
        </w:rPr>
        <w:footnoteRef/>
      </w:r>
      <w:r>
        <w:t xml:space="preserve"> </w:t>
      </w:r>
      <w:r w:rsidRPr="003D0BC7">
        <w:rPr>
          <w:rFonts w:asciiTheme="minorHAnsi" w:hAnsiTheme="minorHAnsi"/>
          <w:sz w:val="20"/>
        </w:rPr>
        <w:t>These definitions are based on ISO 31000 2009 Risk Management Dictionary.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08DC" w14:textId="77777777" w:rsidR="0076679F" w:rsidRPr="000242F3" w:rsidRDefault="0076679F" w:rsidP="000242F3">
    <w:pPr>
      <w:pStyle w:val="Header"/>
      <w:jc w:val="center"/>
      <w:rPr>
        <w:rFonts w:ascii="Calibri" w:hAnsi="Calibri"/>
        <w:sz w:val="22"/>
        <w:szCs w:val="22"/>
      </w:rPr>
    </w:pPr>
    <w:r w:rsidRPr="000242F3">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0242F3">
          <w:rPr>
            <w:rFonts w:ascii="Calibri" w:hAnsi="Calibri"/>
            <w:sz w:val="22"/>
            <w:szCs w:val="22"/>
          </w:rPr>
          <w:fldChar w:fldCharType="begin"/>
        </w:r>
        <w:r w:rsidRPr="000242F3">
          <w:rPr>
            <w:rFonts w:ascii="Calibri" w:hAnsi="Calibri"/>
            <w:sz w:val="22"/>
            <w:szCs w:val="22"/>
          </w:rPr>
          <w:instrText xml:space="preserve"> PAGE   \* MERGEFORMAT </w:instrText>
        </w:r>
        <w:r w:rsidRPr="000242F3">
          <w:rPr>
            <w:rFonts w:ascii="Calibri" w:hAnsi="Calibri"/>
            <w:sz w:val="22"/>
            <w:szCs w:val="22"/>
          </w:rPr>
          <w:fldChar w:fldCharType="separate"/>
        </w:r>
        <w:r w:rsidR="00D918FD">
          <w:rPr>
            <w:rFonts w:ascii="Calibri" w:hAnsi="Calibri"/>
            <w:noProof/>
            <w:sz w:val="22"/>
            <w:szCs w:val="22"/>
          </w:rPr>
          <w:t>5</w:t>
        </w:r>
        <w:r w:rsidRPr="000242F3">
          <w:rPr>
            <w:rFonts w:ascii="Calibri" w:hAnsi="Calibri"/>
            <w:noProof/>
            <w:sz w:val="22"/>
            <w:szCs w:val="22"/>
          </w:rPr>
          <w:fldChar w:fldCharType="end"/>
        </w:r>
        <w:r>
          <w:rPr>
            <w:rFonts w:ascii="Calibri" w:hAnsi="Calibri"/>
            <w:noProof/>
            <w:sz w:val="22"/>
            <w:szCs w:val="22"/>
          </w:rPr>
          <w:t> </w:t>
        </w:r>
        <w:r w:rsidRPr="000242F3">
          <w:rPr>
            <w:rFonts w:ascii="Calibri" w:hAnsi="Calibri"/>
            <w:noProof/>
            <w:sz w:val="22"/>
            <w:szCs w:val="22"/>
          </w:rPr>
          <w:t>-</w:t>
        </w:r>
      </w:sdtContent>
    </w:sdt>
  </w:p>
  <w:p w14:paraId="7EC3A0BB" w14:textId="77777777" w:rsidR="0076679F" w:rsidRPr="000242F3" w:rsidRDefault="0076679F" w:rsidP="000242F3">
    <w:pPr>
      <w:pStyle w:val="Header"/>
      <w:jc w:val="cent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367F" w14:textId="77777777" w:rsidR="0076679F" w:rsidRDefault="0076679F" w:rsidP="0036354B">
    <w:pPr>
      <w:pStyle w:val="Header"/>
      <w:jc w:val="center"/>
    </w:pPr>
  </w:p>
  <w:p w14:paraId="2B4890B0" w14:textId="77777777" w:rsidR="0076679F" w:rsidRDefault="00766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B508A"/>
    <w:multiLevelType w:val="hybridMultilevel"/>
    <w:tmpl w:val="C41AD55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B71C0"/>
    <w:multiLevelType w:val="hybridMultilevel"/>
    <w:tmpl w:val="35E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C05DF"/>
    <w:multiLevelType w:val="hybridMultilevel"/>
    <w:tmpl w:val="E27A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F17B5"/>
    <w:multiLevelType w:val="hybridMultilevel"/>
    <w:tmpl w:val="815AD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C6D21"/>
    <w:multiLevelType w:val="hybridMultilevel"/>
    <w:tmpl w:val="A510C3C2"/>
    <w:lvl w:ilvl="0" w:tplc="75BC1C8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2292C37"/>
    <w:multiLevelType w:val="multilevel"/>
    <w:tmpl w:val="DFD0DAA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254C28"/>
    <w:multiLevelType w:val="hybridMultilevel"/>
    <w:tmpl w:val="989E4FF2"/>
    <w:lvl w:ilvl="0" w:tplc="70E2EA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6094D"/>
    <w:multiLevelType w:val="hybridMultilevel"/>
    <w:tmpl w:val="28B40D12"/>
    <w:lvl w:ilvl="0" w:tplc="FB385CD0">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1177A"/>
    <w:multiLevelType w:val="hybridMultilevel"/>
    <w:tmpl w:val="9EA80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C342D"/>
    <w:multiLevelType w:val="hybridMultilevel"/>
    <w:tmpl w:val="0DF27C60"/>
    <w:lvl w:ilvl="0" w:tplc="C48CB534">
      <w:start w:val="1"/>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05EED"/>
    <w:multiLevelType w:val="hybridMultilevel"/>
    <w:tmpl w:val="ECCA909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31BB1DD6"/>
    <w:multiLevelType w:val="hybridMultilevel"/>
    <w:tmpl w:val="A54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3679D"/>
    <w:multiLevelType w:val="hybridMultilevel"/>
    <w:tmpl w:val="F3CED154"/>
    <w:lvl w:ilvl="0" w:tplc="9970F04A">
      <w:start w:val="8"/>
      <w:numFmt w:val="bullet"/>
      <w:lvlText w:val="-"/>
      <w:lvlJc w:val="left"/>
      <w:pPr>
        <w:ind w:left="1069" w:hanging="360"/>
      </w:pPr>
      <w:rPr>
        <w:rFonts w:ascii="Calibri" w:eastAsia="SimSun" w:hAnsi="Calibri"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65B79D7"/>
    <w:multiLevelType w:val="hybridMultilevel"/>
    <w:tmpl w:val="40CC5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BD30CD"/>
    <w:multiLevelType w:val="hybridMultilevel"/>
    <w:tmpl w:val="9D64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62250"/>
    <w:multiLevelType w:val="hybridMultilevel"/>
    <w:tmpl w:val="0F50DAFC"/>
    <w:lvl w:ilvl="0" w:tplc="A3E0518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377A6"/>
    <w:multiLevelType w:val="hybridMultilevel"/>
    <w:tmpl w:val="F2D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727C"/>
    <w:multiLevelType w:val="multilevel"/>
    <w:tmpl w:val="B44C39D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B387C"/>
    <w:multiLevelType w:val="multilevel"/>
    <w:tmpl w:val="12E08B50"/>
    <w:lvl w:ilvl="0">
      <w:start w:val="1"/>
      <w:numFmt w:val="decimal"/>
      <w:lvlText w:val="%1"/>
      <w:lvlJc w:val="left"/>
      <w:pPr>
        <w:ind w:left="724" w:hanging="724"/>
      </w:pPr>
      <w:rPr>
        <w:rFonts w:cs="Calibri" w:hint="default"/>
        <w:color w:val="auto"/>
      </w:rPr>
    </w:lvl>
    <w:lvl w:ilvl="1">
      <w:start w:val="1"/>
      <w:numFmt w:val="decimal"/>
      <w:lvlText w:val="%1.%2"/>
      <w:lvlJc w:val="left"/>
      <w:pPr>
        <w:ind w:left="724" w:hanging="724"/>
      </w:pPr>
      <w:rPr>
        <w:rFonts w:cs="Calibri" w:hint="default"/>
        <w:b w:val="0"/>
        <w:bCs w:val="0"/>
      </w:rPr>
    </w:lvl>
    <w:lvl w:ilvl="2">
      <w:start w:val="1"/>
      <w:numFmt w:val="decimal"/>
      <w:lvlText w:val="%1.%2.%3"/>
      <w:lvlJc w:val="left"/>
      <w:pPr>
        <w:ind w:left="724" w:hanging="724"/>
      </w:pPr>
      <w:rPr>
        <w:rFonts w:cs="Calibri" w:hint="default"/>
      </w:rPr>
    </w:lvl>
    <w:lvl w:ilvl="3">
      <w:start w:val="1"/>
      <w:numFmt w:val="decimal"/>
      <w:lvlText w:val="%1.%2.%3.%4"/>
      <w:lvlJc w:val="left"/>
      <w:pPr>
        <w:ind w:left="724" w:hanging="724"/>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5" w15:restartNumberingAfterBreak="0">
    <w:nsid w:val="50B91725"/>
    <w:multiLevelType w:val="hybridMultilevel"/>
    <w:tmpl w:val="1AA20E24"/>
    <w:lvl w:ilvl="0" w:tplc="E472648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C411C"/>
    <w:multiLevelType w:val="hybridMultilevel"/>
    <w:tmpl w:val="DE8E895E"/>
    <w:lvl w:ilvl="0" w:tplc="7F520C14">
      <w:start w:val="8"/>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A3175"/>
    <w:multiLevelType w:val="hybridMultilevel"/>
    <w:tmpl w:val="1764CB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1AF2940"/>
    <w:multiLevelType w:val="hybridMultilevel"/>
    <w:tmpl w:val="39803894"/>
    <w:lvl w:ilvl="0" w:tplc="286AD6A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40700E"/>
    <w:multiLevelType w:val="hybridMultilevel"/>
    <w:tmpl w:val="1C507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4"/>
  </w:num>
  <w:num w:numId="2">
    <w:abstractNumId w:val="31"/>
  </w:num>
  <w:num w:numId="3">
    <w:abstractNumId w:val="16"/>
  </w:num>
  <w:num w:numId="4">
    <w:abstractNumId w:val="7"/>
  </w:num>
  <w:num w:numId="5">
    <w:abstractNumId w:val="30"/>
  </w:num>
  <w:num w:numId="6">
    <w:abstractNumId w:val="14"/>
  </w:num>
  <w:num w:numId="7">
    <w:abstractNumId w:val="32"/>
  </w:num>
  <w:num w:numId="8">
    <w:abstractNumId w:val="13"/>
  </w:num>
  <w:num w:numId="9">
    <w:abstractNumId w:val="15"/>
  </w:num>
  <w:num w:numId="10">
    <w:abstractNumId w:val="8"/>
  </w:num>
  <w:num w:numId="11">
    <w:abstractNumId w:val="12"/>
  </w:num>
  <w:num w:numId="12">
    <w:abstractNumId w:val="11"/>
  </w:num>
  <w:num w:numId="13">
    <w:abstractNumId w:val="5"/>
  </w:num>
  <w:num w:numId="14">
    <w:abstractNumId w:val="0"/>
  </w:num>
  <w:num w:numId="15">
    <w:abstractNumId w:val="29"/>
  </w:num>
  <w:num w:numId="16">
    <w:abstractNumId w:val="19"/>
  </w:num>
  <w:num w:numId="17">
    <w:abstractNumId w:val="18"/>
  </w:num>
  <w:num w:numId="18">
    <w:abstractNumId w:val="6"/>
  </w:num>
  <w:num w:numId="19">
    <w:abstractNumId w:val="23"/>
  </w:num>
  <w:num w:numId="20">
    <w:abstractNumId w:val="27"/>
  </w:num>
  <w:num w:numId="21">
    <w:abstractNumId w:val="26"/>
  </w:num>
  <w:num w:numId="22">
    <w:abstractNumId w:val="2"/>
  </w:num>
  <w:num w:numId="23">
    <w:abstractNumId w:val="20"/>
  </w:num>
  <w:num w:numId="24">
    <w:abstractNumId w:val="10"/>
  </w:num>
  <w:num w:numId="25">
    <w:abstractNumId w:val="9"/>
  </w:num>
  <w:num w:numId="26">
    <w:abstractNumId w:val="28"/>
  </w:num>
  <w:num w:numId="27">
    <w:abstractNumId w:val="21"/>
  </w:num>
  <w:num w:numId="28">
    <w:abstractNumId w:val="3"/>
  </w:num>
  <w:num w:numId="29">
    <w:abstractNumId w:val="1"/>
  </w:num>
  <w:num w:numId="30">
    <w:abstractNumId w:val="17"/>
  </w:num>
  <w:num w:numId="31">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4"/>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0DC1"/>
    <w:rsid w:val="00001654"/>
    <w:rsid w:val="000018AF"/>
    <w:rsid w:val="00002262"/>
    <w:rsid w:val="000030C2"/>
    <w:rsid w:val="000043E5"/>
    <w:rsid w:val="000044F1"/>
    <w:rsid w:val="00004FE8"/>
    <w:rsid w:val="00005460"/>
    <w:rsid w:val="00005C36"/>
    <w:rsid w:val="00007A2F"/>
    <w:rsid w:val="00007B25"/>
    <w:rsid w:val="00011D30"/>
    <w:rsid w:val="00011EF3"/>
    <w:rsid w:val="0001260D"/>
    <w:rsid w:val="000133D9"/>
    <w:rsid w:val="000154A9"/>
    <w:rsid w:val="00016E18"/>
    <w:rsid w:val="00022D39"/>
    <w:rsid w:val="00023023"/>
    <w:rsid w:val="00023C1A"/>
    <w:rsid w:val="000242F3"/>
    <w:rsid w:val="000251C0"/>
    <w:rsid w:val="00025280"/>
    <w:rsid w:val="00025934"/>
    <w:rsid w:val="00026452"/>
    <w:rsid w:val="000269A9"/>
    <w:rsid w:val="0003001D"/>
    <w:rsid w:val="00030256"/>
    <w:rsid w:val="0003088E"/>
    <w:rsid w:val="00030BC4"/>
    <w:rsid w:val="00031DF6"/>
    <w:rsid w:val="0003283A"/>
    <w:rsid w:val="00033B41"/>
    <w:rsid w:val="00033DC3"/>
    <w:rsid w:val="0003469D"/>
    <w:rsid w:val="000356D9"/>
    <w:rsid w:val="00036422"/>
    <w:rsid w:val="000365FA"/>
    <w:rsid w:val="00036C75"/>
    <w:rsid w:val="000379D8"/>
    <w:rsid w:val="0004016D"/>
    <w:rsid w:val="00040911"/>
    <w:rsid w:val="00040ED8"/>
    <w:rsid w:val="00042212"/>
    <w:rsid w:val="00043637"/>
    <w:rsid w:val="00044E94"/>
    <w:rsid w:val="00045CD9"/>
    <w:rsid w:val="00045D91"/>
    <w:rsid w:val="00046B0E"/>
    <w:rsid w:val="00046F1E"/>
    <w:rsid w:val="00047648"/>
    <w:rsid w:val="000527A0"/>
    <w:rsid w:val="00052C6A"/>
    <w:rsid w:val="00052E03"/>
    <w:rsid w:val="00055F92"/>
    <w:rsid w:val="0005651F"/>
    <w:rsid w:val="00057AF5"/>
    <w:rsid w:val="00057DC7"/>
    <w:rsid w:val="00062977"/>
    <w:rsid w:val="0006388C"/>
    <w:rsid w:val="00063F00"/>
    <w:rsid w:val="00064D4E"/>
    <w:rsid w:val="00065B02"/>
    <w:rsid w:val="00072720"/>
    <w:rsid w:val="00072818"/>
    <w:rsid w:val="00072B46"/>
    <w:rsid w:val="00073416"/>
    <w:rsid w:val="00073DD5"/>
    <w:rsid w:val="0007451C"/>
    <w:rsid w:val="00075135"/>
    <w:rsid w:val="00076F12"/>
    <w:rsid w:val="00083EC3"/>
    <w:rsid w:val="00086D89"/>
    <w:rsid w:val="0009114D"/>
    <w:rsid w:val="000914C3"/>
    <w:rsid w:val="00091830"/>
    <w:rsid w:val="00091AE1"/>
    <w:rsid w:val="00091E11"/>
    <w:rsid w:val="000922C7"/>
    <w:rsid w:val="00093B22"/>
    <w:rsid w:val="000945F7"/>
    <w:rsid w:val="0009493C"/>
    <w:rsid w:val="000950BE"/>
    <w:rsid w:val="00095471"/>
    <w:rsid w:val="00096E95"/>
    <w:rsid w:val="000A00B5"/>
    <w:rsid w:val="000A0BE6"/>
    <w:rsid w:val="000A2FFD"/>
    <w:rsid w:val="000A56D2"/>
    <w:rsid w:val="000A5E47"/>
    <w:rsid w:val="000A652B"/>
    <w:rsid w:val="000A66B7"/>
    <w:rsid w:val="000A7E79"/>
    <w:rsid w:val="000B0624"/>
    <w:rsid w:val="000B2174"/>
    <w:rsid w:val="000B2414"/>
    <w:rsid w:val="000B256B"/>
    <w:rsid w:val="000B36C4"/>
    <w:rsid w:val="000B386C"/>
    <w:rsid w:val="000B3978"/>
    <w:rsid w:val="000B3CF7"/>
    <w:rsid w:val="000B4A10"/>
    <w:rsid w:val="000B4F50"/>
    <w:rsid w:val="000B75FB"/>
    <w:rsid w:val="000B7B60"/>
    <w:rsid w:val="000C1CBE"/>
    <w:rsid w:val="000C1DE4"/>
    <w:rsid w:val="000C2E10"/>
    <w:rsid w:val="000C3010"/>
    <w:rsid w:val="000C5616"/>
    <w:rsid w:val="000C607D"/>
    <w:rsid w:val="000C617D"/>
    <w:rsid w:val="000C636E"/>
    <w:rsid w:val="000C6538"/>
    <w:rsid w:val="000C6654"/>
    <w:rsid w:val="000C6AAF"/>
    <w:rsid w:val="000C6DE8"/>
    <w:rsid w:val="000C72A7"/>
    <w:rsid w:val="000C75A5"/>
    <w:rsid w:val="000D050C"/>
    <w:rsid w:val="000D5393"/>
    <w:rsid w:val="000D7F2E"/>
    <w:rsid w:val="000E0D6B"/>
    <w:rsid w:val="000E182D"/>
    <w:rsid w:val="000E1DF2"/>
    <w:rsid w:val="000E33D8"/>
    <w:rsid w:val="000E3518"/>
    <w:rsid w:val="000E368B"/>
    <w:rsid w:val="000E41CF"/>
    <w:rsid w:val="000E4F76"/>
    <w:rsid w:val="000E61FE"/>
    <w:rsid w:val="000E670F"/>
    <w:rsid w:val="000E68CC"/>
    <w:rsid w:val="000E6F26"/>
    <w:rsid w:val="000E7528"/>
    <w:rsid w:val="000E7F42"/>
    <w:rsid w:val="000F0CE6"/>
    <w:rsid w:val="000F1121"/>
    <w:rsid w:val="000F1CDD"/>
    <w:rsid w:val="000F29CA"/>
    <w:rsid w:val="000F30F6"/>
    <w:rsid w:val="000F3E4D"/>
    <w:rsid w:val="000F4342"/>
    <w:rsid w:val="000F49E3"/>
    <w:rsid w:val="000F4AB7"/>
    <w:rsid w:val="000F5B22"/>
    <w:rsid w:val="00100864"/>
    <w:rsid w:val="00100FF0"/>
    <w:rsid w:val="00101F69"/>
    <w:rsid w:val="00102708"/>
    <w:rsid w:val="001031A5"/>
    <w:rsid w:val="001032A7"/>
    <w:rsid w:val="00103F81"/>
    <w:rsid w:val="00106AED"/>
    <w:rsid w:val="00107156"/>
    <w:rsid w:val="00107C10"/>
    <w:rsid w:val="0011051D"/>
    <w:rsid w:val="001108BD"/>
    <w:rsid w:val="00110B05"/>
    <w:rsid w:val="00113474"/>
    <w:rsid w:val="00114AA4"/>
    <w:rsid w:val="001159D5"/>
    <w:rsid w:val="00120BBC"/>
    <w:rsid w:val="00121ACA"/>
    <w:rsid w:val="00121F6A"/>
    <w:rsid w:val="00123528"/>
    <w:rsid w:val="0012356C"/>
    <w:rsid w:val="001245BB"/>
    <w:rsid w:val="0012760B"/>
    <w:rsid w:val="001315BD"/>
    <w:rsid w:val="00132AAE"/>
    <w:rsid w:val="00132EEB"/>
    <w:rsid w:val="0013312C"/>
    <w:rsid w:val="00135B25"/>
    <w:rsid w:val="001360BB"/>
    <w:rsid w:val="0014245F"/>
    <w:rsid w:val="001439B2"/>
    <w:rsid w:val="00143B4B"/>
    <w:rsid w:val="00143E4B"/>
    <w:rsid w:val="00143EEC"/>
    <w:rsid w:val="001441AC"/>
    <w:rsid w:val="00145D15"/>
    <w:rsid w:val="00146D40"/>
    <w:rsid w:val="00146FA1"/>
    <w:rsid w:val="001506F1"/>
    <w:rsid w:val="0015100F"/>
    <w:rsid w:val="001522F5"/>
    <w:rsid w:val="00152D0F"/>
    <w:rsid w:val="00152F2C"/>
    <w:rsid w:val="00153EBD"/>
    <w:rsid w:val="00153EDD"/>
    <w:rsid w:val="00154359"/>
    <w:rsid w:val="001544E0"/>
    <w:rsid w:val="0015471A"/>
    <w:rsid w:val="001549C3"/>
    <w:rsid w:val="00154B5E"/>
    <w:rsid w:val="001551EB"/>
    <w:rsid w:val="00155895"/>
    <w:rsid w:val="00155FC2"/>
    <w:rsid w:val="001576E8"/>
    <w:rsid w:val="00157A33"/>
    <w:rsid w:val="00157E72"/>
    <w:rsid w:val="00160092"/>
    <w:rsid w:val="0016326A"/>
    <w:rsid w:val="00166073"/>
    <w:rsid w:val="001665EC"/>
    <w:rsid w:val="00167410"/>
    <w:rsid w:val="00167727"/>
    <w:rsid w:val="00170F2D"/>
    <w:rsid w:val="001718F4"/>
    <w:rsid w:val="00173BA5"/>
    <w:rsid w:val="00174065"/>
    <w:rsid w:val="00174835"/>
    <w:rsid w:val="00174AD1"/>
    <w:rsid w:val="001753DF"/>
    <w:rsid w:val="00180482"/>
    <w:rsid w:val="00180D22"/>
    <w:rsid w:val="00180D7F"/>
    <w:rsid w:val="00181A8D"/>
    <w:rsid w:val="00182D63"/>
    <w:rsid w:val="00183510"/>
    <w:rsid w:val="00183A0D"/>
    <w:rsid w:val="0018520F"/>
    <w:rsid w:val="001855AB"/>
    <w:rsid w:val="001858EA"/>
    <w:rsid w:val="0018692E"/>
    <w:rsid w:val="00187295"/>
    <w:rsid w:val="00190490"/>
    <w:rsid w:val="00190840"/>
    <w:rsid w:val="00190CB3"/>
    <w:rsid w:val="00191445"/>
    <w:rsid w:val="00191926"/>
    <w:rsid w:val="00193BEC"/>
    <w:rsid w:val="00195762"/>
    <w:rsid w:val="0019593C"/>
    <w:rsid w:val="00195F57"/>
    <w:rsid w:val="00196168"/>
    <w:rsid w:val="00196A5A"/>
    <w:rsid w:val="001A0C1A"/>
    <w:rsid w:val="001A1609"/>
    <w:rsid w:val="001A244A"/>
    <w:rsid w:val="001A329C"/>
    <w:rsid w:val="001A394B"/>
    <w:rsid w:val="001A3BD8"/>
    <w:rsid w:val="001A4E93"/>
    <w:rsid w:val="001A699D"/>
    <w:rsid w:val="001A752F"/>
    <w:rsid w:val="001A7736"/>
    <w:rsid w:val="001A7FE3"/>
    <w:rsid w:val="001B06C4"/>
    <w:rsid w:val="001B0FA1"/>
    <w:rsid w:val="001B145D"/>
    <w:rsid w:val="001B160A"/>
    <w:rsid w:val="001B30F3"/>
    <w:rsid w:val="001B3C04"/>
    <w:rsid w:val="001B4A12"/>
    <w:rsid w:val="001B4E5A"/>
    <w:rsid w:val="001B5D02"/>
    <w:rsid w:val="001B5E3D"/>
    <w:rsid w:val="001C01E9"/>
    <w:rsid w:val="001C1335"/>
    <w:rsid w:val="001C1D64"/>
    <w:rsid w:val="001C1E33"/>
    <w:rsid w:val="001C340A"/>
    <w:rsid w:val="001C3421"/>
    <w:rsid w:val="001C36EB"/>
    <w:rsid w:val="001C41B1"/>
    <w:rsid w:val="001C43D7"/>
    <w:rsid w:val="001C5BEB"/>
    <w:rsid w:val="001C5C55"/>
    <w:rsid w:val="001C6AC1"/>
    <w:rsid w:val="001C7299"/>
    <w:rsid w:val="001C7A3F"/>
    <w:rsid w:val="001D007D"/>
    <w:rsid w:val="001D10F0"/>
    <w:rsid w:val="001D1489"/>
    <w:rsid w:val="001D1611"/>
    <w:rsid w:val="001D4E6B"/>
    <w:rsid w:val="001D5D76"/>
    <w:rsid w:val="001D60C2"/>
    <w:rsid w:val="001D69F8"/>
    <w:rsid w:val="001D6D09"/>
    <w:rsid w:val="001D72DA"/>
    <w:rsid w:val="001D7620"/>
    <w:rsid w:val="001D7AD5"/>
    <w:rsid w:val="001D7E2E"/>
    <w:rsid w:val="001E0EF0"/>
    <w:rsid w:val="001E1B68"/>
    <w:rsid w:val="001E33A4"/>
    <w:rsid w:val="001E3A5B"/>
    <w:rsid w:val="001E3DC4"/>
    <w:rsid w:val="001E407F"/>
    <w:rsid w:val="001E4AD0"/>
    <w:rsid w:val="001E5BB8"/>
    <w:rsid w:val="001E729F"/>
    <w:rsid w:val="001F09E2"/>
    <w:rsid w:val="001F1999"/>
    <w:rsid w:val="001F1F1B"/>
    <w:rsid w:val="001F73DA"/>
    <w:rsid w:val="001F7709"/>
    <w:rsid w:val="00200A5C"/>
    <w:rsid w:val="00200F64"/>
    <w:rsid w:val="00201912"/>
    <w:rsid w:val="00202ED0"/>
    <w:rsid w:val="00203C41"/>
    <w:rsid w:val="0020502C"/>
    <w:rsid w:val="002053B8"/>
    <w:rsid w:val="0020748B"/>
    <w:rsid w:val="002079A6"/>
    <w:rsid w:val="00210388"/>
    <w:rsid w:val="00210B9A"/>
    <w:rsid w:val="00210D3C"/>
    <w:rsid w:val="00210F08"/>
    <w:rsid w:val="00210F74"/>
    <w:rsid w:val="0021119B"/>
    <w:rsid w:val="002122A5"/>
    <w:rsid w:val="00212ED3"/>
    <w:rsid w:val="00213F5C"/>
    <w:rsid w:val="0021791F"/>
    <w:rsid w:val="002218D1"/>
    <w:rsid w:val="00221C6C"/>
    <w:rsid w:val="00222B4A"/>
    <w:rsid w:val="002234BE"/>
    <w:rsid w:val="00224DE4"/>
    <w:rsid w:val="002259D0"/>
    <w:rsid w:val="00226127"/>
    <w:rsid w:val="002264A0"/>
    <w:rsid w:val="00226E8D"/>
    <w:rsid w:val="002273BB"/>
    <w:rsid w:val="002322CF"/>
    <w:rsid w:val="00233042"/>
    <w:rsid w:val="00233898"/>
    <w:rsid w:val="00233B9B"/>
    <w:rsid w:val="00234393"/>
    <w:rsid w:val="00234CB4"/>
    <w:rsid w:val="002364BD"/>
    <w:rsid w:val="00236BC6"/>
    <w:rsid w:val="00241C60"/>
    <w:rsid w:val="0024622D"/>
    <w:rsid w:val="002464C2"/>
    <w:rsid w:val="00246874"/>
    <w:rsid w:val="00250B7B"/>
    <w:rsid w:val="00251831"/>
    <w:rsid w:val="00252C74"/>
    <w:rsid w:val="00253EA6"/>
    <w:rsid w:val="00254A58"/>
    <w:rsid w:val="002552EF"/>
    <w:rsid w:val="00255847"/>
    <w:rsid w:val="00255A19"/>
    <w:rsid w:val="00255D9C"/>
    <w:rsid w:val="00256429"/>
    <w:rsid w:val="00257361"/>
    <w:rsid w:val="00257C54"/>
    <w:rsid w:val="0026139F"/>
    <w:rsid w:val="00262AD8"/>
    <w:rsid w:val="00262F00"/>
    <w:rsid w:val="0026704B"/>
    <w:rsid w:val="002675DF"/>
    <w:rsid w:val="002679D9"/>
    <w:rsid w:val="002704D4"/>
    <w:rsid w:val="00272C6A"/>
    <w:rsid w:val="00273D10"/>
    <w:rsid w:val="0027551E"/>
    <w:rsid w:val="00275C42"/>
    <w:rsid w:val="00277168"/>
    <w:rsid w:val="002808C3"/>
    <w:rsid w:val="00280CDD"/>
    <w:rsid w:val="00281008"/>
    <w:rsid w:val="00281D45"/>
    <w:rsid w:val="00282031"/>
    <w:rsid w:val="00282BE1"/>
    <w:rsid w:val="00283084"/>
    <w:rsid w:val="002843ED"/>
    <w:rsid w:val="00284F9C"/>
    <w:rsid w:val="0028557E"/>
    <w:rsid w:val="00285DB8"/>
    <w:rsid w:val="00290491"/>
    <w:rsid w:val="00291AC9"/>
    <w:rsid w:val="002926CB"/>
    <w:rsid w:val="002936DA"/>
    <w:rsid w:val="00293F1B"/>
    <w:rsid w:val="00294DCB"/>
    <w:rsid w:val="00296D77"/>
    <w:rsid w:val="00296FE9"/>
    <w:rsid w:val="00297685"/>
    <w:rsid w:val="002977F1"/>
    <w:rsid w:val="002A015F"/>
    <w:rsid w:val="002A02E6"/>
    <w:rsid w:val="002A04CC"/>
    <w:rsid w:val="002A229E"/>
    <w:rsid w:val="002A2D36"/>
    <w:rsid w:val="002A3B01"/>
    <w:rsid w:val="002A4779"/>
    <w:rsid w:val="002A5A28"/>
    <w:rsid w:val="002A6B55"/>
    <w:rsid w:val="002A7766"/>
    <w:rsid w:val="002A7B48"/>
    <w:rsid w:val="002A7FD8"/>
    <w:rsid w:val="002B3431"/>
    <w:rsid w:val="002B487C"/>
    <w:rsid w:val="002B48DB"/>
    <w:rsid w:val="002B57BD"/>
    <w:rsid w:val="002B6658"/>
    <w:rsid w:val="002B6824"/>
    <w:rsid w:val="002B6C80"/>
    <w:rsid w:val="002B7D51"/>
    <w:rsid w:val="002C067B"/>
    <w:rsid w:val="002C0A74"/>
    <w:rsid w:val="002C2038"/>
    <w:rsid w:val="002C3C07"/>
    <w:rsid w:val="002C536C"/>
    <w:rsid w:val="002C5B04"/>
    <w:rsid w:val="002C7323"/>
    <w:rsid w:val="002C7578"/>
    <w:rsid w:val="002C7580"/>
    <w:rsid w:val="002D0169"/>
    <w:rsid w:val="002D12EF"/>
    <w:rsid w:val="002D1506"/>
    <w:rsid w:val="002D159F"/>
    <w:rsid w:val="002D15D3"/>
    <w:rsid w:val="002D194B"/>
    <w:rsid w:val="002D29A5"/>
    <w:rsid w:val="002D2D58"/>
    <w:rsid w:val="002D2E3F"/>
    <w:rsid w:val="002D3795"/>
    <w:rsid w:val="002D478C"/>
    <w:rsid w:val="002D4A55"/>
    <w:rsid w:val="002D6280"/>
    <w:rsid w:val="002D6639"/>
    <w:rsid w:val="002D666E"/>
    <w:rsid w:val="002D787C"/>
    <w:rsid w:val="002D7C45"/>
    <w:rsid w:val="002E02AD"/>
    <w:rsid w:val="002E1ACF"/>
    <w:rsid w:val="002E3780"/>
    <w:rsid w:val="002E3E8B"/>
    <w:rsid w:val="002E45A9"/>
    <w:rsid w:val="002E5355"/>
    <w:rsid w:val="002E6979"/>
    <w:rsid w:val="002E7CAA"/>
    <w:rsid w:val="002F419C"/>
    <w:rsid w:val="002F48F5"/>
    <w:rsid w:val="002F588F"/>
    <w:rsid w:val="002F5F31"/>
    <w:rsid w:val="002F6277"/>
    <w:rsid w:val="002F6F76"/>
    <w:rsid w:val="002F7337"/>
    <w:rsid w:val="00302C03"/>
    <w:rsid w:val="00302C07"/>
    <w:rsid w:val="003032CE"/>
    <w:rsid w:val="00303CA9"/>
    <w:rsid w:val="0030486C"/>
    <w:rsid w:val="00304EB4"/>
    <w:rsid w:val="003050EF"/>
    <w:rsid w:val="0030555B"/>
    <w:rsid w:val="00305FF5"/>
    <w:rsid w:val="0030642E"/>
    <w:rsid w:val="00306806"/>
    <w:rsid w:val="003072DA"/>
    <w:rsid w:val="0030788D"/>
    <w:rsid w:val="00307F6C"/>
    <w:rsid w:val="003116E4"/>
    <w:rsid w:val="00311ADF"/>
    <w:rsid w:val="00311DE6"/>
    <w:rsid w:val="0031235D"/>
    <w:rsid w:val="003136D9"/>
    <w:rsid w:val="003160E8"/>
    <w:rsid w:val="00316684"/>
    <w:rsid w:val="00316773"/>
    <w:rsid w:val="003170C3"/>
    <w:rsid w:val="003176F6"/>
    <w:rsid w:val="00321F13"/>
    <w:rsid w:val="00322105"/>
    <w:rsid w:val="0032236C"/>
    <w:rsid w:val="00323431"/>
    <w:rsid w:val="003236C3"/>
    <w:rsid w:val="00323855"/>
    <w:rsid w:val="00324838"/>
    <w:rsid w:val="0032502B"/>
    <w:rsid w:val="00325231"/>
    <w:rsid w:val="0033115F"/>
    <w:rsid w:val="003321CD"/>
    <w:rsid w:val="00332360"/>
    <w:rsid w:val="00333140"/>
    <w:rsid w:val="00333342"/>
    <w:rsid w:val="003342DE"/>
    <w:rsid w:val="00334A0F"/>
    <w:rsid w:val="0033565D"/>
    <w:rsid w:val="003361A7"/>
    <w:rsid w:val="00336B66"/>
    <w:rsid w:val="00337105"/>
    <w:rsid w:val="00337EE6"/>
    <w:rsid w:val="003405A5"/>
    <w:rsid w:val="00341D05"/>
    <w:rsid w:val="00342842"/>
    <w:rsid w:val="00342F85"/>
    <w:rsid w:val="003432C8"/>
    <w:rsid w:val="00343750"/>
    <w:rsid w:val="00343A63"/>
    <w:rsid w:val="003446CC"/>
    <w:rsid w:val="0034487A"/>
    <w:rsid w:val="003464D4"/>
    <w:rsid w:val="00346928"/>
    <w:rsid w:val="00352452"/>
    <w:rsid w:val="0035263C"/>
    <w:rsid w:val="00356BC2"/>
    <w:rsid w:val="00356CF1"/>
    <w:rsid w:val="0035730D"/>
    <w:rsid w:val="0035795C"/>
    <w:rsid w:val="00357E44"/>
    <w:rsid w:val="003604CD"/>
    <w:rsid w:val="0036128E"/>
    <w:rsid w:val="0036268E"/>
    <w:rsid w:val="00362FBA"/>
    <w:rsid w:val="003634EE"/>
    <w:rsid w:val="0036354B"/>
    <w:rsid w:val="003647C7"/>
    <w:rsid w:val="00367818"/>
    <w:rsid w:val="00370252"/>
    <w:rsid w:val="00371290"/>
    <w:rsid w:val="003717EA"/>
    <w:rsid w:val="003727D2"/>
    <w:rsid w:val="00372F2E"/>
    <w:rsid w:val="003732E0"/>
    <w:rsid w:val="003732F7"/>
    <w:rsid w:val="0037421C"/>
    <w:rsid w:val="00375516"/>
    <w:rsid w:val="00375627"/>
    <w:rsid w:val="00375728"/>
    <w:rsid w:val="00375830"/>
    <w:rsid w:val="003758A8"/>
    <w:rsid w:val="00377B91"/>
    <w:rsid w:val="00381B64"/>
    <w:rsid w:val="003828B8"/>
    <w:rsid w:val="00382E15"/>
    <w:rsid w:val="00383A45"/>
    <w:rsid w:val="003865CC"/>
    <w:rsid w:val="00387466"/>
    <w:rsid w:val="00387D34"/>
    <w:rsid w:val="0039044E"/>
    <w:rsid w:val="00390D97"/>
    <w:rsid w:val="00390E3A"/>
    <w:rsid w:val="00391CFA"/>
    <w:rsid w:val="00391F20"/>
    <w:rsid w:val="00393288"/>
    <w:rsid w:val="003936AB"/>
    <w:rsid w:val="00393EA3"/>
    <w:rsid w:val="00394DB2"/>
    <w:rsid w:val="00394FB5"/>
    <w:rsid w:val="0039558D"/>
    <w:rsid w:val="003955D3"/>
    <w:rsid w:val="00395AF0"/>
    <w:rsid w:val="00396364"/>
    <w:rsid w:val="003969C0"/>
    <w:rsid w:val="0039736D"/>
    <w:rsid w:val="003A053C"/>
    <w:rsid w:val="003A0EC8"/>
    <w:rsid w:val="003A1903"/>
    <w:rsid w:val="003A1BC9"/>
    <w:rsid w:val="003A2FEF"/>
    <w:rsid w:val="003A3811"/>
    <w:rsid w:val="003A3B92"/>
    <w:rsid w:val="003A402D"/>
    <w:rsid w:val="003A44E8"/>
    <w:rsid w:val="003B0747"/>
    <w:rsid w:val="003B1D45"/>
    <w:rsid w:val="003B2563"/>
    <w:rsid w:val="003B28EB"/>
    <w:rsid w:val="003B39D0"/>
    <w:rsid w:val="003B5275"/>
    <w:rsid w:val="003B7B0C"/>
    <w:rsid w:val="003C29A2"/>
    <w:rsid w:val="003C39F9"/>
    <w:rsid w:val="003C3D6A"/>
    <w:rsid w:val="003C4114"/>
    <w:rsid w:val="003C4B50"/>
    <w:rsid w:val="003C534E"/>
    <w:rsid w:val="003C545F"/>
    <w:rsid w:val="003C6C11"/>
    <w:rsid w:val="003C7885"/>
    <w:rsid w:val="003D03B5"/>
    <w:rsid w:val="003D0BC7"/>
    <w:rsid w:val="003D4B03"/>
    <w:rsid w:val="003D6557"/>
    <w:rsid w:val="003D660D"/>
    <w:rsid w:val="003D6695"/>
    <w:rsid w:val="003E0ACB"/>
    <w:rsid w:val="003E2D0B"/>
    <w:rsid w:val="003E327C"/>
    <w:rsid w:val="003E37DE"/>
    <w:rsid w:val="003E4703"/>
    <w:rsid w:val="003E4AA5"/>
    <w:rsid w:val="003E4ADD"/>
    <w:rsid w:val="003E51F1"/>
    <w:rsid w:val="003E66D4"/>
    <w:rsid w:val="003E68DA"/>
    <w:rsid w:val="003F1195"/>
    <w:rsid w:val="003F21BF"/>
    <w:rsid w:val="003F320E"/>
    <w:rsid w:val="003F3DEB"/>
    <w:rsid w:val="003F40DA"/>
    <w:rsid w:val="003F5698"/>
    <w:rsid w:val="003F5AF8"/>
    <w:rsid w:val="003F5F8C"/>
    <w:rsid w:val="003F6385"/>
    <w:rsid w:val="003F66C4"/>
    <w:rsid w:val="003F6B8D"/>
    <w:rsid w:val="0040140F"/>
    <w:rsid w:val="0040227E"/>
    <w:rsid w:val="00404424"/>
    <w:rsid w:val="004065D0"/>
    <w:rsid w:val="00407643"/>
    <w:rsid w:val="00410533"/>
    <w:rsid w:val="00410D43"/>
    <w:rsid w:val="0041149B"/>
    <w:rsid w:val="00412C95"/>
    <w:rsid w:val="00412EFD"/>
    <w:rsid w:val="004140FE"/>
    <w:rsid w:val="004162F2"/>
    <w:rsid w:val="004206CC"/>
    <w:rsid w:val="00421BDE"/>
    <w:rsid w:val="00422964"/>
    <w:rsid w:val="0042320F"/>
    <w:rsid w:val="00424165"/>
    <w:rsid w:val="004255BE"/>
    <w:rsid w:val="00425625"/>
    <w:rsid w:val="00425857"/>
    <w:rsid w:val="0042618D"/>
    <w:rsid w:val="0042654A"/>
    <w:rsid w:val="00426B1B"/>
    <w:rsid w:val="004277A4"/>
    <w:rsid w:val="004308E6"/>
    <w:rsid w:val="00431E20"/>
    <w:rsid w:val="00432368"/>
    <w:rsid w:val="0043493C"/>
    <w:rsid w:val="004353EA"/>
    <w:rsid w:val="00440BAC"/>
    <w:rsid w:val="004410FD"/>
    <w:rsid w:val="00441830"/>
    <w:rsid w:val="004435F2"/>
    <w:rsid w:val="004441B4"/>
    <w:rsid w:val="00446562"/>
    <w:rsid w:val="00447EAF"/>
    <w:rsid w:val="00451394"/>
    <w:rsid w:val="0045258B"/>
    <w:rsid w:val="00453517"/>
    <w:rsid w:val="00454E2C"/>
    <w:rsid w:val="00455533"/>
    <w:rsid w:val="00455619"/>
    <w:rsid w:val="004565CB"/>
    <w:rsid w:val="00456C1B"/>
    <w:rsid w:val="00462888"/>
    <w:rsid w:val="00463EA4"/>
    <w:rsid w:val="004645D3"/>
    <w:rsid w:val="00464B3B"/>
    <w:rsid w:val="00464BE2"/>
    <w:rsid w:val="00464E41"/>
    <w:rsid w:val="0046718E"/>
    <w:rsid w:val="00467274"/>
    <w:rsid w:val="004672D4"/>
    <w:rsid w:val="004711BE"/>
    <w:rsid w:val="0047340B"/>
    <w:rsid w:val="0047485D"/>
    <w:rsid w:val="004757A0"/>
    <w:rsid w:val="00477107"/>
    <w:rsid w:val="00477C26"/>
    <w:rsid w:val="00480B3C"/>
    <w:rsid w:val="004827F0"/>
    <w:rsid w:val="00482A7D"/>
    <w:rsid w:val="004831F0"/>
    <w:rsid w:val="00487E0F"/>
    <w:rsid w:val="0049002A"/>
    <w:rsid w:val="00490519"/>
    <w:rsid w:val="00490D4D"/>
    <w:rsid w:val="0049181D"/>
    <w:rsid w:val="00491C23"/>
    <w:rsid w:val="00491E2B"/>
    <w:rsid w:val="00492E2E"/>
    <w:rsid w:val="00494B1F"/>
    <w:rsid w:val="004950FC"/>
    <w:rsid w:val="00495EF3"/>
    <w:rsid w:val="00496645"/>
    <w:rsid w:val="00496B8F"/>
    <w:rsid w:val="0049760F"/>
    <w:rsid w:val="00497C97"/>
    <w:rsid w:val="004A0B56"/>
    <w:rsid w:val="004A15C7"/>
    <w:rsid w:val="004A280B"/>
    <w:rsid w:val="004A3CF9"/>
    <w:rsid w:val="004A57B0"/>
    <w:rsid w:val="004A6061"/>
    <w:rsid w:val="004A6664"/>
    <w:rsid w:val="004A69AB"/>
    <w:rsid w:val="004A7150"/>
    <w:rsid w:val="004A72EC"/>
    <w:rsid w:val="004B0030"/>
    <w:rsid w:val="004B199D"/>
    <w:rsid w:val="004B28FB"/>
    <w:rsid w:val="004B3DF6"/>
    <w:rsid w:val="004B4056"/>
    <w:rsid w:val="004B4D0D"/>
    <w:rsid w:val="004B78B3"/>
    <w:rsid w:val="004B7E36"/>
    <w:rsid w:val="004C168D"/>
    <w:rsid w:val="004C29D3"/>
    <w:rsid w:val="004C4080"/>
    <w:rsid w:val="004C4141"/>
    <w:rsid w:val="004C5968"/>
    <w:rsid w:val="004C72AF"/>
    <w:rsid w:val="004C7DFD"/>
    <w:rsid w:val="004D070C"/>
    <w:rsid w:val="004D0A79"/>
    <w:rsid w:val="004D0A90"/>
    <w:rsid w:val="004D1D74"/>
    <w:rsid w:val="004D1E5D"/>
    <w:rsid w:val="004D2378"/>
    <w:rsid w:val="004D4446"/>
    <w:rsid w:val="004D48EE"/>
    <w:rsid w:val="004D59A1"/>
    <w:rsid w:val="004D5D17"/>
    <w:rsid w:val="004D5D73"/>
    <w:rsid w:val="004D66FE"/>
    <w:rsid w:val="004D74F0"/>
    <w:rsid w:val="004E0046"/>
    <w:rsid w:val="004E1061"/>
    <w:rsid w:val="004E1604"/>
    <w:rsid w:val="004E22EE"/>
    <w:rsid w:val="004E267F"/>
    <w:rsid w:val="004E27CB"/>
    <w:rsid w:val="004E349C"/>
    <w:rsid w:val="004E3572"/>
    <w:rsid w:val="004E3ECD"/>
    <w:rsid w:val="004E5BDF"/>
    <w:rsid w:val="004E5CFE"/>
    <w:rsid w:val="004F0127"/>
    <w:rsid w:val="004F2327"/>
    <w:rsid w:val="004F2366"/>
    <w:rsid w:val="004F5999"/>
    <w:rsid w:val="004F7589"/>
    <w:rsid w:val="004F77B6"/>
    <w:rsid w:val="004F7FE4"/>
    <w:rsid w:val="005000DE"/>
    <w:rsid w:val="005005AC"/>
    <w:rsid w:val="00501504"/>
    <w:rsid w:val="00501CF5"/>
    <w:rsid w:val="00503A35"/>
    <w:rsid w:val="0050673D"/>
    <w:rsid w:val="00506C2B"/>
    <w:rsid w:val="00507DC6"/>
    <w:rsid w:val="00510535"/>
    <w:rsid w:val="0051066F"/>
    <w:rsid w:val="00510675"/>
    <w:rsid w:val="00511C01"/>
    <w:rsid w:val="005127CC"/>
    <w:rsid w:val="005129A8"/>
    <w:rsid w:val="00514417"/>
    <w:rsid w:val="0051446C"/>
    <w:rsid w:val="005144F1"/>
    <w:rsid w:val="0051498B"/>
    <w:rsid w:val="0051567F"/>
    <w:rsid w:val="00515B9D"/>
    <w:rsid w:val="00517038"/>
    <w:rsid w:val="00520FF1"/>
    <w:rsid w:val="00524961"/>
    <w:rsid w:val="0052545D"/>
    <w:rsid w:val="00526976"/>
    <w:rsid w:val="00527197"/>
    <w:rsid w:val="0052732D"/>
    <w:rsid w:val="00527D70"/>
    <w:rsid w:val="00530772"/>
    <w:rsid w:val="00536C9B"/>
    <w:rsid w:val="005404D2"/>
    <w:rsid w:val="00540B02"/>
    <w:rsid w:val="00540D4D"/>
    <w:rsid w:val="00543280"/>
    <w:rsid w:val="00543EEF"/>
    <w:rsid w:val="005446B5"/>
    <w:rsid w:val="00545D1B"/>
    <w:rsid w:val="00546494"/>
    <w:rsid w:val="00547026"/>
    <w:rsid w:val="00547E05"/>
    <w:rsid w:val="00547E81"/>
    <w:rsid w:val="00550BA9"/>
    <w:rsid w:val="00551681"/>
    <w:rsid w:val="00552D1D"/>
    <w:rsid w:val="005538EF"/>
    <w:rsid w:val="00555790"/>
    <w:rsid w:val="005566D1"/>
    <w:rsid w:val="005578B6"/>
    <w:rsid w:val="005608FD"/>
    <w:rsid w:val="00561959"/>
    <w:rsid w:val="005631D1"/>
    <w:rsid w:val="0056338D"/>
    <w:rsid w:val="00563CEE"/>
    <w:rsid w:val="00564E05"/>
    <w:rsid w:val="0056550E"/>
    <w:rsid w:val="00566925"/>
    <w:rsid w:val="00567BEA"/>
    <w:rsid w:val="005708C8"/>
    <w:rsid w:val="005710DA"/>
    <w:rsid w:val="00571EA7"/>
    <w:rsid w:val="0057207C"/>
    <w:rsid w:val="005764A5"/>
    <w:rsid w:val="005777FA"/>
    <w:rsid w:val="0058164B"/>
    <w:rsid w:val="00582E2F"/>
    <w:rsid w:val="005840DD"/>
    <w:rsid w:val="00584AB2"/>
    <w:rsid w:val="00584B51"/>
    <w:rsid w:val="00585723"/>
    <w:rsid w:val="00586BFE"/>
    <w:rsid w:val="0058703B"/>
    <w:rsid w:val="005872C0"/>
    <w:rsid w:val="005919F8"/>
    <w:rsid w:val="005925A1"/>
    <w:rsid w:val="00594845"/>
    <w:rsid w:val="00595D03"/>
    <w:rsid w:val="00596476"/>
    <w:rsid w:val="005A2554"/>
    <w:rsid w:val="005A384C"/>
    <w:rsid w:val="005A4374"/>
    <w:rsid w:val="005A7276"/>
    <w:rsid w:val="005A76D3"/>
    <w:rsid w:val="005A7EA0"/>
    <w:rsid w:val="005B0012"/>
    <w:rsid w:val="005B27AC"/>
    <w:rsid w:val="005B2DAC"/>
    <w:rsid w:val="005B36FC"/>
    <w:rsid w:val="005B6ED7"/>
    <w:rsid w:val="005B7245"/>
    <w:rsid w:val="005B772B"/>
    <w:rsid w:val="005B78B4"/>
    <w:rsid w:val="005C0FBB"/>
    <w:rsid w:val="005C1725"/>
    <w:rsid w:val="005C2A57"/>
    <w:rsid w:val="005C3172"/>
    <w:rsid w:val="005C56AA"/>
    <w:rsid w:val="005C5DAF"/>
    <w:rsid w:val="005C5EE0"/>
    <w:rsid w:val="005C6364"/>
    <w:rsid w:val="005C7993"/>
    <w:rsid w:val="005C7E4D"/>
    <w:rsid w:val="005D108C"/>
    <w:rsid w:val="005D12BF"/>
    <w:rsid w:val="005D1302"/>
    <w:rsid w:val="005D1A27"/>
    <w:rsid w:val="005D225C"/>
    <w:rsid w:val="005D2DE5"/>
    <w:rsid w:val="005D3FC4"/>
    <w:rsid w:val="005D4779"/>
    <w:rsid w:val="005D4D0A"/>
    <w:rsid w:val="005D545F"/>
    <w:rsid w:val="005D66D3"/>
    <w:rsid w:val="005E15E2"/>
    <w:rsid w:val="005E1799"/>
    <w:rsid w:val="005E3FD8"/>
    <w:rsid w:val="005E4009"/>
    <w:rsid w:val="005E40A5"/>
    <w:rsid w:val="005E4CD9"/>
    <w:rsid w:val="005E7B98"/>
    <w:rsid w:val="005F09B5"/>
    <w:rsid w:val="005F18D2"/>
    <w:rsid w:val="005F27C8"/>
    <w:rsid w:val="005F2D2F"/>
    <w:rsid w:val="005F382C"/>
    <w:rsid w:val="005F4CD8"/>
    <w:rsid w:val="005F5385"/>
    <w:rsid w:val="005F53B8"/>
    <w:rsid w:val="005F585D"/>
    <w:rsid w:val="005F5C63"/>
    <w:rsid w:val="005F7A5B"/>
    <w:rsid w:val="005F7CFB"/>
    <w:rsid w:val="0060124C"/>
    <w:rsid w:val="00601445"/>
    <w:rsid w:val="0060151B"/>
    <w:rsid w:val="006016FB"/>
    <w:rsid w:val="00603E08"/>
    <w:rsid w:val="006064A0"/>
    <w:rsid w:val="006068E6"/>
    <w:rsid w:val="00606BEE"/>
    <w:rsid w:val="00607C3D"/>
    <w:rsid w:val="00607F20"/>
    <w:rsid w:val="00611C7C"/>
    <w:rsid w:val="00613EEE"/>
    <w:rsid w:val="00617781"/>
    <w:rsid w:val="00617F6B"/>
    <w:rsid w:val="00620F67"/>
    <w:rsid w:val="006211B5"/>
    <w:rsid w:val="00621FD0"/>
    <w:rsid w:val="0062213C"/>
    <w:rsid w:val="006224BE"/>
    <w:rsid w:val="0062287B"/>
    <w:rsid w:val="006237A8"/>
    <w:rsid w:val="006237C7"/>
    <w:rsid w:val="00624BD2"/>
    <w:rsid w:val="00625404"/>
    <w:rsid w:val="00625906"/>
    <w:rsid w:val="00625A94"/>
    <w:rsid w:val="00626D81"/>
    <w:rsid w:val="00627948"/>
    <w:rsid w:val="006279DE"/>
    <w:rsid w:val="00627B7A"/>
    <w:rsid w:val="00627E7C"/>
    <w:rsid w:val="006300A0"/>
    <w:rsid w:val="00630F6A"/>
    <w:rsid w:val="006314EE"/>
    <w:rsid w:val="00631A8F"/>
    <w:rsid w:val="006336DB"/>
    <w:rsid w:val="00634A48"/>
    <w:rsid w:val="006353AB"/>
    <w:rsid w:val="00635A69"/>
    <w:rsid w:val="00637CB4"/>
    <w:rsid w:val="006402BC"/>
    <w:rsid w:val="0064086F"/>
    <w:rsid w:val="0064116B"/>
    <w:rsid w:val="0064135E"/>
    <w:rsid w:val="006413FC"/>
    <w:rsid w:val="00642B57"/>
    <w:rsid w:val="00642EF2"/>
    <w:rsid w:val="00643B89"/>
    <w:rsid w:val="00643D1F"/>
    <w:rsid w:val="00643EA5"/>
    <w:rsid w:val="006458A5"/>
    <w:rsid w:val="0064742B"/>
    <w:rsid w:val="00647F92"/>
    <w:rsid w:val="00652DA9"/>
    <w:rsid w:val="006534F6"/>
    <w:rsid w:val="00654B11"/>
    <w:rsid w:val="00655AA0"/>
    <w:rsid w:val="00656B91"/>
    <w:rsid w:val="00657400"/>
    <w:rsid w:val="00657A5D"/>
    <w:rsid w:val="006601FC"/>
    <w:rsid w:val="00661589"/>
    <w:rsid w:val="00662482"/>
    <w:rsid w:val="00662525"/>
    <w:rsid w:val="0066686F"/>
    <w:rsid w:val="00666CE8"/>
    <w:rsid w:val="00672D38"/>
    <w:rsid w:val="00674180"/>
    <w:rsid w:val="00674486"/>
    <w:rsid w:val="0067536D"/>
    <w:rsid w:val="00677329"/>
    <w:rsid w:val="00677396"/>
    <w:rsid w:val="00677AB2"/>
    <w:rsid w:val="00680DC8"/>
    <w:rsid w:val="0068264F"/>
    <w:rsid w:val="006837EC"/>
    <w:rsid w:val="00684F51"/>
    <w:rsid w:val="00685F60"/>
    <w:rsid w:val="00687C47"/>
    <w:rsid w:val="006901FD"/>
    <w:rsid w:val="00692294"/>
    <w:rsid w:val="00692D77"/>
    <w:rsid w:val="00693A09"/>
    <w:rsid w:val="00694236"/>
    <w:rsid w:val="006954B5"/>
    <w:rsid w:val="00696B8F"/>
    <w:rsid w:val="00696F80"/>
    <w:rsid w:val="00697028"/>
    <w:rsid w:val="006A0861"/>
    <w:rsid w:val="006A0C72"/>
    <w:rsid w:val="006A13E6"/>
    <w:rsid w:val="006A16F3"/>
    <w:rsid w:val="006A1825"/>
    <w:rsid w:val="006A2CA3"/>
    <w:rsid w:val="006A3055"/>
    <w:rsid w:val="006A3DF4"/>
    <w:rsid w:val="006A4087"/>
    <w:rsid w:val="006A7EBF"/>
    <w:rsid w:val="006B11D3"/>
    <w:rsid w:val="006B2CEC"/>
    <w:rsid w:val="006B48B1"/>
    <w:rsid w:val="006B58AE"/>
    <w:rsid w:val="006B6641"/>
    <w:rsid w:val="006C1DA1"/>
    <w:rsid w:val="006C3113"/>
    <w:rsid w:val="006C365E"/>
    <w:rsid w:val="006C389F"/>
    <w:rsid w:val="006C38E2"/>
    <w:rsid w:val="006C4F00"/>
    <w:rsid w:val="006D0A7F"/>
    <w:rsid w:val="006D1A04"/>
    <w:rsid w:val="006D2A2A"/>
    <w:rsid w:val="006D3BF5"/>
    <w:rsid w:val="006D46FC"/>
    <w:rsid w:val="006D5541"/>
    <w:rsid w:val="006D5551"/>
    <w:rsid w:val="006D59D1"/>
    <w:rsid w:val="006D6163"/>
    <w:rsid w:val="006E0A10"/>
    <w:rsid w:val="006E0B03"/>
    <w:rsid w:val="006E14A8"/>
    <w:rsid w:val="006E1A3C"/>
    <w:rsid w:val="006E234D"/>
    <w:rsid w:val="006E2A1E"/>
    <w:rsid w:val="006E2FED"/>
    <w:rsid w:val="006E30DD"/>
    <w:rsid w:val="006E43FA"/>
    <w:rsid w:val="006E49AE"/>
    <w:rsid w:val="006E5950"/>
    <w:rsid w:val="006E5D22"/>
    <w:rsid w:val="006E687B"/>
    <w:rsid w:val="006F012E"/>
    <w:rsid w:val="006F03CD"/>
    <w:rsid w:val="006F0ECD"/>
    <w:rsid w:val="006F1992"/>
    <w:rsid w:val="006F2DC3"/>
    <w:rsid w:val="006F434C"/>
    <w:rsid w:val="006F4593"/>
    <w:rsid w:val="006F5885"/>
    <w:rsid w:val="006F5C18"/>
    <w:rsid w:val="006F632D"/>
    <w:rsid w:val="006F6AED"/>
    <w:rsid w:val="006F6F5B"/>
    <w:rsid w:val="006F72C7"/>
    <w:rsid w:val="006F7AE4"/>
    <w:rsid w:val="00700615"/>
    <w:rsid w:val="0070077E"/>
    <w:rsid w:val="00700969"/>
    <w:rsid w:val="007023E2"/>
    <w:rsid w:val="007027F2"/>
    <w:rsid w:val="00705394"/>
    <w:rsid w:val="00705A69"/>
    <w:rsid w:val="007062A6"/>
    <w:rsid w:val="00706586"/>
    <w:rsid w:val="00706666"/>
    <w:rsid w:val="00706778"/>
    <w:rsid w:val="007071C4"/>
    <w:rsid w:val="00707C8A"/>
    <w:rsid w:val="00707F49"/>
    <w:rsid w:val="00710406"/>
    <w:rsid w:val="00711709"/>
    <w:rsid w:val="00711926"/>
    <w:rsid w:val="00711C49"/>
    <w:rsid w:val="00712190"/>
    <w:rsid w:val="00712B3C"/>
    <w:rsid w:val="0071350B"/>
    <w:rsid w:val="007157AC"/>
    <w:rsid w:val="00715D45"/>
    <w:rsid w:val="007162F3"/>
    <w:rsid w:val="007177FC"/>
    <w:rsid w:val="00717EC0"/>
    <w:rsid w:val="0072032E"/>
    <w:rsid w:val="00721A30"/>
    <w:rsid w:val="00721F9D"/>
    <w:rsid w:val="0072304F"/>
    <w:rsid w:val="00725093"/>
    <w:rsid w:val="00725094"/>
    <w:rsid w:val="00725391"/>
    <w:rsid w:val="007253AF"/>
    <w:rsid w:val="007253DD"/>
    <w:rsid w:val="00725DD3"/>
    <w:rsid w:val="0072637D"/>
    <w:rsid w:val="007300E7"/>
    <w:rsid w:val="00730898"/>
    <w:rsid w:val="00731F5B"/>
    <w:rsid w:val="007321EB"/>
    <w:rsid w:val="00732811"/>
    <w:rsid w:val="00733A0B"/>
    <w:rsid w:val="00734247"/>
    <w:rsid w:val="00734FCF"/>
    <w:rsid w:val="007353E4"/>
    <w:rsid w:val="00736962"/>
    <w:rsid w:val="00736FD0"/>
    <w:rsid w:val="007372FD"/>
    <w:rsid w:val="007375E3"/>
    <w:rsid w:val="0074053D"/>
    <w:rsid w:val="0074105F"/>
    <w:rsid w:val="0074108B"/>
    <w:rsid w:val="00741F82"/>
    <w:rsid w:val="0074545C"/>
    <w:rsid w:val="007473A4"/>
    <w:rsid w:val="00747695"/>
    <w:rsid w:val="00750B5A"/>
    <w:rsid w:val="00752139"/>
    <w:rsid w:val="0075386C"/>
    <w:rsid w:val="0075395F"/>
    <w:rsid w:val="00753C24"/>
    <w:rsid w:val="00753C68"/>
    <w:rsid w:val="00753D8A"/>
    <w:rsid w:val="007552E9"/>
    <w:rsid w:val="00755B68"/>
    <w:rsid w:val="00755D4E"/>
    <w:rsid w:val="00757A6F"/>
    <w:rsid w:val="00757D8B"/>
    <w:rsid w:val="00760ABD"/>
    <w:rsid w:val="00760D06"/>
    <w:rsid w:val="00763516"/>
    <w:rsid w:val="00763C79"/>
    <w:rsid w:val="00764AF8"/>
    <w:rsid w:val="007659CB"/>
    <w:rsid w:val="0076679F"/>
    <w:rsid w:val="0076719B"/>
    <w:rsid w:val="00772AF2"/>
    <w:rsid w:val="007765E6"/>
    <w:rsid w:val="00777C1E"/>
    <w:rsid w:val="0078105C"/>
    <w:rsid w:val="007811A9"/>
    <w:rsid w:val="007813DC"/>
    <w:rsid w:val="00782036"/>
    <w:rsid w:val="007825DD"/>
    <w:rsid w:val="00783032"/>
    <w:rsid w:val="007830BD"/>
    <w:rsid w:val="007863F2"/>
    <w:rsid w:val="00787557"/>
    <w:rsid w:val="007908D7"/>
    <w:rsid w:val="00790B7F"/>
    <w:rsid w:val="007924E7"/>
    <w:rsid w:val="007926EA"/>
    <w:rsid w:val="00793A1B"/>
    <w:rsid w:val="00794F80"/>
    <w:rsid w:val="007964F6"/>
    <w:rsid w:val="00797704"/>
    <w:rsid w:val="007A0353"/>
    <w:rsid w:val="007A1FEF"/>
    <w:rsid w:val="007A206E"/>
    <w:rsid w:val="007A22C8"/>
    <w:rsid w:val="007A3B2C"/>
    <w:rsid w:val="007A3DE0"/>
    <w:rsid w:val="007A456C"/>
    <w:rsid w:val="007A4E88"/>
    <w:rsid w:val="007A5DFF"/>
    <w:rsid w:val="007A5E30"/>
    <w:rsid w:val="007B03F1"/>
    <w:rsid w:val="007B0410"/>
    <w:rsid w:val="007B402E"/>
    <w:rsid w:val="007B5309"/>
    <w:rsid w:val="007C21FC"/>
    <w:rsid w:val="007C25ED"/>
    <w:rsid w:val="007C27BE"/>
    <w:rsid w:val="007C2B46"/>
    <w:rsid w:val="007C379A"/>
    <w:rsid w:val="007C4A16"/>
    <w:rsid w:val="007C56D9"/>
    <w:rsid w:val="007C5892"/>
    <w:rsid w:val="007C5E08"/>
    <w:rsid w:val="007C643C"/>
    <w:rsid w:val="007C73FB"/>
    <w:rsid w:val="007C7B7E"/>
    <w:rsid w:val="007D0E99"/>
    <w:rsid w:val="007D213F"/>
    <w:rsid w:val="007D4F25"/>
    <w:rsid w:val="007D67AA"/>
    <w:rsid w:val="007E0512"/>
    <w:rsid w:val="007E13DF"/>
    <w:rsid w:val="007E3029"/>
    <w:rsid w:val="007E3397"/>
    <w:rsid w:val="007E5C01"/>
    <w:rsid w:val="007E690D"/>
    <w:rsid w:val="007E7813"/>
    <w:rsid w:val="007E7829"/>
    <w:rsid w:val="007E7CBA"/>
    <w:rsid w:val="007E7E95"/>
    <w:rsid w:val="007F04A9"/>
    <w:rsid w:val="007F0DB3"/>
    <w:rsid w:val="007F1A3F"/>
    <w:rsid w:val="007F1B62"/>
    <w:rsid w:val="007F3015"/>
    <w:rsid w:val="007F3A0D"/>
    <w:rsid w:val="007F5547"/>
    <w:rsid w:val="007F5E96"/>
    <w:rsid w:val="007F7023"/>
    <w:rsid w:val="00801248"/>
    <w:rsid w:val="00802738"/>
    <w:rsid w:val="0080294B"/>
    <w:rsid w:val="00802B73"/>
    <w:rsid w:val="00802C0A"/>
    <w:rsid w:val="00802DE3"/>
    <w:rsid w:val="00802F27"/>
    <w:rsid w:val="00804008"/>
    <w:rsid w:val="008057D0"/>
    <w:rsid w:val="008059C3"/>
    <w:rsid w:val="008065E2"/>
    <w:rsid w:val="00810805"/>
    <w:rsid w:val="00810F8E"/>
    <w:rsid w:val="00811532"/>
    <w:rsid w:val="00811560"/>
    <w:rsid w:val="00811A21"/>
    <w:rsid w:val="00811AE6"/>
    <w:rsid w:val="00812B84"/>
    <w:rsid w:val="00813580"/>
    <w:rsid w:val="00813E5E"/>
    <w:rsid w:val="00816EBC"/>
    <w:rsid w:val="00817894"/>
    <w:rsid w:val="0082109D"/>
    <w:rsid w:val="0082132F"/>
    <w:rsid w:val="0082332A"/>
    <w:rsid w:val="00823A0C"/>
    <w:rsid w:val="00825258"/>
    <w:rsid w:val="00825732"/>
    <w:rsid w:val="00826578"/>
    <w:rsid w:val="00830255"/>
    <w:rsid w:val="00830BE8"/>
    <w:rsid w:val="00830EEA"/>
    <w:rsid w:val="0083160C"/>
    <w:rsid w:val="00831815"/>
    <w:rsid w:val="0083211C"/>
    <w:rsid w:val="00832735"/>
    <w:rsid w:val="008331ED"/>
    <w:rsid w:val="0083364B"/>
    <w:rsid w:val="008347CF"/>
    <w:rsid w:val="008350FD"/>
    <w:rsid w:val="00835F2E"/>
    <w:rsid w:val="00836199"/>
    <w:rsid w:val="00836B34"/>
    <w:rsid w:val="008374F7"/>
    <w:rsid w:val="00837779"/>
    <w:rsid w:val="00837D5E"/>
    <w:rsid w:val="0084055B"/>
    <w:rsid w:val="00840BD6"/>
    <w:rsid w:val="0084283C"/>
    <w:rsid w:val="00842A28"/>
    <w:rsid w:val="00843D68"/>
    <w:rsid w:val="00845DE4"/>
    <w:rsid w:val="00847370"/>
    <w:rsid w:val="00851B3C"/>
    <w:rsid w:val="0085232F"/>
    <w:rsid w:val="0085370C"/>
    <w:rsid w:val="00854337"/>
    <w:rsid w:val="0085474A"/>
    <w:rsid w:val="00855355"/>
    <w:rsid w:val="00855FE8"/>
    <w:rsid w:val="00856A22"/>
    <w:rsid w:val="00856C29"/>
    <w:rsid w:val="008572E2"/>
    <w:rsid w:val="008632A4"/>
    <w:rsid w:val="008644C1"/>
    <w:rsid w:val="008653EA"/>
    <w:rsid w:val="0086588F"/>
    <w:rsid w:val="00866CBE"/>
    <w:rsid w:val="00866E45"/>
    <w:rsid w:val="008672AF"/>
    <w:rsid w:val="0086767B"/>
    <w:rsid w:val="008703AF"/>
    <w:rsid w:val="0087053F"/>
    <w:rsid w:val="0087175A"/>
    <w:rsid w:val="008717D3"/>
    <w:rsid w:val="00871AF2"/>
    <w:rsid w:val="0087215A"/>
    <w:rsid w:val="0087222F"/>
    <w:rsid w:val="0087256B"/>
    <w:rsid w:val="00872C86"/>
    <w:rsid w:val="008742EE"/>
    <w:rsid w:val="00874387"/>
    <w:rsid w:val="008750B0"/>
    <w:rsid w:val="00876E87"/>
    <w:rsid w:val="00877A54"/>
    <w:rsid w:val="00877E79"/>
    <w:rsid w:val="00880F6C"/>
    <w:rsid w:val="008826AD"/>
    <w:rsid w:val="008838F4"/>
    <w:rsid w:val="0088432E"/>
    <w:rsid w:val="0088567C"/>
    <w:rsid w:val="00886DD5"/>
    <w:rsid w:val="00887534"/>
    <w:rsid w:val="00887DE7"/>
    <w:rsid w:val="008920FE"/>
    <w:rsid w:val="00892134"/>
    <w:rsid w:val="00894201"/>
    <w:rsid w:val="008946FD"/>
    <w:rsid w:val="00895B01"/>
    <w:rsid w:val="00895C0C"/>
    <w:rsid w:val="008965C1"/>
    <w:rsid w:val="00897445"/>
    <w:rsid w:val="00897C06"/>
    <w:rsid w:val="008A2281"/>
    <w:rsid w:val="008A27AE"/>
    <w:rsid w:val="008A3095"/>
    <w:rsid w:val="008A4596"/>
    <w:rsid w:val="008A6D72"/>
    <w:rsid w:val="008A7809"/>
    <w:rsid w:val="008A7F6D"/>
    <w:rsid w:val="008B0563"/>
    <w:rsid w:val="008B0FB5"/>
    <w:rsid w:val="008B1A8E"/>
    <w:rsid w:val="008B259F"/>
    <w:rsid w:val="008B30D3"/>
    <w:rsid w:val="008B3EF3"/>
    <w:rsid w:val="008B4CED"/>
    <w:rsid w:val="008B592F"/>
    <w:rsid w:val="008B70F1"/>
    <w:rsid w:val="008B714D"/>
    <w:rsid w:val="008B7186"/>
    <w:rsid w:val="008C17FD"/>
    <w:rsid w:val="008C1CF9"/>
    <w:rsid w:val="008C4FCF"/>
    <w:rsid w:val="008C5A1E"/>
    <w:rsid w:val="008C6F3D"/>
    <w:rsid w:val="008D060E"/>
    <w:rsid w:val="008D09B8"/>
    <w:rsid w:val="008D1E61"/>
    <w:rsid w:val="008D21CE"/>
    <w:rsid w:val="008D22FC"/>
    <w:rsid w:val="008D40AA"/>
    <w:rsid w:val="008D45DF"/>
    <w:rsid w:val="008D536B"/>
    <w:rsid w:val="008D611A"/>
    <w:rsid w:val="008D62D4"/>
    <w:rsid w:val="008D6620"/>
    <w:rsid w:val="008D6BFF"/>
    <w:rsid w:val="008D6FE7"/>
    <w:rsid w:val="008E1A43"/>
    <w:rsid w:val="008E1CD1"/>
    <w:rsid w:val="008E1E1E"/>
    <w:rsid w:val="008E28B4"/>
    <w:rsid w:val="008E2BE8"/>
    <w:rsid w:val="008E3B4C"/>
    <w:rsid w:val="008E4704"/>
    <w:rsid w:val="008E4F8B"/>
    <w:rsid w:val="008E5AFC"/>
    <w:rsid w:val="008E6CF9"/>
    <w:rsid w:val="008E6E62"/>
    <w:rsid w:val="008F080D"/>
    <w:rsid w:val="008F1015"/>
    <w:rsid w:val="008F1C30"/>
    <w:rsid w:val="008F1E81"/>
    <w:rsid w:val="008F2FD8"/>
    <w:rsid w:val="008F341E"/>
    <w:rsid w:val="008F3D45"/>
    <w:rsid w:val="008F41B7"/>
    <w:rsid w:val="008F60F9"/>
    <w:rsid w:val="008F639F"/>
    <w:rsid w:val="008F676C"/>
    <w:rsid w:val="008F7351"/>
    <w:rsid w:val="008F7C3C"/>
    <w:rsid w:val="0090027B"/>
    <w:rsid w:val="009002CE"/>
    <w:rsid w:val="00900403"/>
    <w:rsid w:val="009007FA"/>
    <w:rsid w:val="00902277"/>
    <w:rsid w:val="009025FE"/>
    <w:rsid w:val="009042F4"/>
    <w:rsid w:val="00905E9D"/>
    <w:rsid w:val="009061C4"/>
    <w:rsid w:val="009068B0"/>
    <w:rsid w:val="0090787A"/>
    <w:rsid w:val="009104A7"/>
    <w:rsid w:val="0091148D"/>
    <w:rsid w:val="00911CAC"/>
    <w:rsid w:val="00912D37"/>
    <w:rsid w:val="00912DC5"/>
    <w:rsid w:val="009132EA"/>
    <w:rsid w:val="009134C4"/>
    <w:rsid w:val="00913D18"/>
    <w:rsid w:val="009143A1"/>
    <w:rsid w:val="00914C1A"/>
    <w:rsid w:val="00914C30"/>
    <w:rsid w:val="009165DB"/>
    <w:rsid w:val="00917084"/>
    <w:rsid w:val="00920773"/>
    <w:rsid w:val="009225EF"/>
    <w:rsid w:val="00922612"/>
    <w:rsid w:val="00923148"/>
    <w:rsid w:val="0092343C"/>
    <w:rsid w:val="009247A0"/>
    <w:rsid w:val="00927584"/>
    <w:rsid w:val="00927CEF"/>
    <w:rsid w:val="0093003B"/>
    <w:rsid w:val="0093079F"/>
    <w:rsid w:val="00930C11"/>
    <w:rsid w:val="00932A30"/>
    <w:rsid w:val="00933E20"/>
    <w:rsid w:val="00933E31"/>
    <w:rsid w:val="0093430A"/>
    <w:rsid w:val="0093663E"/>
    <w:rsid w:val="00936C26"/>
    <w:rsid w:val="00936C6D"/>
    <w:rsid w:val="00942980"/>
    <w:rsid w:val="00943B41"/>
    <w:rsid w:val="00943DF2"/>
    <w:rsid w:val="00944BA1"/>
    <w:rsid w:val="00944DC6"/>
    <w:rsid w:val="00945AD3"/>
    <w:rsid w:val="0094655C"/>
    <w:rsid w:val="00946D39"/>
    <w:rsid w:val="00947C6E"/>
    <w:rsid w:val="009513D7"/>
    <w:rsid w:val="009515E7"/>
    <w:rsid w:val="00951FAB"/>
    <w:rsid w:val="00954676"/>
    <w:rsid w:val="00954E9A"/>
    <w:rsid w:val="00955C62"/>
    <w:rsid w:val="00956A45"/>
    <w:rsid w:val="00956DE2"/>
    <w:rsid w:val="00956F51"/>
    <w:rsid w:val="00960966"/>
    <w:rsid w:val="00960C26"/>
    <w:rsid w:val="00961F0E"/>
    <w:rsid w:val="00961FAE"/>
    <w:rsid w:val="00964CAA"/>
    <w:rsid w:val="009666D4"/>
    <w:rsid w:val="00966CCB"/>
    <w:rsid w:val="00966EB4"/>
    <w:rsid w:val="00967412"/>
    <w:rsid w:val="009676AB"/>
    <w:rsid w:val="00970227"/>
    <w:rsid w:val="00971308"/>
    <w:rsid w:val="00971C54"/>
    <w:rsid w:val="00972029"/>
    <w:rsid w:val="009725B5"/>
    <w:rsid w:val="00972637"/>
    <w:rsid w:val="00973BC7"/>
    <w:rsid w:val="009746E9"/>
    <w:rsid w:val="00975E39"/>
    <w:rsid w:val="009767E6"/>
    <w:rsid w:val="00976CA1"/>
    <w:rsid w:val="00977007"/>
    <w:rsid w:val="00977810"/>
    <w:rsid w:val="00980CBA"/>
    <w:rsid w:val="009823BC"/>
    <w:rsid w:val="00982516"/>
    <w:rsid w:val="00982A98"/>
    <w:rsid w:val="00982B10"/>
    <w:rsid w:val="00983624"/>
    <w:rsid w:val="00983968"/>
    <w:rsid w:val="00985447"/>
    <w:rsid w:val="00987BB7"/>
    <w:rsid w:val="00987C1E"/>
    <w:rsid w:val="009917CF"/>
    <w:rsid w:val="009927C9"/>
    <w:rsid w:val="00992EB4"/>
    <w:rsid w:val="00993705"/>
    <w:rsid w:val="0099392A"/>
    <w:rsid w:val="009955BD"/>
    <w:rsid w:val="00996F1B"/>
    <w:rsid w:val="00997AE6"/>
    <w:rsid w:val="009A0EEF"/>
    <w:rsid w:val="009A346F"/>
    <w:rsid w:val="009A3D90"/>
    <w:rsid w:val="009A3E3C"/>
    <w:rsid w:val="009A458F"/>
    <w:rsid w:val="009A6219"/>
    <w:rsid w:val="009A793A"/>
    <w:rsid w:val="009B0087"/>
    <w:rsid w:val="009B037A"/>
    <w:rsid w:val="009B3F81"/>
    <w:rsid w:val="009B4B3D"/>
    <w:rsid w:val="009B4DE9"/>
    <w:rsid w:val="009B4E7D"/>
    <w:rsid w:val="009B5781"/>
    <w:rsid w:val="009B5C8E"/>
    <w:rsid w:val="009B613B"/>
    <w:rsid w:val="009B6860"/>
    <w:rsid w:val="009C19C6"/>
    <w:rsid w:val="009C246B"/>
    <w:rsid w:val="009C264B"/>
    <w:rsid w:val="009C27D2"/>
    <w:rsid w:val="009C2B64"/>
    <w:rsid w:val="009C41D0"/>
    <w:rsid w:val="009C6192"/>
    <w:rsid w:val="009C62CA"/>
    <w:rsid w:val="009C67FA"/>
    <w:rsid w:val="009C759B"/>
    <w:rsid w:val="009C75E2"/>
    <w:rsid w:val="009C799C"/>
    <w:rsid w:val="009D0D68"/>
    <w:rsid w:val="009D1A3E"/>
    <w:rsid w:val="009D25C6"/>
    <w:rsid w:val="009D375D"/>
    <w:rsid w:val="009D38EB"/>
    <w:rsid w:val="009D3B13"/>
    <w:rsid w:val="009D3D3F"/>
    <w:rsid w:val="009D4567"/>
    <w:rsid w:val="009D4CC8"/>
    <w:rsid w:val="009D4E96"/>
    <w:rsid w:val="009D4F57"/>
    <w:rsid w:val="009D6AAD"/>
    <w:rsid w:val="009D737D"/>
    <w:rsid w:val="009D7C75"/>
    <w:rsid w:val="009D7FF6"/>
    <w:rsid w:val="009E03A1"/>
    <w:rsid w:val="009E0488"/>
    <w:rsid w:val="009E090D"/>
    <w:rsid w:val="009E10B5"/>
    <w:rsid w:val="009E166B"/>
    <w:rsid w:val="009E200C"/>
    <w:rsid w:val="009E2DEB"/>
    <w:rsid w:val="009E47B7"/>
    <w:rsid w:val="009E5E65"/>
    <w:rsid w:val="009E5F98"/>
    <w:rsid w:val="009E60A9"/>
    <w:rsid w:val="009E61A6"/>
    <w:rsid w:val="009E6382"/>
    <w:rsid w:val="009E720A"/>
    <w:rsid w:val="009E726E"/>
    <w:rsid w:val="009E7487"/>
    <w:rsid w:val="009F0949"/>
    <w:rsid w:val="009F0AB4"/>
    <w:rsid w:val="009F131D"/>
    <w:rsid w:val="009F1A96"/>
    <w:rsid w:val="009F3701"/>
    <w:rsid w:val="009F4B8A"/>
    <w:rsid w:val="009F57ED"/>
    <w:rsid w:val="009F7024"/>
    <w:rsid w:val="009F7641"/>
    <w:rsid w:val="009F7ED1"/>
    <w:rsid w:val="00A00910"/>
    <w:rsid w:val="00A0152C"/>
    <w:rsid w:val="00A04512"/>
    <w:rsid w:val="00A0607C"/>
    <w:rsid w:val="00A06319"/>
    <w:rsid w:val="00A068C0"/>
    <w:rsid w:val="00A06DC9"/>
    <w:rsid w:val="00A17F38"/>
    <w:rsid w:val="00A210FA"/>
    <w:rsid w:val="00A2151C"/>
    <w:rsid w:val="00A23BFA"/>
    <w:rsid w:val="00A30241"/>
    <w:rsid w:val="00A308D1"/>
    <w:rsid w:val="00A30D3D"/>
    <w:rsid w:val="00A31474"/>
    <w:rsid w:val="00A31874"/>
    <w:rsid w:val="00A32173"/>
    <w:rsid w:val="00A32FF6"/>
    <w:rsid w:val="00A33320"/>
    <w:rsid w:val="00A338C6"/>
    <w:rsid w:val="00A351AE"/>
    <w:rsid w:val="00A37053"/>
    <w:rsid w:val="00A37532"/>
    <w:rsid w:val="00A3774A"/>
    <w:rsid w:val="00A40499"/>
    <w:rsid w:val="00A40586"/>
    <w:rsid w:val="00A4297F"/>
    <w:rsid w:val="00A42B39"/>
    <w:rsid w:val="00A43182"/>
    <w:rsid w:val="00A444ED"/>
    <w:rsid w:val="00A503B6"/>
    <w:rsid w:val="00A5092F"/>
    <w:rsid w:val="00A50D86"/>
    <w:rsid w:val="00A51812"/>
    <w:rsid w:val="00A5202E"/>
    <w:rsid w:val="00A53360"/>
    <w:rsid w:val="00A536B2"/>
    <w:rsid w:val="00A53D8F"/>
    <w:rsid w:val="00A53F3E"/>
    <w:rsid w:val="00A5407A"/>
    <w:rsid w:val="00A55419"/>
    <w:rsid w:val="00A56014"/>
    <w:rsid w:val="00A56452"/>
    <w:rsid w:val="00A612F2"/>
    <w:rsid w:val="00A61B50"/>
    <w:rsid w:val="00A64BAC"/>
    <w:rsid w:val="00A65180"/>
    <w:rsid w:val="00A662DA"/>
    <w:rsid w:val="00A66447"/>
    <w:rsid w:val="00A66F84"/>
    <w:rsid w:val="00A67A31"/>
    <w:rsid w:val="00A700FD"/>
    <w:rsid w:val="00A70537"/>
    <w:rsid w:val="00A70FC9"/>
    <w:rsid w:val="00A71A83"/>
    <w:rsid w:val="00A73BE7"/>
    <w:rsid w:val="00A74996"/>
    <w:rsid w:val="00A769AF"/>
    <w:rsid w:val="00A77F88"/>
    <w:rsid w:val="00A8161C"/>
    <w:rsid w:val="00A83CC9"/>
    <w:rsid w:val="00A8432F"/>
    <w:rsid w:val="00A85C00"/>
    <w:rsid w:val="00A86C8A"/>
    <w:rsid w:val="00A87C1C"/>
    <w:rsid w:val="00A87C63"/>
    <w:rsid w:val="00A87CD7"/>
    <w:rsid w:val="00A87DA6"/>
    <w:rsid w:val="00A91344"/>
    <w:rsid w:val="00A918CD"/>
    <w:rsid w:val="00A921B9"/>
    <w:rsid w:val="00A92D8E"/>
    <w:rsid w:val="00A9336A"/>
    <w:rsid w:val="00A93B67"/>
    <w:rsid w:val="00A9586C"/>
    <w:rsid w:val="00A95919"/>
    <w:rsid w:val="00A95B97"/>
    <w:rsid w:val="00A96591"/>
    <w:rsid w:val="00A97A3D"/>
    <w:rsid w:val="00AA28A2"/>
    <w:rsid w:val="00AA2C5B"/>
    <w:rsid w:val="00AA5D62"/>
    <w:rsid w:val="00AA61B3"/>
    <w:rsid w:val="00AA68AF"/>
    <w:rsid w:val="00AA6900"/>
    <w:rsid w:val="00AA69FC"/>
    <w:rsid w:val="00AA7544"/>
    <w:rsid w:val="00AB10E7"/>
    <w:rsid w:val="00AB1931"/>
    <w:rsid w:val="00AB1D4B"/>
    <w:rsid w:val="00AB1FB7"/>
    <w:rsid w:val="00AB3784"/>
    <w:rsid w:val="00AB401B"/>
    <w:rsid w:val="00AB44C0"/>
    <w:rsid w:val="00AB4DCB"/>
    <w:rsid w:val="00AB5895"/>
    <w:rsid w:val="00AB5B53"/>
    <w:rsid w:val="00AB75AA"/>
    <w:rsid w:val="00AB794C"/>
    <w:rsid w:val="00AB7DED"/>
    <w:rsid w:val="00AC0A2D"/>
    <w:rsid w:val="00AC368F"/>
    <w:rsid w:val="00AC3F21"/>
    <w:rsid w:val="00AC57E3"/>
    <w:rsid w:val="00AC5DDF"/>
    <w:rsid w:val="00AC6AF9"/>
    <w:rsid w:val="00AC6DEB"/>
    <w:rsid w:val="00AD000D"/>
    <w:rsid w:val="00AD05D4"/>
    <w:rsid w:val="00AD0A06"/>
    <w:rsid w:val="00AD0A74"/>
    <w:rsid w:val="00AD117B"/>
    <w:rsid w:val="00AD41A9"/>
    <w:rsid w:val="00AD4C31"/>
    <w:rsid w:val="00AD53EE"/>
    <w:rsid w:val="00AD5AC0"/>
    <w:rsid w:val="00AD64B0"/>
    <w:rsid w:val="00AD71BA"/>
    <w:rsid w:val="00AD77DE"/>
    <w:rsid w:val="00AE0314"/>
    <w:rsid w:val="00AE0FB1"/>
    <w:rsid w:val="00AE299E"/>
    <w:rsid w:val="00AE2C29"/>
    <w:rsid w:val="00AE4843"/>
    <w:rsid w:val="00AE6859"/>
    <w:rsid w:val="00AE7387"/>
    <w:rsid w:val="00AE751D"/>
    <w:rsid w:val="00AE75AA"/>
    <w:rsid w:val="00AE7D0E"/>
    <w:rsid w:val="00AF02D2"/>
    <w:rsid w:val="00AF1E74"/>
    <w:rsid w:val="00AF2C3B"/>
    <w:rsid w:val="00AF3A1A"/>
    <w:rsid w:val="00AF3E49"/>
    <w:rsid w:val="00AF47AD"/>
    <w:rsid w:val="00B00051"/>
    <w:rsid w:val="00B00F24"/>
    <w:rsid w:val="00B01986"/>
    <w:rsid w:val="00B01A78"/>
    <w:rsid w:val="00B04080"/>
    <w:rsid w:val="00B05F00"/>
    <w:rsid w:val="00B06444"/>
    <w:rsid w:val="00B0662F"/>
    <w:rsid w:val="00B06EE6"/>
    <w:rsid w:val="00B077A7"/>
    <w:rsid w:val="00B07978"/>
    <w:rsid w:val="00B10C42"/>
    <w:rsid w:val="00B11752"/>
    <w:rsid w:val="00B127A2"/>
    <w:rsid w:val="00B13096"/>
    <w:rsid w:val="00B13172"/>
    <w:rsid w:val="00B14C9C"/>
    <w:rsid w:val="00B1566A"/>
    <w:rsid w:val="00B16AC1"/>
    <w:rsid w:val="00B16E09"/>
    <w:rsid w:val="00B174C3"/>
    <w:rsid w:val="00B2097A"/>
    <w:rsid w:val="00B2221E"/>
    <w:rsid w:val="00B22269"/>
    <w:rsid w:val="00B2335B"/>
    <w:rsid w:val="00B23DE8"/>
    <w:rsid w:val="00B249E2"/>
    <w:rsid w:val="00B258B2"/>
    <w:rsid w:val="00B25FB3"/>
    <w:rsid w:val="00B263C8"/>
    <w:rsid w:val="00B267EC"/>
    <w:rsid w:val="00B276DC"/>
    <w:rsid w:val="00B278F3"/>
    <w:rsid w:val="00B27D1C"/>
    <w:rsid w:val="00B3159A"/>
    <w:rsid w:val="00B315BB"/>
    <w:rsid w:val="00B31B76"/>
    <w:rsid w:val="00B32DBA"/>
    <w:rsid w:val="00B3477A"/>
    <w:rsid w:val="00B36D0C"/>
    <w:rsid w:val="00B40EEF"/>
    <w:rsid w:val="00B4211A"/>
    <w:rsid w:val="00B42819"/>
    <w:rsid w:val="00B4287E"/>
    <w:rsid w:val="00B43AD6"/>
    <w:rsid w:val="00B44E9F"/>
    <w:rsid w:val="00B456D3"/>
    <w:rsid w:val="00B45787"/>
    <w:rsid w:val="00B47576"/>
    <w:rsid w:val="00B47DBF"/>
    <w:rsid w:val="00B51452"/>
    <w:rsid w:val="00B5178C"/>
    <w:rsid w:val="00B5187D"/>
    <w:rsid w:val="00B5337B"/>
    <w:rsid w:val="00B53616"/>
    <w:rsid w:val="00B53E76"/>
    <w:rsid w:val="00B554E6"/>
    <w:rsid w:val="00B5593C"/>
    <w:rsid w:val="00B56F08"/>
    <w:rsid w:val="00B61C32"/>
    <w:rsid w:val="00B6212C"/>
    <w:rsid w:val="00B64B0B"/>
    <w:rsid w:val="00B65C01"/>
    <w:rsid w:val="00B6623B"/>
    <w:rsid w:val="00B66F4B"/>
    <w:rsid w:val="00B67673"/>
    <w:rsid w:val="00B70B34"/>
    <w:rsid w:val="00B71138"/>
    <w:rsid w:val="00B724A3"/>
    <w:rsid w:val="00B7290A"/>
    <w:rsid w:val="00B72D27"/>
    <w:rsid w:val="00B7425E"/>
    <w:rsid w:val="00B761C2"/>
    <w:rsid w:val="00B76932"/>
    <w:rsid w:val="00B800F2"/>
    <w:rsid w:val="00B80C0B"/>
    <w:rsid w:val="00B810FF"/>
    <w:rsid w:val="00B81CB1"/>
    <w:rsid w:val="00B830C2"/>
    <w:rsid w:val="00B84447"/>
    <w:rsid w:val="00B845C5"/>
    <w:rsid w:val="00B85980"/>
    <w:rsid w:val="00B878E1"/>
    <w:rsid w:val="00B879E5"/>
    <w:rsid w:val="00B901FD"/>
    <w:rsid w:val="00B91401"/>
    <w:rsid w:val="00B91DA6"/>
    <w:rsid w:val="00B92976"/>
    <w:rsid w:val="00B93836"/>
    <w:rsid w:val="00B941A3"/>
    <w:rsid w:val="00B941F2"/>
    <w:rsid w:val="00B9481C"/>
    <w:rsid w:val="00B94C31"/>
    <w:rsid w:val="00B96572"/>
    <w:rsid w:val="00B9669D"/>
    <w:rsid w:val="00B96965"/>
    <w:rsid w:val="00B96A14"/>
    <w:rsid w:val="00B96A9E"/>
    <w:rsid w:val="00B977CE"/>
    <w:rsid w:val="00BA29A4"/>
    <w:rsid w:val="00BA343F"/>
    <w:rsid w:val="00BA3B68"/>
    <w:rsid w:val="00BA433A"/>
    <w:rsid w:val="00BA458A"/>
    <w:rsid w:val="00BA550F"/>
    <w:rsid w:val="00BA56D4"/>
    <w:rsid w:val="00BA56F8"/>
    <w:rsid w:val="00BA6567"/>
    <w:rsid w:val="00BA7552"/>
    <w:rsid w:val="00BA7DDB"/>
    <w:rsid w:val="00BB000A"/>
    <w:rsid w:val="00BB0C51"/>
    <w:rsid w:val="00BB1D0E"/>
    <w:rsid w:val="00BB2221"/>
    <w:rsid w:val="00BB2E1A"/>
    <w:rsid w:val="00BB3285"/>
    <w:rsid w:val="00BB5071"/>
    <w:rsid w:val="00BB6E1B"/>
    <w:rsid w:val="00BB735A"/>
    <w:rsid w:val="00BB7481"/>
    <w:rsid w:val="00BC05D9"/>
    <w:rsid w:val="00BC0F00"/>
    <w:rsid w:val="00BC163C"/>
    <w:rsid w:val="00BC1ADC"/>
    <w:rsid w:val="00BC2980"/>
    <w:rsid w:val="00BC3414"/>
    <w:rsid w:val="00BC38EB"/>
    <w:rsid w:val="00BC3AB7"/>
    <w:rsid w:val="00BC4C7B"/>
    <w:rsid w:val="00BC515A"/>
    <w:rsid w:val="00BC5EA5"/>
    <w:rsid w:val="00BC7DBE"/>
    <w:rsid w:val="00BD384C"/>
    <w:rsid w:val="00BD3A52"/>
    <w:rsid w:val="00BD475A"/>
    <w:rsid w:val="00BD5141"/>
    <w:rsid w:val="00BD59BE"/>
    <w:rsid w:val="00BD5DB2"/>
    <w:rsid w:val="00BE0AEE"/>
    <w:rsid w:val="00BE1449"/>
    <w:rsid w:val="00BE15A4"/>
    <w:rsid w:val="00BE1E74"/>
    <w:rsid w:val="00BE1FE1"/>
    <w:rsid w:val="00BE2B6F"/>
    <w:rsid w:val="00BE3B8A"/>
    <w:rsid w:val="00BE4F70"/>
    <w:rsid w:val="00BE742A"/>
    <w:rsid w:val="00BE7C84"/>
    <w:rsid w:val="00BE7E46"/>
    <w:rsid w:val="00BF00FE"/>
    <w:rsid w:val="00BF04EE"/>
    <w:rsid w:val="00BF0C4E"/>
    <w:rsid w:val="00BF18BC"/>
    <w:rsid w:val="00BF1C77"/>
    <w:rsid w:val="00BF1F75"/>
    <w:rsid w:val="00BF3351"/>
    <w:rsid w:val="00BF4CEE"/>
    <w:rsid w:val="00BF4F91"/>
    <w:rsid w:val="00BF5B1F"/>
    <w:rsid w:val="00BF63E6"/>
    <w:rsid w:val="00BF646D"/>
    <w:rsid w:val="00C0037A"/>
    <w:rsid w:val="00C00944"/>
    <w:rsid w:val="00C028E4"/>
    <w:rsid w:val="00C035F7"/>
    <w:rsid w:val="00C038E2"/>
    <w:rsid w:val="00C03F67"/>
    <w:rsid w:val="00C10939"/>
    <w:rsid w:val="00C10E7C"/>
    <w:rsid w:val="00C11661"/>
    <w:rsid w:val="00C12317"/>
    <w:rsid w:val="00C12BA9"/>
    <w:rsid w:val="00C13AE1"/>
    <w:rsid w:val="00C1490E"/>
    <w:rsid w:val="00C14985"/>
    <w:rsid w:val="00C15ABC"/>
    <w:rsid w:val="00C2008C"/>
    <w:rsid w:val="00C20C4E"/>
    <w:rsid w:val="00C213F1"/>
    <w:rsid w:val="00C22266"/>
    <w:rsid w:val="00C237A8"/>
    <w:rsid w:val="00C24A43"/>
    <w:rsid w:val="00C25DD2"/>
    <w:rsid w:val="00C30A04"/>
    <w:rsid w:val="00C312B7"/>
    <w:rsid w:val="00C312DC"/>
    <w:rsid w:val="00C3255D"/>
    <w:rsid w:val="00C3501A"/>
    <w:rsid w:val="00C354DD"/>
    <w:rsid w:val="00C35A83"/>
    <w:rsid w:val="00C35AF4"/>
    <w:rsid w:val="00C376EE"/>
    <w:rsid w:val="00C40101"/>
    <w:rsid w:val="00C415D6"/>
    <w:rsid w:val="00C41B4F"/>
    <w:rsid w:val="00C4227D"/>
    <w:rsid w:val="00C422F9"/>
    <w:rsid w:val="00C42A61"/>
    <w:rsid w:val="00C43101"/>
    <w:rsid w:val="00C44430"/>
    <w:rsid w:val="00C44B16"/>
    <w:rsid w:val="00C45305"/>
    <w:rsid w:val="00C4647C"/>
    <w:rsid w:val="00C46A85"/>
    <w:rsid w:val="00C47207"/>
    <w:rsid w:val="00C47B83"/>
    <w:rsid w:val="00C510D8"/>
    <w:rsid w:val="00C5110A"/>
    <w:rsid w:val="00C514FE"/>
    <w:rsid w:val="00C515DE"/>
    <w:rsid w:val="00C52D45"/>
    <w:rsid w:val="00C534A2"/>
    <w:rsid w:val="00C534D5"/>
    <w:rsid w:val="00C538E4"/>
    <w:rsid w:val="00C55823"/>
    <w:rsid w:val="00C55D1A"/>
    <w:rsid w:val="00C60A7C"/>
    <w:rsid w:val="00C61264"/>
    <w:rsid w:val="00C61C07"/>
    <w:rsid w:val="00C61F2B"/>
    <w:rsid w:val="00C63243"/>
    <w:rsid w:val="00C651EC"/>
    <w:rsid w:val="00C65410"/>
    <w:rsid w:val="00C6551B"/>
    <w:rsid w:val="00C65914"/>
    <w:rsid w:val="00C65A19"/>
    <w:rsid w:val="00C65BB8"/>
    <w:rsid w:val="00C669A3"/>
    <w:rsid w:val="00C70021"/>
    <w:rsid w:val="00C704C6"/>
    <w:rsid w:val="00C708A5"/>
    <w:rsid w:val="00C70B89"/>
    <w:rsid w:val="00C714BA"/>
    <w:rsid w:val="00C719AC"/>
    <w:rsid w:val="00C71DBD"/>
    <w:rsid w:val="00C7202C"/>
    <w:rsid w:val="00C74C9C"/>
    <w:rsid w:val="00C7516E"/>
    <w:rsid w:val="00C75A8C"/>
    <w:rsid w:val="00C75FE9"/>
    <w:rsid w:val="00C76DCE"/>
    <w:rsid w:val="00C80867"/>
    <w:rsid w:val="00C8275B"/>
    <w:rsid w:val="00C856CE"/>
    <w:rsid w:val="00C86078"/>
    <w:rsid w:val="00C86080"/>
    <w:rsid w:val="00C866D8"/>
    <w:rsid w:val="00C87675"/>
    <w:rsid w:val="00C91A76"/>
    <w:rsid w:val="00C92E0B"/>
    <w:rsid w:val="00C9303E"/>
    <w:rsid w:val="00C93CA2"/>
    <w:rsid w:val="00C9418D"/>
    <w:rsid w:val="00C944BA"/>
    <w:rsid w:val="00C96489"/>
    <w:rsid w:val="00C97057"/>
    <w:rsid w:val="00C9767A"/>
    <w:rsid w:val="00CA2604"/>
    <w:rsid w:val="00CA3578"/>
    <w:rsid w:val="00CA4165"/>
    <w:rsid w:val="00CA658E"/>
    <w:rsid w:val="00CA7B1D"/>
    <w:rsid w:val="00CB02F1"/>
    <w:rsid w:val="00CB094A"/>
    <w:rsid w:val="00CB0EBA"/>
    <w:rsid w:val="00CB1132"/>
    <w:rsid w:val="00CB1992"/>
    <w:rsid w:val="00CB27C0"/>
    <w:rsid w:val="00CB2DC1"/>
    <w:rsid w:val="00CB327B"/>
    <w:rsid w:val="00CB58BA"/>
    <w:rsid w:val="00CC126D"/>
    <w:rsid w:val="00CC1A00"/>
    <w:rsid w:val="00CC1C20"/>
    <w:rsid w:val="00CC214F"/>
    <w:rsid w:val="00CC2529"/>
    <w:rsid w:val="00CC468E"/>
    <w:rsid w:val="00CC4C53"/>
    <w:rsid w:val="00CC7DD9"/>
    <w:rsid w:val="00CC7E7D"/>
    <w:rsid w:val="00CD269E"/>
    <w:rsid w:val="00CD39ED"/>
    <w:rsid w:val="00CD3D1B"/>
    <w:rsid w:val="00CD43E2"/>
    <w:rsid w:val="00CD56C8"/>
    <w:rsid w:val="00CD6C22"/>
    <w:rsid w:val="00CE0566"/>
    <w:rsid w:val="00CE1056"/>
    <w:rsid w:val="00CE1250"/>
    <w:rsid w:val="00CE1708"/>
    <w:rsid w:val="00CE223D"/>
    <w:rsid w:val="00CE59D7"/>
    <w:rsid w:val="00CE6271"/>
    <w:rsid w:val="00CE6979"/>
    <w:rsid w:val="00CE7CBA"/>
    <w:rsid w:val="00CE7E04"/>
    <w:rsid w:val="00CF17C5"/>
    <w:rsid w:val="00CF1E6F"/>
    <w:rsid w:val="00CF21D2"/>
    <w:rsid w:val="00CF3E53"/>
    <w:rsid w:val="00CF478F"/>
    <w:rsid w:val="00CF5F67"/>
    <w:rsid w:val="00CF6B03"/>
    <w:rsid w:val="00CF793E"/>
    <w:rsid w:val="00CF7A35"/>
    <w:rsid w:val="00CF7B80"/>
    <w:rsid w:val="00CF7C30"/>
    <w:rsid w:val="00D00073"/>
    <w:rsid w:val="00D00990"/>
    <w:rsid w:val="00D01F75"/>
    <w:rsid w:val="00D02EFB"/>
    <w:rsid w:val="00D033EA"/>
    <w:rsid w:val="00D0396D"/>
    <w:rsid w:val="00D03DE2"/>
    <w:rsid w:val="00D04170"/>
    <w:rsid w:val="00D04B5A"/>
    <w:rsid w:val="00D0648B"/>
    <w:rsid w:val="00D07E3F"/>
    <w:rsid w:val="00D10A35"/>
    <w:rsid w:val="00D10CCD"/>
    <w:rsid w:val="00D11785"/>
    <w:rsid w:val="00D15169"/>
    <w:rsid w:val="00D15249"/>
    <w:rsid w:val="00D1555E"/>
    <w:rsid w:val="00D158DB"/>
    <w:rsid w:val="00D16F5E"/>
    <w:rsid w:val="00D17984"/>
    <w:rsid w:val="00D202CF"/>
    <w:rsid w:val="00D21A66"/>
    <w:rsid w:val="00D21ECE"/>
    <w:rsid w:val="00D227AF"/>
    <w:rsid w:val="00D24BA0"/>
    <w:rsid w:val="00D263D9"/>
    <w:rsid w:val="00D2660E"/>
    <w:rsid w:val="00D2761E"/>
    <w:rsid w:val="00D31E0F"/>
    <w:rsid w:val="00D3453F"/>
    <w:rsid w:val="00D3461D"/>
    <w:rsid w:val="00D34BAD"/>
    <w:rsid w:val="00D35C84"/>
    <w:rsid w:val="00D36A16"/>
    <w:rsid w:val="00D371A8"/>
    <w:rsid w:val="00D371E2"/>
    <w:rsid w:val="00D4047C"/>
    <w:rsid w:val="00D409A6"/>
    <w:rsid w:val="00D426D5"/>
    <w:rsid w:val="00D4311D"/>
    <w:rsid w:val="00D438D0"/>
    <w:rsid w:val="00D452CC"/>
    <w:rsid w:val="00D471D8"/>
    <w:rsid w:val="00D471F7"/>
    <w:rsid w:val="00D47B5F"/>
    <w:rsid w:val="00D508CC"/>
    <w:rsid w:val="00D50A48"/>
    <w:rsid w:val="00D517A5"/>
    <w:rsid w:val="00D52412"/>
    <w:rsid w:val="00D53E7A"/>
    <w:rsid w:val="00D55686"/>
    <w:rsid w:val="00D558EC"/>
    <w:rsid w:val="00D55CBC"/>
    <w:rsid w:val="00D55FAA"/>
    <w:rsid w:val="00D56FFD"/>
    <w:rsid w:val="00D570C9"/>
    <w:rsid w:val="00D60FDC"/>
    <w:rsid w:val="00D6183C"/>
    <w:rsid w:val="00D6308C"/>
    <w:rsid w:val="00D6438C"/>
    <w:rsid w:val="00D67136"/>
    <w:rsid w:val="00D67866"/>
    <w:rsid w:val="00D709EA"/>
    <w:rsid w:val="00D70A46"/>
    <w:rsid w:val="00D71104"/>
    <w:rsid w:val="00D72F66"/>
    <w:rsid w:val="00D72FBC"/>
    <w:rsid w:val="00D73D8F"/>
    <w:rsid w:val="00D7456D"/>
    <w:rsid w:val="00D74861"/>
    <w:rsid w:val="00D74D7A"/>
    <w:rsid w:val="00D75B60"/>
    <w:rsid w:val="00D75CCD"/>
    <w:rsid w:val="00D80383"/>
    <w:rsid w:val="00D80486"/>
    <w:rsid w:val="00D805DE"/>
    <w:rsid w:val="00D809A6"/>
    <w:rsid w:val="00D81AA6"/>
    <w:rsid w:val="00D81F44"/>
    <w:rsid w:val="00D82A7C"/>
    <w:rsid w:val="00D82AD3"/>
    <w:rsid w:val="00D847CA"/>
    <w:rsid w:val="00D84A31"/>
    <w:rsid w:val="00D855CD"/>
    <w:rsid w:val="00D85977"/>
    <w:rsid w:val="00D85BE9"/>
    <w:rsid w:val="00D85C6E"/>
    <w:rsid w:val="00D860AD"/>
    <w:rsid w:val="00D86F89"/>
    <w:rsid w:val="00D87CD2"/>
    <w:rsid w:val="00D9055C"/>
    <w:rsid w:val="00D905F0"/>
    <w:rsid w:val="00D917A0"/>
    <w:rsid w:val="00D918FD"/>
    <w:rsid w:val="00D93355"/>
    <w:rsid w:val="00D93878"/>
    <w:rsid w:val="00D96814"/>
    <w:rsid w:val="00D972CF"/>
    <w:rsid w:val="00D97369"/>
    <w:rsid w:val="00D97BCF"/>
    <w:rsid w:val="00DA0DA9"/>
    <w:rsid w:val="00DA125C"/>
    <w:rsid w:val="00DA3BAE"/>
    <w:rsid w:val="00DA4FE3"/>
    <w:rsid w:val="00DA5146"/>
    <w:rsid w:val="00DA5EDF"/>
    <w:rsid w:val="00DA742C"/>
    <w:rsid w:val="00DB16E2"/>
    <w:rsid w:val="00DB1765"/>
    <w:rsid w:val="00DB1B17"/>
    <w:rsid w:val="00DB218F"/>
    <w:rsid w:val="00DB2506"/>
    <w:rsid w:val="00DB2709"/>
    <w:rsid w:val="00DB3E0B"/>
    <w:rsid w:val="00DB51CB"/>
    <w:rsid w:val="00DB79C8"/>
    <w:rsid w:val="00DC2003"/>
    <w:rsid w:val="00DC2147"/>
    <w:rsid w:val="00DC3B5A"/>
    <w:rsid w:val="00DC4AF3"/>
    <w:rsid w:val="00DC4D18"/>
    <w:rsid w:val="00DC56C3"/>
    <w:rsid w:val="00DC6B56"/>
    <w:rsid w:val="00DC6CDF"/>
    <w:rsid w:val="00DC6F6E"/>
    <w:rsid w:val="00DC700E"/>
    <w:rsid w:val="00DC713C"/>
    <w:rsid w:val="00DD2128"/>
    <w:rsid w:val="00DD318D"/>
    <w:rsid w:val="00DD49BF"/>
    <w:rsid w:val="00DD5316"/>
    <w:rsid w:val="00DD55CD"/>
    <w:rsid w:val="00DD6373"/>
    <w:rsid w:val="00DD7027"/>
    <w:rsid w:val="00DE08D2"/>
    <w:rsid w:val="00DE1466"/>
    <w:rsid w:val="00DE3641"/>
    <w:rsid w:val="00DE646D"/>
    <w:rsid w:val="00DE6658"/>
    <w:rsid w:val="00DE6BBD"/>
    <w:rsid w:val="00DE76F5"/>
    <w:rsid w:val="00DF1FF5"/>
    <w:rsid w:val="00DF23D6"/>
    <w:rsid w:val="00DF25BA"/>
    <w:rsid w:val="00DF3834"/>
    <w:rsid w:val="00DF38B3"/>
    <w:rsid w:val="00DF39BF"/>
    <w:rsid w:val="00DF4BE1"/>
    <w:rsid w:val="00DF4FC5"/>
    <w:rsid w:val="00DF7CC1"/>
    <w:rsid w:val="00E00A99"/>
    <w:rsid w:val="00E010DF"/>
    <w:rsid w:val="00E020C3"/>
    <w:rsid w:val="00E03155"/>
    <w:rsid w:val="00E03DAA"/>
    <w:rsid w:val="00E04109"/>
    <w:rsid w:val="00E048F1"/>
    <w:rsid w:val="00E04CBB"/>
    <w:rsid w:val="00E07F39"/>
    <w:rsid w:val="00E10067"/>
    <w:rsid w:val="00E121DB"/>
    <w:rsid w:val="00E142ED"/>
    <w:rsid w:val="00E14A34"/>
    <w:rsid w:val="00E15536"/>
    <w:rsid w:val="00E15B20"/>
    <w:rsid w:val="00E17820"/>
    <w:rsid w:val="00E200EE"/>
    <w:rsid w:val="00E2034D"/>
    <w:rsid w:val="00E21520"/>
    <w:rsid w:val="00E24883"/>
    <w:rsid w:val="00E250E6"/>
    <w:rsid w:val="00E25D2C"/>
    <w:rsid w:val="00E26AF2"/>
    <w:rsid w:val="00E26EA4"/>
    <w:rsid w:val="00E31566"/>
    <w:rsid w:val="00E34145"/>
    <w:rsid w:val="00E34AE9"/>
    <w:rsid w:val="00E34EB3"/>
    <w:rsid w:val="00E35600"/>
    <w:rsid w:val="00E35945"/>
    <w:rsid w:val="00E3615C"/>
    <w:rsid w:val="00E409F7"/>
    <w:rsid w:val="00E4208F"/>
    <w:rsid w:val="00E42A36"/>
    <w:rsid w:val="00E437C6"/>
    <w:rsid w:val="00E44284"/>
    <w:rsid w:val="00E44A52"/>
    <w:rsid w:val="00E451EF"/>
    <w:rsid w:val="00E501FA"/>
    <w:rsid w:val="00E522FA"/>
    <w:rsid w:val="00E54C0D"/>
    <w:rsid w:val="00E54FA1"/>
    <w:rsid w:val="00E568B7"/>
    <w:rsid w:val="00E56C40"/>
    <w:rsid w:val="00E57537"/>
    <w:rsid w:val="00E608A0"/>
    <w:rsid w:val="00E60D47"/>
    <w:rsid w:val="00E61F34"/>
    <w:rsid w:val="00E623A3"/>
    <w:rsid w:val="00E63028"/>
    <w:rsid w:val="00E63322"/>
    <w:rsid w:val="00E63D6F"/>
    <w:rsid w:val="00E6492C"/>
    <w:rsid w:val="00E656D3"/>
    <w:rsid w:val="00E656D8"/>
    <w:rsid w:val="00E65FC4"/>
    <w:rsid w:val="00E668E8"/>
    <w:rsid w:val="00E67BD5"/>
    <w:rsid w:val="00E71801"/>
    <w:rsid w:val="00E72FF3"/>
    <w:rsid w:val="00E762D6"/>
    <w:rsid w:val="00E76E36"/>
    <w:rsid w:val="00E7771A"/>
    <w:rsid w:val="00E8017C"/>
    <w:rsid w:val="00E81896"/>
    <w:rsid w:val="00E828D6"/>
    <w:rsid w:val="00E82F30"/>
    <w:rsid w:val="00E8527E"/>
    <w:rsid w:val="00E861B3"/>
    <w:rsid w:val="00E86744"/>
    <w:rsid w:val="00E86E0F"/>
    <w:rsid w:val="00E87922"/>
    <w:rsid w:val="00E87C09"/>
    <w:rsid w:val="00E90247"/>
    <w:rsid w:val="00E92314"/>
    <w:rsid w:val="00E92959"/>
    <w:rsid w:val="00E92C7D"/>
    <w:rsid w:val="00E93B47"/>
    <w:rsid w:val="00E9427F"/>
    <w:rsid w:val="00E94BC7"/>
    <w:rsid w:val="00E9512F"/>
    <w:rsid w:val="00E95510"/>
    <w:rsid w:val="00E95BA0"/>
    <w:rsid w:val="00E96CA2"/>
    <w:rsid w:val="00E9711A"/>
    <w:rsid w:val="00EA13C2"/>
    <w:rsid w:val="00EA28EB"/>
    <w:rsid w:val="00EA55F0"/>
    <w:rsid w:val="00EA65CA"/>
    <w:rsid w:val="00EA6F12"/>
    <w:rsid w:val="00EA7969"/>
    <w:rsid w:val="00EB0CB0"/>
    <w:rsid w:val="00EB1C0B"/>
    <w:rsid w:val="00EB2E41"/>
    <w:rsid w:val="00EB4911"/>
    <w:rsid w:val="00EB5AE2"/>
    <w:rsid w:val="00EB62EB"/>
    <w:rsid w:val="00EB6DF8"/>
    <w:rsid w:val="00EB795C"/>
    <w:rsid w:val="00EC1D22"/>
    <w:rsid w:val="00EC20C2"/>
    <w:rsid w:val="00EC63FE"/>
    <w:rsid w:val="00EC6C38"/>
    <w:rsid w:val="00ED0BBB"/>
    <w:rsid w:val="00ED143B"/>
    <w:rsid w:val="00ED1CC7"/>
    <w:rsid w:val="00ED1CEB"/>
    <w:rsid w:val="00ED1F75"/>
    <w:rsid w:val="00ED2F1B"/>
    <w:rsid w:val="00ED363B"/>
    <w:rsid w:val="00ED3FE2"/>
    <w:rsid w:val="00ED5583"/>
    <w:rsid w:val="00ED60F9"/>
    <w:rsid w:val="00ED610B"/>
    <w:rsid w:val="00ED7689"/>
    <w:rsid w:val="00ED7DCC"/>
    <w:rsid w:val="00EE10B6"/>
    <w:rsid w:val="00EE1CC8"/>
    <w:rsid w:val="00EE2E8E"/>
    <w:rsid w:val="00EE31EE"/>
    <w:rsid w:val="00EE3981"/>
    <w:rsid w:val="00EE3BAF"/>
    <w:rsid w:val="00EE4724"/>
    <w:rsid w:val="00EE4842"/>
    <w:rsid w:val="00EE4875"/>
    <w:rsid w:val="00EE511A"/>
    <w:rsid w:val="00EE5AF8"/>
    <w:rsid w:val="00EE79CF"/>
    <w:rsid w:val="00EF1071"/>
    <w:rsid w:val="00EF1DF2"/>
    <w:rsid w:val="00EF2A20"/>
    <w:rsid w:val="00EF36DF"/>
    <w:rsid w:val="00EF6C6C"/>
    <w:rsid w:val="00EF7203"/>
    <w:rsid w:val="00F00129"/>
    <w:rsid w:val="00F01031"/>
    <w:rsid w:val="00F02B98"/>
    <w:rsid w:val="00F04B86"/>
    <w:rsid w:val="00F05028"/>
    <w:rsid w:val="00F05685"/>
    <w:rsid w:val="00F05E3A"/>
    <w:rsid w:val="00F07082"/>
    <w:rsid w:val="00F07851"/>
    <w:rsid w:val="00F100BE"/>
    <w:rsid w:val="00F10179"/>
    <w:rsid w:val="00F12624"/>
    <w:rsid w:val="00F13568"/>
    <w:rsid w:val="00F201E6"/>
    <w:rsid w:val="00F2069B"/>
    <w:rsid w:val="00F218DD"/>
    <w:rsid w:val="00F22CAC"/>
    <w:rsid w:val="00F25BB6"/>
    <w:rsid w:val="00F260AE"/>
    <w:rsid w:val="00F260E0"/>
    <w:rsid w:val="00F26609"/>
    <w:rsid w:val="00F26AC3"/>
    <w:rsid w:val="00F30875"/>
    <w:rsid w:val="00F30E96"/>
    <w:rsid w:val="00F31582"/>
    <w:rsid w:val="00F317E1"/>
    <w:rsid w:val="00F31B3C"/>
    <w:rsid w:val="00F3271B"/>
    <w:rsid w:val="00F33C41"/>
    <w:rsid w:val="00F3720D"/>
    <w:rsid w:val="00F40A84"/>
    <w:rsid w:val="00F40AC4"/>
    <w:rsid w:val="00F42EF8"/>
    <w:rsid w:val="00F43D2C"/>
    <w:rsid w:val="00F46AA0"/>
    <w:rsid w:val="00F472C5"/>
    <w:rsid w:val="00F502E4"/>
    <w:rsid w:val="00F503EE"/>
    <w:rsid w:val="00F5115D"/>
    <w:rsid w:val="00F525AB"/>
    <w:rsid w:val="00F5326B"/>
    <w:rsid w:val="00F53A88"/>
    <w:rsid w:val="00F5414F"/>
    <w:rsid w:val="00F572F9"/>
    <w:rsid w:val="00F6020E"/>
    <w:rsid w:val="00F60568"/>
    <w:rsid w:val="00F60B4A"/>
    <w:rsid w:val="00F61E8E"/>
    <w:rsid w:val="00F61F6B"/>
    <w:rsid w:val="00F664CC"/>
    <w:rsid w:val="00F6673D"/>
    <w:rsid w:val="00F668C3"/>
    <w:rsid w:val="00F66DBB"/>
    <w:rsid w:val="00F67236"/>
    <w:rsid w:val="00F6766A"/>
    <w:rsid w:val="00F707DB"/>
    <w:rsid w:val="00F71913"/>
    <w:rsid w:val="00F72FD1"/>
    <w:rsid w:val="00F731B9"/>
    <w:rsid w:val="00F73C1E"/>
    <w:rsid w:val="00F75587"/>
    <w:rsid w:val="00F7573D"/>
    <w:rsid w:val="00F7630F"/>
    <w:rsid w:val="00F80BD7"/>
    <w:rsid w:val="00F8344B"/>
    <w:rsid w:val="00F843C3"/>
    <w:rsid w:val="00F84497"/>
    <w:rsid w:val="00F84A56"/>
    <w:rsid w:val="00F84ED9"/>
    <w:rsid w:val="00F857E9"/>
    <w:rsid w:val="00F867D8"/>
    <w:rsid w:val="00F8717F"/>
    <w:rsid w:val="00F87988"/>
    <w:rsid w:val="00F91374"/>
    <w:rsid w:val="00F9147B"/>
    <w:rsid w:val="00F91B66"/>
    <w:rsid w:val="00F92F89"/>
    <w:rsid w:val="00F947E5"/>
    <w:rsid w:val="00F94886"/>
    <w:rsid w:val="00F94C64"/>
    <w:rsid w:val="00F96D34"/>
    <w:rsid w:val="00F96D74"/>
    <w:rsid w:val="00FA1628"/>
    <w:rsid w:val="00FA28E8"/>
    <w:rsid w:val="00FA31C1"/>
    <w:rsid w:val="00FA3D56"/>
    <w:rsid w:val="00FA461C"/>
    <w:rsid w:val="00FA4891"/>
    <w:rsid w:val="00FB04B7"/>
    <w:rsid w:val="00FB1264"/>
    <w:rsid w:val="00FB14B1"/>
    <w:rsid w:val="00FB1EAB"/>
    <w:rsid w:val="00FB4EF7"/>
    <w:rsid w:val="00FB60C3"/>
    <w:rsid w:val="00FC13FA"/>
    <w:rsid w:val="00FC1F9C"/>
    <w:rsid w:val="00FC2E4D"/>
    <w:rsid w:val="00FC4D21"/>
    <w:rsid w:val="00FC5752"/>
    <w:rsid w:val="00FD12A3"/>
    <w:rsid w:val="00FD2684"/>
    <w:rsid w:val="00FD2F33"/>
    <w:rsid w:val="00FD31CD"/>
    <w:rsid w:val="00FD32BD"/>
    <w:rsid w:val="00FD4F5A"/>
    <w:rsid w:val="00FE0582"/>
    <w:rsid w:val="00FE1694"/>
    <w:rsid w:val="00FE1D6C"/>
    <w:rsid w:val="00FE33FF"/>
    <w:rsid w:val="00FE4013"/>
    <w:rsid w:val="00FE4C8C"/>
    <w:rsid w:val="00FE52AC"/>
    <w:rsid w:val="00FE5785"/>
    <w:rsid w:val="00FE6508"/>
    <w:rsid w:val="00FE6D44"/>
    <w:rsid w:val="00FE772A"/>
    <w:rsid w:val="00FE7795"/>
    <w:rsid w:val="00FF1045"/>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7C0445C"/>
  <w15:docId w15:val="{2036970F-D732-4B01-A6EE-91484D9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3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semiHidden/>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0E4F76"/>
    <w:rPr>
      <w:rFonts w:eastAsiaTheme="minorEastAsia" w:cstheme="minorBidi"/>
      <w:szCs w:val="21"/>
      <w:lang w:eastAsia="zh-CN"/>
    </w:rPr>
  </w:style>
  <w:style w:type="character" w:customStyle="1" w:styleId="Heading2Char">
    <w:name w:val="Heading 2 Char"/>
    <w:basedOn w:val="DefaultParagraphFont"/>
    <w:link w:val="Heading2"/>
    <w:semiHidden/>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ResNo">
    <w:name w:val="Res_No"/>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headfoot">
    <w:name w:val="head_foot"/>
    <w:basedOn w:val="Normal"/>
    <w:next w:val="Normalaftertitle"/>
    <w:rsid w:val="00072720"/>
    <w:pPr>
      <w:tabs>
        <w:tab w:val="left" w:pos="851"/>
        <w:tab w:val="left" w:pos="1418"/>
        <w:tab w:val="center" w:pos="4820"/>
      </w:tabs>
      <w:jc w:val="both"/>
    </w:pPr>
    <w:rPr>
      <w:rFonts w:ascii="Times" w:eastAsia="Times New Roman" w:hAnsi="Times"/>
      <w:color w:val="FF0000"/>
      <w:sz w:val="8"/>
      <w:szCs w:val="20"/>
      <w:lang w:val="en-GB" w:eastAsia="en-US"/>
    </w:rPr>
  </w:style>
  <w:style w:type="paragraph" w:customStyle="1" w:styleId="Restitle">
    <w:name w:val="Res_title"/>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eastAsia="en-US"/>
    </w:rPr>
  </w:style>
  <w:style w:type="paragraph" w:customStyle="1" w:styleId="TableText">
    <w:name w:val="Table_Text"/>
    <w:basedOn w:val="Normal"/>
    <w:rsid w:val="000727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CommentSubject">
    <w:name w:val="annotation subject"/>
    <w:basedOn w:val="CommentText"/>
    <w:next w:val="CommentText"/>
    <w:link w:val="CommentSubjectChar"/>
    <w:uiPriority w:val="99"/>
    <w:semiHidden/>
    <w:unhideWhenUsed/>
    <w:rsid w:val="0020748B"/>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20748B"/>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752139"/>
    <w:rPr>
      <w:rFonts w:ascii="Times New Roman" w:hAnsi="Times New Roman" w:cs="Times New Roman"/>
      <w:sz w:val="24"/>
      <w:szCs w:val="24"/>
      <w:lang w:val="en-AU" w:eastAsia="en-AU"/>
    </w:rPr>
  </w:style>
  <w:style w:type="table" w:customStyle="1" w:styleId="ListTable3-Accent51">
    <w:name w:val="List Table 3 - Accent 51"/>
    <w:basedOn w:val="TableNormal"/>
    <w:uiPriority w:val="48"/>
    <w:rsid w:val="003D0BC7"/>
    <w:rPr>
      <w:rFonts w:asciiTheme="minorHAnsi" w:eastAsiaTheme="minorEastAsia" w:hAnsiTheme="minorHAnsi" w:cstheme="minorBidi"/>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8004456">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jiu.org/en/reports-notes/JIU%20Products/JIU_REP_2016_1_Englis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itu.int/dms_pub/itu-s/opb/conf/S-CONF-ACTF-2014-MSW-E.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dms_pub/itu-s/opb/conf/S-CONF-ACTF-2014-MSW-E.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council/planning/Documents/Strategic%20Plan%20for%20the%20Union%202016-2019__English.pdf" TargetMode="External"/><Relationship Id="rId4" Type="http://schemas.openxmlformats.org/officeDocument/2006/relationships/settings" Target="settings.xml"/><Relationship Id="rId9" Type="http://schemas.openxmlformats.org/officeDocument/2006/relationships/hyperlink" Target="http://www.itu.int/md/S17-CLCWGFHRM7-C-0009/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CB992-D960-491D-B5E9-EB80410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1539</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CWG-FHR</vt:lpstr>
    </vt:vector>
  </TitlesOfParts>
  <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dc:title>
  <dc:subject>Council Working Group on Financial and Human Resources</dc:subject>
  <dc:creator/>
  <cp:keywords>C2017, C17</cp:keywords>
  <cp:lastModifiedBy>Brouard, Ricarda</cp:lastModifiedBy>
  <cp:revision>4</cp:revision>
  <cp:lastPrinted>2016-04-12T13:05:00Z</cp:lastPrinted>
  <dcterms:created xsi:type="dcterms:W3CDTF">2016-12-15T10:45:00Z</dcterms:created>
  <dcterms:modified xsi:type="dcterms:W3CDTF">2016-12-15T10:46:00Z</dcterms:modified>
</cp:coreProperties>
</file>