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F3BD1" w:rsidRPr="00F92527" w:rsidTr="00CB6FB6">
        <w:trPr>
          <w:cantSplit/>
        </w:trPr>
        <w:tc>
          <w:tcPr>
            <w:tcW w:w="6911" w:type="dxa"/>
          </w:tcPr>
          <w:p w:rsidR="00AF3BD1" w:rsidRPr="00AF3BD1" w:rsidRDefault="00AF3BD1" w:rsidP="00AF3BD1">
            <w:pPr>
              <w:spacing w:before="360" w:after="48" w:line="240" w:lineRule="atLeast"/>
              <w:rPr>
                <w:rFonts w:asciiTheme="minorHAnsi" w:hAnsiTheme="minorHAnsi"/>
                <w:position w:val="6"/>
                <w:sz w:val="30"/>
                <w:szCs w:val="30"/>
              </w:rPr>
            </w:pPr>
            <w:bookmarkStart w:id="0" w:name="dc06"/>
            <w:bookmarkEnd w:id="0"/>
            <w:r w:rsidRPr="00AF3BD1">
              <w:rPr>
                <w:rFonts w:asciiTheme="minorHAnsi" w:hAnsiTheme="minorHAnsi"/>
                <w:b/>
                <w:bCs/>
                <w:position w:val="6"/>
                <w:sz w:val="30"/>
                <w:szCs w:val="30"/>
                <w:lang w:val="fr-CH"/>
              </w:rPr>
              <w:t>Council 2017</w:t>
            </w:r>
            <w:r w:rsidRPr="00AF3BD1">
              <w:rPr>
                <w:rFonts w:asciiTheme="minorHAnsi" w:hAnsiTheme="minorHAnsi" w:cs="Times"/>
                <w:b/>
                <w:position w:val="6"/>
                <w:sz w:val="30"/>
                <w:szCs w:val="30"/>
                <w:lang w:val="en-US"/>
              </w:rPr>
              <w:br/>
            </w:r>
            <w:r w:rsidRPr="00AF3BD1">
              <w:rPr>
                <w:rFonts w:asciiTheme="minorHAnsi" w:hAnsiTheme="minorHAnsi"/>
                <w:b/>
                <w:bCs/>
                <w:position w:val="6"/>
                <w:szCs w:val="24"/>
                <w:lang w:val="fr-CH"/>
              </w:rPr>
              <w:t>Geneva, 15-25 May 2017</w:t>
            </w:r>
          </w:p>
        </w:tc>
        <w:tc>
          <w:tcPr>
            <w:tcW w:w="3120" w:type="dxa"/>
          </w:tcPr>
          <w:p w:rsidR="00AF3BD1" w:rsidRPr="00F92527" w:rsidRDefault="00AF3BD1" w:rsidP="00AF3BD1">
            <w:pPr>
              <w:spacing w:before="0" w:line="240" w:lineRule="atLeast"/>
              <w:jc w:val="right"/>
              <w:rPr>
                <w:rFonts w:asciiTheme="minorHAnsi" w:hAnsiTheme="minorHAnsi"/>
              </w:rPr>
            </w:pPr>
            <w:bookmarkStart w:id="1" w:name="ditulogo"/>
            <w:bookmarkEnd w:id="1"/>
            <w:r w:rsidRPr="00F92527">
              <w:rPr>
                <w:rFonts w:asciiTheme="minorHAnsi" w:hAnsiTheme="minorHAnsi"/>
                <w:noProof/>
                <w:lang w:val="en-US" w:eastAsia="zh-CN"/>
              </w:rPr>
              <w:drawing>
                <wp:inline distT="0" distB="0" distL="0" distR="0" wp14:anchorId="76D3B3E4" wp14:editId="32A935DA">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F92527" w:rsidRPr="00F92527" w:rsidTr="00CB6FB6">
        <w:trPr>
          <w:cantSplit/>
        </w:trPr>
        <w:tc>
          <w:tcPr>
            <w:tcW w:w="6911" w:type="dxa"/>
            <w:tcBorders>
              <w:bottom w:val="single" w:sz="12" w:space="0" w:color="auto"/>
            </w:tcBorders>
          </w:tcPr>
          <w:p w:rsidR="00F92527" w:rsidRPr="00F92527" w:rsidRDefault="00F92527" w:rsidP="00D101E0">
            <w:pPr>
              <w:spacing w:before="0" w:line="240" w:lineRule="atLeast"/>
              <w:rPr>
                <w:rFonts w:asciiTheme="minorHAnsi" w:hAnsiTheme="minorHAnsi"/>
                <w:b/>
                <w:smallCaps/>
                <w:szCs w:val="24"/>
              </w:rPr>
            </w:pPr>
          </w:p>
        </w:tc>
        <w:tc>
          <w:tcPr>
            <w:tcW w:w="3120" w:type="dxa"/>
            <w:tcBorders>
              <w:bottom w:val="single" w:sz="12" w:space="0" w:color="auto"/>
            </w:tcBorders>
          </w:tcPr>
          <w:p w:rsidR="00F92527" w:rsidRPr="00F92527" w:rsidRDefault="00F92527" w:rsidP="00D101E0">
            <w:pPr>
              <w:spacing w:before="0" w:line="240" w:lineRule="atLeast"/>
              <w:rPr>
                <w:rFonts w:asciiTheme="minorHAnsi" w:hAnsiTheme="minorHAnsi"/>
                <w:szCs w:val="24"/>
              </w:rPr>
            </w:pPr>
          </w:p>
        </w:tc>
      </w:tr>
      <w:tr w:rsidR="00F92527" w:rsidRPr="00F92527" w:rsidTr="00CB6FB6">
        <w:trPr>
          <w:cantSplit/>
        </w:trPr>
        <w:tc>
          <w:tcPr>
            <w:tcW w:w="6911" w:type="dxa"/>
            <w:tcBorders>
              <w:top w:val="single" w:sz="12" w:space="0" w:color="auto"/>
            </w:tcBorders>
          </w:tcPr>
          <w:p w:rsidR="00F92527" w:rsidRPr="00F92527" w:rsidRDefault="00F92527" w:rsidP="00D101E0">
            <w:pPr>
              <w:spacing w:before="0" w:line="240" w:lineRule="atLeast"/>
              <w:rPr>
                <w:rFonts w:asciiTheme="minorHAnsi" w:hAnsiTheme="minorHAnsi"/>
                <w:b/>
                <w:smallCaps/>
                <w:szCs w:val="24"/>
              </w:rPr>
            </w:pPr>
          </w:p>
        </w:tc>
        <w:tc>
          <w:tcPr>
            <w:tcW w:w="3120" w:type="dxa"/>
            <w:tcBorders>
              <w:top w:val="single" w:sz="12" w:space="0" w:color="auto"/>
            </w:tcBorders>
          </w:tcPr>
          <w:p w:rsidR="00F92527" w:rsidRPr="00F92527" w:rsidRDefault="00F92527" w:rsidP="00D101E0">
            <w:pPr>
              <w:spacing w:before="0" w:line="240" w:lineRule="atLeast"/>
              <w:rPr>
                <w:rFonts w:asciiTheme="minorHAnsi" w:hAnsiTheme="minorHAnsi"/>
                <w:szCs w:val="24"/>
              </w:rPr>
            </w:pPr>
          </w:p>
        </w:tc>
      </w:tr>
      <w:tr w:rsidR="00F92527" w:rsidRPr="00F92527" w:rsidTr="00CB6FB6">
        <w:trPr>
          <w:cantSplit/>
          <w:trHeight w:val="23"/>
        </w:trPr>
        <w:tc>
          <w:tcPr>
            <w:tcW w:w="6911" w:type="dxa"/>
            <w:vMerge w:val="restart"/>
          </w:tcPr>
          <w:p w:rsidR="00F92527" w:rsidRPr="00F92527" w:rsidRDefault="00F92527" w:rsidP="00D101E0">
            <w:pPr>
              <w:tabs>
                <w:tab w:val="left" w:pos="851"/>
              </w:tabs>
              <w:spacing w:before="0" w:line="240" w:lineRule="atLeast"/>
              <w:rPr>
                <w:rFonts w:asciiTheme="minorHAnsi" w:hAnsiTheme="minorHAnsi"/>
                <w:b/>
              </w:rPr>
            </w:pPr>
            <w:bookmarkStart w:id="2" w:name="dmeeting" w:colFirst="0" w:colLast="0"/>
            <w:bookmarkStart w:id="3" w:name="dnum" w:colFirst="1" w:colLast="1"/>
          </w:p>
        </w:tc>
        <w:tc>
          <w:tcPr>
            <w:tcW w:w="3120" w:type="dxa"/>
          </w:tcPr>
          <w:p w:rsidR="00F92527" w:rsidRPr="00F92527" w:rsidRDefault="006A423B" w:rsidP="00D101E0">
            <w:pPr>
              <w:tabs>
                <w:tab w:val="left" w:pos="851"/>
              </w:tabs>
              <w:spacing w:before="0" w:line="240" w:lineRule="atLeast"/>
              <w:rPr>
                <w:rFonts w:asciiTheme="minorHAnsi" w:hAnsiTheme="minorHAnsi"/>
                <w:b/>
              </w:rPr>
            </w:pPr>
            <w:r>
              <w:rPr>
                <w:rFonts w:asciiTheme="minorHAnsi" w:hAnsiTheme="minorHAnsi"/>
                <w:b/>
              </w:rPr>
              <w:t xml:space="preserve">Document </w:t>
            </w:r>
            <w:r w:rsidR="00D101E0">
              <w:rPr>
                <w:rFonts w:asciiTheme="minorHAnsi" w:hAnsiTheme="minorHAnsi"/>
                <w:b/>
              </w:rPr>
              <w:t>C17/INF/</w:t>
            </w:r>
            <w:r w:rsidR="00160072">
              <w:rPr>
                <w:rFonts w:asciiTheme="minorHAnsi" w:hAnsiTheme="minorHAnsi"/>
                <w:b/>
              </w:rPr>
              <w:t>14</w:t>
            </w:r>
            <w:r w:rsidR="00D101E0">
              <w:rPr>
                <w:rFonts w:asciiTheme="minorHAnsi" w:hAnsiTheme="minorHAnsi"/>
                <w:b/>
              </w:rPr>
              <w:t>-E</w:t>
            </w:r>
          </w:p>
        </w:tc>
      </w:tr>
      <w:tr w:rsidR="00F92527" w:rsidRPr="00F92527" w:rsidTr="00CB6FB6">
        <w:trPr>
          <w:cantSplit/>
          <w:trHeight w:val="23"/>
        </w:trPr>
        <w:tc>
          <w:tcPr>
            <w:tcW w:w="6911" w:type="dxa"/>
            <w:vMerge/>
          </w:tcPr>
          <w:p w:rsidR="00F92527" w:rsidRPr="00F92527" w:rsidRDefault="00F92527" w:rsidP="00D101E0">
            <w:pPr>
              <w:tabs>
                <w:tab w:val="left" w:pos="851"/>
              </w:tabs>
              <w:spacing w:before="0" w:line="240" w:lineRule="atLeast"/>
              <w:rPr>
                <w:rFonts w:asciiTheme="minorHAnsi" w:hAnsiTheme="minorHAnsi"/>
                <w:b/>
              </w:rPr>
            </w:pPr>
            <w:bookmarkStart w:id="4" w:name="ddate" w:colFirst="1" w:colLast="1"/>
            <w:bookmarkEnd w:id="2"/>
            <w:bookmarkEnd w:id="3"/>
          </w:p>
        </w:tc>
        <w:tc>
          <w:tcPr>
            <w:tcW w:w="3120" w:type="dxa"/>
          </w:tcPr>
          <w:p w:rsidR="00F92527" w:rsidRPr="00F92527" w:rsidRDefault="00D101E0" w:rsidP="00D101E0">
            <w:pPr>
              <w:tabs>
                <w:tab w:val="left" w:pos="993"/>
              </w:tabs>
              <w:spacing w:before="0"/>
              <w:rPr>
                <w:rFonts w:asciiTheme="minorHAnsi" w:hAnsiTheme="minorHAnsi"/>
                <w:b/>
              </w:rPr>
            </w:pPr>
            <w:r>
              <w:rPr>
                <w:rFonts w:asciiTheme="minorHAnsi" w:hAnsiTheme="minorHAnsi"/>
                <w:b/>
              </w:rPr>
              <w:t>2</w:t>
            </w:r>
            <w:r w:rsidR="0066407A">
              <w:rPr>
                <w:rFonts w:asciiTheme="minorHAnsi" w:hAnsiTheme="minorHAnsi"/>
                <w:b/>
              </w:rPr>
              <w:t xml:space="preserve"> May</w:t>
            </w:r>
            <w:r w:rsidR="006A423B">
              <w:rPr>
                <w:rFonts w:asciiTheme="minorHAnsi" w:hAnsiTheme="minorHAnsi"/>
                <w:b/>
              </w:rPr>
              <w:t xml:space="preserve"> </w:t>
            </w:r>
            <w:r w:rsidR="00F92527" w:rsidRPr="00F92527">
              <w:rPr>
                <w:rFonts w:asciiTheme="minorHAnsi" w:hAnsiTheme="minorHAnsi"/>
                <w:b/>
              </w:rPr>
              <w:t>201</w:t>
            </w:r>
            <w:r w:rsidR="006A423B">
              <w:rPr>
                <w:rFonts w:asciiTheme="minorHAnsi" w:hAnsiTheme="minorHAnsi"/>
                <w:b/>
              </w:rPr>
              <w:t>7</w:t>
            </w:r>
          </w:p>
        </w:tc>
      </w:tr>
      <w:tr w:rsidR="00F92527" w:rsidRPr="00F92527" w:rsidTr="00CB6FB6">
        <w:trPr>
          <w:cantSplit/>
          <w:trHeight w:val="23"/>
        </w:trPr>
        <w:tc>
          <w:tcPr>
            <w:tcW w:w="6911" w:type="dxa"/>
            <w:vMerge/>
          </w:tcPr>
          <w:p w:rsidR="00F92527" w:rsidRPr="00F92527" w:rsidRDefault="00F92527" w:rsidP="00D101E0">
            <w:pPr>
              <w:tabs>
                <w:tab w:val="left" w:pos="851"/>
              </w:tabs>
              <w:spacing w:before="0" w:line="240" w:lineRule="atLeast"/>
              <w:rPr>
                <w:rFonts w:asciiTheme="minorHAnsi" w:hAnsiTheme="minorHAnsi"/>
                <w:b/>
              </w:rPr>
            </w:pPr>
            <w:bookmarkStart w:id="5" w:name="dorlang" w:colFirst="1" w:colLast="1"/>
            <w:bookmarkEnd w:id="4"/>
          </w:p>
        </w:tc>
        <w:tc>
          <w:tcPr>
            <w:tcW w:w="3120" w:type="dxa"/>
          </w:tcPr>
          <w:p w:rsidR="00F92527" w:rsidRPr="00F92527" w:rsidRDefault="00F92527" w:rsidP="00D101E0">
            <w:pPr>
              <w:tabs>
                <w:tab w:val="left" w:pos="993"/>
              </w:tabs>
              <w:spacing w:before="0"/>
              <w:rPr>
                <w:rFonts w:asciiTheme="minorHAnsi" w:hAnsiTheme="minorHAnsi"/>
                <w:b/>
              </w:rPr>
            </w:pPr>
            <w:r w:rsidRPr="00F92527">
              <w:rPr>
                <w:rFonts w:asciiTheme="minorHAnsi" w:hAnsiTheme="minorHAnsi"/>
                <w:b/>
              </w:rPr>
              <w:t>English</w:t>
            </w:r>
            <w:r w:rsidR="00851D73">
              <w:rPr>
                <w:rFonts w:asciiTheme="minorHAnsi" w:hAnsiTheme="minorHAnsi"/>
                <w:b/>
              </w:rPr>
              <w:t xml:space="preserve"> only</w:t>
            </w:r>
          </w:p>
        </w:tc>
      </w:tr>
      <w:tr w:rsidR="00F92527" w:rsidRPr="00F92527" w:rsidTr="00CB6FB6">
        <w:trPr>
          <w:cantSplit/>
        </w:trPr>
        <w:tc>
          <w:tcPr>
            <w:tcW w:w="10031" w:type="dxa"/>
            <w:gridSpan w:val="2"/>
          </w:tcPr>
          <w:p w:rsidR="00F92527" w:rsidRPr="00F92527" w:rsidRDefault="00F92527" w:rsidP="00D101E0">
            <w:pPr>
              <w:pStyle w:val="Source"/>
              <w:spacing w:before="840"/>
              <w:rPr>
                <w:rFonts w:asciiTheme="minorHAnsi" w:hAnsiTheme="minorHAnsi"/>
              </w:rPr>
            </w:pPr>
            <w:bookmarkStart w:id="6" w:name="dsource" w:colFirst="0" w:colLast="0"/>
            <w:bookmarkEnd w:id="5"/>
            <w:r w:rsidRPr="00F92527">
              <w:rPr>
                <w:rFonts w:asciiTheme="minorHAnsi" w:hAnsiTheme="minorHAnsi"/>
              </w:rPr>
              <w:t>Report by the Secretary-General</w:t>
            </w:r>
          </w:p>
        </w:tc>
      </w:tr>
      <w:tr w:rsidR="00F92527" w:rsidRPr="00F92527" w:rsidTr="00CB6FB6">
        <w:trPr>
          <w:cantSplit/>
        </w:trPr>
        <w:tc>
          <w:tcPr>
            <w:tcW w:w="10031" w:type="dxa"/>
            <w:gridSpan w:val="2"/>
          </w:tcPr>
          <w:p w:rsidR="00F92527" w:rsidRDefault="00F92527" w:rsidP="00561AA1">
            <w:pPr>
              <w:spacing w:before="240" w:after="480"/>
              <w:jc w:val="center"/>
              <w:rPr>
                <w:rFonts w:asciiTheme="minorHAnsi" w:hAnsiTheme="minorHAnsi"/>
                <w:sz w:val="28"/>
                <w:szCs w:val="28"/>
              </w:rPr>
            </w:pPr>
            <w:bookmarkStart w:id="7" w:name="dtitle1" w:colFirst="0" w:colLast="0"/>
            <w:bookmarkEnd w:id="6"/>
            <w:r w:rsidRPr="00F92527">
              <w:rPr>
                <w:rFonts w:asciiTheme="minorHAnsi" w:hAnsiTheme="minorHAnsi"/>
                <w:sz w:val="28"/>
                <w:szCs w:val="28"/>
              </w:rPr>
              <w:t xml:space="preserve">PROGRESS REPORT ON THE IMPLEMENTATION OF THE HUMAN RESOURCES STRATEGIC PLAN AND OF RESOLUTION 48 (REV. </w:t>
            </w:r>
            <w:r w:rsidR="00561AA1">
              <w:rPr>
                <w:rFonts w:asciiTheme="minorHAnsi" w:hAnsiTheme="minorHAnsi"/>
                <w:sz w:val="28"/>
                <w:szCs w:val="28"/>
              </w:rPr>
              <w:t>BUSAN</w:t>
            </w:r>
            <w:r w:rsidRPr="00F92527">
              <w:rPr>
                <w:rFonts w:asciiTheme="minorHAnsi" w:hAnsiTheme="minorHAnsi"/>
                <w:sz w:val="28"/>
                <w:szCs w:val="28"/>
              </w:rPr>
              <w:t>, 2014)</w:t>
            </w:r>
          </w:p>
          <w:p w:rsidR="007C6E1D" w:rsidRPr="00E3191D" w:rsidRDefault="00160072" w:rsidP="00D101E0">
            <w:pPr>
              <w:spacing w:before="240" w:after="120"/>
              <w:jc w:val="center"/>
              <w:rPr>
                <w:rFonts w:asciiTheme="minorHAnsi" w:hAnsiTheme="minorHAnsi"/>
                <w:bCs/>
                <w:sz w:val="28"/>
                <w:szCs w:val="28"/>
              </w:rPr>
            </w:pPr>
            <w:r w:rsidRPr="00E3191D">
              <w:rPr>
                <w:rFonts w:asciiTheme="minorHAnsi" w:hAnsiTheme="minorHAnsi"/>
                <w:bCs/>
                <w:sz w:val="28"/>
                <w:szCs w:val="28"/>
              </w:rPr>
              <w:t>Creation of an HR Han</w:t>
            </w:r>
            <w:r w:rsidR="0046202F" w:rsidRPr="00E3191D">
              <w:rPr>
                <w:rFonts w:asciiTheme="minorHAnsi" w:hAnsiTheme="minorHAnsi"/>
                <w:bCs/>
                <w:sz w:val="28"/>
                <w:szCs w:val="28"/>
              </w:rPr>
              <w:t>d</w:t>
            </w:r>
            <w:r w:rsidRPr="00E3191D">
              <w:rPr>
                <w:rFonts w:asciiTheme="minorHAnsi" w:hAnsiTheme="minorHAnsi"/>
                <w:bCs/>
                <w:sz w:val="28"/>
                <w:szCs w:val="28"/>
              </w:rPr>
              <w:t>book</w:t>
            </w:r>
          </w:p>
        </w:tc>
      </w:tr>
    </w:tbl>
    <w:bookmarkEnd w:id="7"/>
    <w:p w:rsidR="00407DFE" w:rsidRPr="00D101E0" w:rsidRDefault="00407DFE" w:rsidP="00D101E0">
      <w:pPr>
        <w:pStyle w:val="NormalWeb"/>
        <w:shd w:val="clear" w:color="auto" w:fill="FFFFFF"/>
        <w:snapToGrid w:val="0"/>
        <w:spacing w:before="360" w:beforeAutospacing="0" w:after="120" w:afterAutospacing="0"/>
        <w:jc w:val="both"/>
        <w:rPr>
          <w:rFonts w:asciiTheme="minorHAnsi" w:hAnsiTheme="minorHAnsi"/>
          <w:b/>
          <w:bCs/>
        </w:rPr>
      </w:pPr>
      <w:r w:rsidRPr="00D101E0">
        <w:rPr>
          <w:rFonts w:asciiTheme="minorHAnsi" w:hAnsiTheme="minorHAnsi"/>
          <w:b/>
          <w:bCs/>
        </w:rPr>
        <w:t>Introduction</w:t>
      </w:r>
    </w:p>
    <w:p w:rsidR="0046202F" w:rsidRPr="00D101E0" w:rsidRDefault="0046202F" w:rsidP="00EF567C">
      <w:pPr>
        <w:pStyle w:val="NormalWeb"/>
        <w:shd w:val="clear" w:color="auto" w:fill="FFFFFF"/>
        <w:snapToGrid w:val="0"/>
        <w:spacing w:before="120" w:beforeAutospacing="0" w:after="120" w:afterAutospacing="0"/>
        <w:jc w:val="both"/>
        <w:rPr>
          <w:rFonts w:asciiTheme="minorHAnsi" w:hAnsiTheme="minorHAnsi"/>
        </w:rPr>
      </w:pPr>
      <w:r w:rsidRPr="00D101E0">
        <w:rPr>
          <w:rFonts w:asciiTheme="minorHAnsi" w:hAnsiTheme="minorHAnsi" w:cs="Arial"/>
          <w:shd w:val="clear" w:color="auto" w:fill="FFFFFF"/>
        </w:rPr>
        <w:t xml:space="preserve">Whether you are a new </w:t>
      </w:r>
      <w:r w:rsidR="00407DFE" w:rsidRPr="00D101E0">
        <w:rPr>
          <w:rFonts w:asciiTheme="minorHAnsi" w:hAnsiTheme="minorHAnsi" w:cs="Arial"/>
          <w:shd w:val="clear" w:color="auto" w:fill="FFFFFF"/>
        </w:rPr>
        <w:t xml:space="preserve">staff member, a newly </w:t>
      </w:r>
      <w:r w:rsidRPr="00D101E0">
        <w:rPr>
          <w:rFonts w:asciiTheme="minorHAnsi" w:hAnsiTheme="minorHAnsi" w:cs="Arial"/>
          <w:shd w:val="clear" w:color="auto" w:fill="FFFFFF"/>
        </w:rPr>
        <w:t xml:space="preserve">promoted manager, or a human resources professional, knowing the ins and outs of dealing with HR issues is </w:t>
      </w:r>
      <w:r w:rsidR="00407DFE" w:rsidRPr="00D101E0">
        <w:rPr>
          <w:rFonts w:asciiTheme="minorHAnsi" w:hAnsiTheme="minorHAnsi" w:cs="Arial"/>
          <w:shd w:val="clear" w:color="auto" w:fill="FFFFFF"/>
        </w:rPr>
        <w:t>essential in your professional day-to-day life</w:t>
      </w:r>
      <w:r w:rsidRPr="00D101E0">
        <w:rPr>
          <w:rFonts w:asciiTheme="minorHAnsi" w:hAnsiTheme="minorHAnsi" w:cs="Arial"/>
          <w:shd w:val="clear" w:color="auto" w:fill="FFFFFF"/>
        </w:rPr>
        <w:t xml:space="preserve">. The HR Handbook is a quick-reference guide that sheds light on the issues that keep </w:t>
      </w:r>
      <w:r w:rsidR="00407DFE" w:rsidRPr="00D101E0">
        <w:rPr>
          <w:rFonts w:asciiTheme="minorHAnsi" w:hAnsiTheme="minorHAnsi" w:cs="Arial"/>
          <w:shd w:val="clear" w:color="auto" w:fill="FFFFFF"/>
        </w:rPr>
        <w:t>you</w:t>
      </w:r>
      <w:r w:rsidRPr="00D101E0">
        <w:rPr>
          <w:rFonts w:asciiTheme="minorHAnsi" w:hAnsiTheme="minorHAnsi" w:cs="Arial"/>
          <w:shd w:val="clear" w:color="auto" w:fill="FFFFFF"/>
        </w:rPr>
        <w:t xml:space="preserve"> up at night. It is filled with information, tools, tips, checklists, and road maps to guide </w:t>
      </w:r>
      <w:r w:rsidR="00407DFE" w:rsidRPr="00D101E0">
        <w:rPr>
          <w:rFonts w:asciiTheme="minorHAnsi" w:hAnsiTheme="minorHAnsi" w:cs="Arial"/>
          <w:shd w:val="clear" w:color="auto" w:fill="FFFFFF"/>
        </w:rPr>
        <w:t xml:space="preserve">staff, </w:t>
      </w:r>
      <w:r w:rsidRPr="00D101E0">
        <w:rPr>
          <w:rFonts w:asciiTheme="minorHAnsi" w:hAnsiTheme="minorHAnsi" w:cs="Arial"/>
          <w:shd w:val="clear" w:color="auto" w:fill="FFFFFF"/>
        </w:rPr>
        <w:t xml:space="preserve">managers and HR professionals through the maze of people and legal issues, from </w:t>
      </w:r>
      <w:r w:rsidR="00407DFE" w:rsidRPr="00D101E0">
        <w:rPr>
          <w:rFonts w:asciiTheme="minorHAnsi" w:hAnsiTheme="minorHAnsi" w:cs="Arial"/>
          <w:shd w:val="clear" w:color="auto" w:fill="FFFFFF"/>
        </w:rPr>
        <w:t>recruitment to the end-of</w:t>
      </w:r>
      <w:r w:rsidR="00EF567C">
        <w:rPr>
          <w:rFonts w:asciiTheme="minorHAnsi" w:hAnsiTheme="minorHAnsi" w:cs="Arial"/>
          <w:shd w:val="clear" w:color="auto" w:fill="FFFFFF"/>
        </w:rPr>
        <w:t>-</w:t>
      </w:r>
      <w:r w:rsidR="00407DFE" w:rsidRPr="00D101E0">
        <w:rPr>
          <w:rFonts w:asciiTheme="minorHAnsi" w:hAnsiTheme="minorHAnsi" w:cs="Arial"/>
          <w:shd w:val="clear" w:color="auto" w:fill="FFFFFF"/>
        </w:rPr>
        <w:t>service, providing detailed and g</w:t>
      </w:r>
      <w:r w:rsidR="00407DFE" w:rsidRPr="00D101E0">
        <w:rPr>
          <w:rFonts w:asciiTheme="minorHAnsi" w:hAnsiTheme="minorHAnsi"/>
        </w:rPr>
        <w:t>eneral descriptions of regulations an</w:t>
      </w:r>
      <w:r w:rsidR="00EF567C">
        <w:rPr>
          <w:rFonts w:asciiTheme="minorHAnsi" w:hAnsiTheme="minorHAnsi"/>
        </w:rPr>
        <w:t>d</w:t>
      </w:r>
      <w:r w:rsidR="00407DFE" w:rsidRPr="00D101E0">
        <w:rPr>
          <w:rFonts w:asciiTheme="minorHAnsi" w:hAnsiTheme="minorHAnsi"/>
        </w:rPr>
        <w:t xml:space="preserve"> rules, policies, programs, and benefits, as well as guidelines for job performance and job behavior relating to staff members</w:t>
      </w:r>
      <w:r w:rsidR="00D101E0">
        <w:rPr>
          <w:rFonts w:asciiTheme="minorHAnsi" w:hAnsiTheme="minorHAnsi"/>
        </w:rPr>
        <w:t>.</w:t>
      </w:r>
    </w:p>
    <w:p w:rsidR="00160072" w:rsidRPr="00D101E0" w:rsidRDefault="00407DFE" w:rsidP="00DB01EF">
      <w:pPr>
        <w:pStyle w:val="NormalWeb"/>
        <w:shd w:val="clear" w:color="auto" w:fill="FFFFFF"/>
        <w:snapToGrid w:val="0"/>
        <w:spacing w:before="120" w:beforeAutospacing="0" w:after="120" w:afterAutospacing="0"/>
        <w:jc w:val="both"/>
        <w:rPr>
          <w:rFonts w:asciiTheme="minorHAnsi" w:hAnsiTheme="minorHAnsi"/>
        </w:rPr>
      </w:pPr>
      <w:r w:rsidRPr="00D101E0">
        <w:rPr>
          <w:rFonts w:asciiTheme="minorHAnsi" w:hAnsiTheme="minorHAnsi"/>
        </w:rPr>
        <w:t xml:space="preserve">The HR Handbook is organized on the basis of the various texts applicable to all </w:t>
      </w:r>
      <w:r w:rsidR="00EF567C">
        <w:rPr>
          <w:rFonts w:asciiTheme="minorHAnsi" w:hAnsiTheme="minorHAnsi"/>
        </w:rPr>
        <w:t>s</w:t>
      </w:r>
      <w:r w:rsidRPr="00D101E0">
        <w:rPr>
          <w:rFonts w:asciiTheme="minorHAnsi" w:hAnsiTheme="minorHAnsi"/>
        </w:rPr>
        <w:t xml:space="preserve">taff members of ITU and </w:t>
      </w:r>
      <w:r w:rsidR="007C6E1D" w:rsidRPr="00D101E0">
        <w:rPr>
          <w:rFonts w:asciiTheme="minorHAnsi" w:hAnsiTheme="minorHAnsi"/>
        </w:rPr>
        <w:t xml:space="preserve">guiding </w:t>
      </w:r>
      <w:r w:rsidR="00DB01EF">
        <w:rPr>
          <w:rFonts w:asciiTheme="minorHAnsi" w:hAnsiTheme="minorHAnsi"/>
        </w:rPr>
        <w:t>the</w:t>
      </w:r>
      <w:r w:rsidR="00DB01EF" w:rsidRPr="00D101E0">
        <w:rPr>
          <w:rFonts w:asciiTheme="minorHAnsi" w:hAnsiTheme="minorHAnsi"/>
        </w:rPr>
        <w:t xml:space="preserve"> </w:t>
      </w:r>
      <w:r w:rsidR="007C6E1D" w:rsidRPr="00D101E0">
        <w:rPr>
          <w:rFonts w:asciiTheme="minorHAnsi" w:hAnsiTheme="minorHAnsi"/>
        </w:rPr>
        <w:t xml:space="preserve">status, conditions of service and conduct as </w:t>
      </w:r>
      <w:r w:rsidR="00160072" w:rsidRPr="00D101E0">
        <w:rPr>
          <w:rFonts w:asciiTheme="minorHAnsi" w:hAnsiTheme="minorHAnsi"/>
        </w:rPr>
        <w:t>ITU</w:t>
      </w:r>
      <w:r w:rsidR="007C6E1D" w:rsidRPr="00D101E0">
        <w:rPr>
          <w:rFonts w:asciiTheme="minorHAnsi" w:hAnsiTheme="minorHAnsi"/>
        </w:rPr>
        <w:t xml:space="preserve"> staff members</w:t>
      </w:r>
      <w:r w:rsidR="00E71D1C" w:rsidRPr="00D101E0">
        <w:rPr>
          <w:rFonts w:asciiTheme="minorHAnsi" w:hAnsiTheme="minorHAnsi"/>
        </w:rPr>
        <w:t>, including the following</w:t>
      </w:r>
      <w:r w:rsidR="00160072" w:rsidRPr="00D101E0">
        <w:rPr>
          <w:rFonts w:asciiTheme="minorHAnsi" w:hAnsiTheme="minorHAnsi"/>
        </w:rPr>
        <w:t xml:space="preserve">: </w:t>
      </w:r>
    </w:p>
    <w:p w:rsidR="00160072" w:rsidRPr="00D101E0" w:rsidRDefault="00160072" w:rsidP="00D101E0">
      <w:pPr>
        <w:pStyle w:val="NormalWeb"/>
        <w:numPr>
          <w:ilvl w:val="0"/>
          <w:numId w:val="24"/>
        </w:numPr>
        <w:shd w:val="clear" w:color="auto" w:fill="FFFFFF"/>
        <w:snapToGrid w:val="0"/>
        <w:spacing w:before="120" w:beforeAutospacing="0" w:after="120" w:afterAutospacing="0"/>
        <w:ind w:left="426" w:hanging="426"/>
        <w:rPr>
          <w:rFonts w:asciiTheme="minorHAnsi" w:hAnsiTheme="minorHAnsi"/>
        </w:rPr>
      </w:pPr>
      <w:r w:rsidRPr="00D101E0">
        <w:rPr>
          <w:rFonts w:asciiTheme="minorHAnsi" w:hAnsiTheme="minorHAnsi"/>
        </w:rPr>
        <w:t>ITU Constitution</w:t>
      </w:r>
      <w:r w:rsidRPr="00D101E0">
        <w:rPr>
          <w:rFonts w:asciiTheme="minorHAnsi" w:hAnsiTheme="minorHAnsi"/>
        </w:rPr>
        <w:br/>
        <w:t>Article 8, the Plenipotentiary Conference, Number 52</w:t>
      </w:r>
      <w:r w:rsidR="00C018DC" w:rsidRPr="00D101E0">
        <w:rPr>
          <w:rFonts w:asciiTheme="minorHAnsi" w:hAnsiTheme="minorHAnsi"/>
        </w:rPr>
        <w:br/>
      </w:r>
      <w:r w:rsidRPr="00D101E0">
        <w:rPr>
          <w:rFonts w:asciiTheme="minorHAnsi" w:hAnsiTheme="minorHAnsi"/>
        </w:rPr>
        <w:t>Article 27 Elected officials and Staff of the Union</w:t>
      </w:r>
    </w:p>
    <w:p w:rsidR="00160072" w:rsidRPr="00D101E0" w:rsidRDefault="00160072" w:rsidP="00D101E0">
      <w:pPr>
        <w:pStyle w:val="NormalWeb"/>
        <w:numPr>
          <w:ilvl w:val="0"/>
          <w:numId w:val="24"/>
        </w:numPr>
        <w:shd w:val="clear" w:color="auto" w:fill="FFFFFF"/>
        <w:snapToGrid w:val="0"/>
        <w:spacing w:before="120" w:beforeAutospacing="0" w:after="120" w:afterAutospacing="0"/>
        <w:ind w:left="426" w:hanging="426"/>
        <w:rPr>
          <w:rFonts w:asciiTheme="minorHAnsi" w:hAnsiTheme="minorHAnsi"/>
        </w:rPr>
      </w:pPr>
      <w:r w:rsidRPr="00D101E0">
        <w:rPr>
          <w:rFonts w:asciiTheme="minorHAnsi" w:hAnsiTheme="minorHAnsi"/>
        </w:rPr>
        <w:t>ITU Convention</w:t>
      </w:r>
      <w:r w:rsidRPr="00D101E0">
        <w:rPr>
          <w:rFonts w:asciiTheme="minorHAnsi" w:hAnsiTheme="minorHAnsi"/>
        </w:rPr>
        <w:br/>
        <w:t>Article 4, The Council, Numbers 63 to 72</w:t>
      </w:r>
    </w:p>
    <w:p w:rsidR="00160072" w:rsidRPr="00D101E0" w:rsidRDefault="00E71D1C" w:rsidP="00D101E0">
      <w:pPr>
        <w:pStyle w:val="NormalWeb"/>
        <w:numPr>
          <w:ilvl w:val="0"/>
          <w:numId w:val="24"/>
        </w:numPr>
        <w:shd w:val="clear" w:color="auto" w:fill="FFFFFF"/>
        <w:snapToGrid w:val="0"/>
        <w:spacing w:before="120" w:beforeAutospacing="0" w:after="120" w:afterAutospacing="0"/>
        <w:ind w:left="426" w:hanging="426"/>
        <w:rPr>
          <w:rFonts w:asciiTheme="minorHAnsi" w:hAnsiTheme="minorHAnsi"/>
        </w:rPr>
      </w:pPr>
      <w:r w:rsidRPr="00D101E0">
        <w:rPr>
          <w:rFonts w:asciiTheme="minorHAnsi" w:hAnsiTheme="minorHAnsi"/>
        </w:rPr>
        <w:t>Resolution 48 (Re. Busan, 2014) on human resources management and development</w:t>
      </w:r>
    </w:p>
    <w:p w:rsidR="00E71D1C" w:rsidRPr="00D101E0" w:rsidRDefault="00E71D1C" w:rsidP="00D101E0">
      <w:pPr>
        <w:pStyle w:val="NormalWeb"/>
        <w:numPr>
          <w:ilvl w:val="0"/>
          <w:numId w:val="24"/>
        </w:numPr>
        <w:shd w:val="clear" w:color="auto" w:fill="FFFFFF"/>
        <w:snapToGrid w:val="0"/>
        <w:spacing w:before="120" w:beforeAutospacing="0" w:after="120" w:afterAutospacing="0"/>
        <w:ind w:left="426" w:hanging="426"/>
        <w:rPr>
          <w:rFonts w:asciiTheme="minorHAnsi" w:hAnsiTheme="minorHAnsi"/>
        </w:rPr>
      </w:pPr>
      <w:r w:rsidRPr="00D101E0">
        <w:rPr>
          <w:rFonts w:asciiTheme="minorHAnsi" w:hAnsiTheme="minorHAnsi"/>
        </w:rPr>
        <w:t xml:space="preserve">Council </w:t>
      </w:r>
      <w:r w:rsidR="0063105D" w:rsidRPr="00D101E0">
        <w:rPr>
          <w:rFonts w:asciiTheme="minorHAnsi" w:hAnsiTheme="minorHAnsi"/>
        </w:rPr>
        <w:t>decision</w:t>
      </w:r>
      <w:r w:rsidR="00117805" w:rsidRPr="00D101E0">
        <w:rPr>
          <w:rFonts w:asciiTheme="minorHAnsi" w:hAnsiTheme="minorHAnsi"/>
        </w:rPr>
        <w:t>s</w:t>
      </w:r>
      <w:r w:rsidR="0063105D" w:rsidRPr="00D101E0">
        <w:rPr>
          <w:rFonts w:asciiTheme="minorHAnsi" w:hAnsiTheme="minorHAnsi"/>
        </w:rPr>
        <w:t xml:space="preserve"> and resolutions</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D 2 List of permanent and temporary posts and of their incumbents </w:t>
      </w:r>
    </w:p>
    <w:p w:rsidR="00C018DC" w:rsidRPr="00D101E0" w:rsidRDefault="00C018DC" w:rsidP="00D101E0">
      <w:pPr>
        <w:pStyle w:val="NormalWeb"/>
        <w:numPr>
          <w:ilvl w:val="0"/>
          <w:numId w:val="27"/>
        </w:numPr>
        <w:shd w:val="clear" w:color="auto" w:fill="FFFFFF"/>
        <w:snapToGrid w:val="0"/>
        <w:spacing w:before="40" w:beforeAutospacing="0" w:after="40" w:afterAutospacing="0"/>
        <w:ind w:left="709" w:hanging="283"/>
        <w:rPr>
          <w:rFonts w:asciiTheme="minorHAnsi" w:hAnsiTheme="minorHAnsi"/>
        </w:rPr>
      </w:pPr>
      <w:r w:rsidRPr="00D101E0">
        <w:rPr>
          <w:rFonts w:asciiTheme="minorHAnsi" w:hAnsiTheme="minorHAnsi" w:cs="Calibri"/>
        </w:rPr>
        <w:t>D 399 Staff representation</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D 517 Strengthening Dialogue between the ITU Administration and the ITU Staff Council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D 548 Conditions of service of the Elected Officials – Special housing subsidy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D 579 Mandatory age of retirement at ITU</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lastRenderedPageBreak/>
        <w:t xml:space="preserve">D 582 Voluntary Separation and Early Retirement programme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D 593 Amendments to Staff Regulations applicable to appointed Staff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D 594 Mandatory age of retirement at ITU</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D 595 Amendment to Article 5 of the Regulations for the Staff Superannuation and Benevolent Funds of the International Telecommunication Union</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D 596 Final disposal of the assets of the Pension Fund for the Staff Superannuation and Benevolent Funds of the International Telecommunication Union</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D 597 Amendments to Staff Regulations applicable to appointed Staff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R 105 Issue of United Nations laissez-passer to officials of the ITU</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260 Leave for military service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261 Position of families of Union officials liable to mobilization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R 440 Investments of funds of the ITU staff superannuation and benevolent funds</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R 463 Actuarial bases for the ITU Staff Superannuation and Benevolent Funds</w:t>
      </w:r>
    </w:p>
    <w:p w:rsidR="00C018DC" w:rsidRPr="00D101E0" w:rsidRDefault="00C018DC" w:rsidP="00D101E0">
      <w:pPr>
        <w:pStyle w:val="NormalWeb"/>
        <w:numPr>
          <w:ilvl w:val="0"/>
          <w:numId w:val="27"/>
        </w:numPr>
        <w:shd w:val="clear" w:color="auto" w:fill="FFFFFF"/>
        <w:snapToGrid w:val="0"/>
        <w:spacing w:before="40" w:beforeAutospacing="0" w:after="40" w:afterAutospacing="0"/>
        <w:ind w:left="709" w:hanging="283"/>
        <w:rPr>
          <w:rFonts w:asciiTheme="minorHAnsi" w:hAnsiTheme="minorHAnsi"/>
        </w:rPr>
      </w:pPr>
      <w:r w:rsidRPr="00D101E0">
        <w:rPr>
          <w:rFonts w:asciiTheme="minorHAnsi" w:hAnsiTheme="minorHAnsi" w:cs="Calibri"/>
        </w:rPr>
        <w:t>R 559 Cost-of-living allowances to beneficiaries of the S.S. and B. Funds</w:t>
      </w:r>
    </w:p>
    <w:p w:rsidR="00C018DC" w:rsidRPr="00D101E0" w:rsidRDefault="00C018DC" w:rsidP="00D101E0">
      <w:pPr>
        <w:pStyle w:val="NormalWeb"/>
        <w:numPr>
          <w:ilvl w:val="0"/>
          <w:numId w:val="27"/>
        </w:numPr>
        <w:shd w:val="clear" w:color="auto" w:fill="FFFFFF"/>
        <w:snapToGrid w:val="0"/>
        <w:spacing w:before="40" w:beforeAutospacing="0" w:after="40" w:afterAutospacing="0"/>
        <w:ind w:left="709" w:hanging="283"/>
        <w:rPr>
          <w:rFonts w:asciiTheme="minorHAnsi" w:hAnsiTheme="minorHAnsi"/>
        </w:rPr>
      </w:pPr>
      <w:r w:rsidRPr="00D101E0">
        <w:rPr>
          <w:rFonts w:asciiTheme="minorHAnsi" w:hAnsiTheme="minorHAnsi" w:cs="Calibri"/>
        </w:rPr>
        <w:t>R 626 Advertisement of vacancies</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647 Changes in the United Nations common system conditions of remuneration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685 International recruitment procedure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R 747 International Civil Service Commission</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792 Proposed amendments to Staff Regulations and Staff Rules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1004 Privileges, immunities and facilities related to activities of the Union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1106 Implementation of the recommendations of the Tripartite Consultative Group on Human Resources Management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1107 Classification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1108 Post management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1142 Occupational illness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1299 Establishment of a Strategic Plan for Human Resources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1369 Amendments to Staff Regulations applicable to appointed Staff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1383 Conditions of service of ITU Elected Officials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 xml:space="preserve">R 1187 Gender Perspective in ITU Human Resource Management, Policy and Practice </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R 589 Cost-of-living allowances granted to beneficiaries of the ITU SS and B. Funds</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pacing w:val="-2"/>
          <w:szCs w:val="24"/>
          <w:lang w:val="en-US" w:eastAsia="zh-CN"/>
        </w:rPr>
      </w:pPr>
      <w:r w:rsidRPr="00D101E0">
        <w:rPr>
          <w:rFonts w:asciiTheme="minorHAnsi" w:hAnsiTheme="minorHAnsi" w:cs="Calibri"/>
          <w:spacing w:val="-2"/>
          <w:szCs w:val="24"/>
          <w:lang w:val="en-US" w:eastAsia="zh-CN"/>
        </w:rPr>
        <w:t>R 1211 Statutory rate of interest of the ITU Staff Superannuation and Benevolent funds</w:t>
      </w:r>
    </w:p>
    <w:p w:rsidR="00C018DC" w:rsidRPr="00D101E0" w:rsidRDefault="00C018DC" w:rsidP="00D101E0">
      <w:pPr>
        <w:pStyle w:val="ListParagraph"/>
        <w:numPr>
          <w:ilvl w:val="0"/>
          <w:numId w:val="27"/>
        </w:numPr>
        <w:tabs>
          <w:tab w:val="clear" w:pos="794"/>
          <w:tab w:val="clear" w:pos="1191"/>
          <w:tab w:val="clear" w:pos="1588"/>
          <w:tab w:val="clear" w:pos="1985"/>
        </w:tabs>
        <w:overflowPunct/>
        <w:snapToGrid w:val="0"/>
        <w:spacing w:before="40" w:after="40"/>
        <w:ind w:left="709" w:hanging="283"/>
        <w:contextualSpacing w:val="0"/>
        <w:textAlignment w:val="auto"/>
        <w:rPr>
          <w:rFonts w:asciiTheme="minorHAnsi" w:hAnsiTheme="minorHAnsi" w:cs="Calibri"/>
          <w:szCs w:val="24"/>
          <w:lang w:val="en-US" w:eastAsia="zh-CN"/>
        </w:rPr>
      </w:pPr>
      <w:r w:rsidRPr="00D101E0">
        <w:rPr>
          <w:rFonts w:asciiTheme="minorHAnsi" w:hAnsiTheme="minorHAnsi" w:cs="Calibri"/>
          <w:szCs w:val="24"/>
          <w:lang w:val="en-US" w:eastAsia="zh-CN"/>
        </w:rPr>
        <w:t>R 1371 Membership of the ITU Staff Pension Committee</w:t>
      </w:r>
    </w:p>
    <w:p w:rsidR="00E71D1C" w:rsidRPr="00D101E0" w:rsidRDefault="00E71D1C" w:rsidP="00D101E0">
      <w:pPr>
        <w:pStyle w:val="NormalWeb"/>
        <w:numPr>
          <w:ilvl w:val="0"/>
          <w:numId w:val="24"/>
        </w:numPr>
        <w:shd w:val="clear" w:color="auto" w:fill="FFFFFF"/>
        <w:snapToGrid w:val="0"/>
        <w:spacing w:before="120" w:beforeAutospacing="0" w:after="120" w:afterAutospacing="0"/>
        <w:ind w:left="426" w:hanging="426"/>
        <w:jc w:val="both"/>
        <w:rPr>
          <w:rFonts w:asciiTheme="minorHAnsi" w:hAnsiTheme="minorHAnsi"/>
        </w:rPr>
      </w:pPr>
      <w:r w:rsidRPr="00D101E0">
        <w:rPr>
          <w:rFonts w:asciiTheme="minorHAnsi" w:hAnsiTheme="minorHAnsi"/>
        </w:rPr>
        <w:t>Staff Regulations and Rules applicable to Elected officials, Staff Regulations and Rules applicable to appointed staff and Staff Rules applicable to staff appointed for conferences and other short term service</w:t>
      </w:r>
      <w:r w:rsidR="00117805" w:rsidRPr="00D101E0">
        <w:rPr>
          <w:rFonts w:asciiTheme="minorHAnsi" w:hAnsiTheme="minorHAnsi"/>
        </w:rPr>
        <w:t>.</w:t>
      </w:r>
    </w:p>
    <w:p w:rsidR="00160072" w:rsidRPr="00D101E0" w:rsidRDefault="00E71D1C" w:rsidP="00D101E0">
      <w:pPr>
        <w:pStyle w:val="NormalWeb"/>
        <w:numPr>
          <w:ilvl w:val="0"/>
          <w:numId w:val="24"/>
        </w:numPr>
        <w:shd w:val="clear" w:color="auto" w:fill="FFFFFF"/>
        <w:snapToGrid w:val="0"/>
        <w:spacing w:before="120" w:beforeAutospacing="0" w:after="120" w:afterAutospacing="0"/>
        <w:ind w:left="426" w:hanging="426"/>
        <w:jc w:val="both"/>
        <w:rPr>
          <w:rFonts w:asciiTheme="minorHAnsi" w:hAnsiTheme="minorHAnsi"/>
        </w:rPr>
      </w:pPr>
      <w:r w:rsidRPr="00D101E0">
        <w:rPr>
          <w:rFonts w:asciiTheme="minorHAnsi" w:hAnsiTheme="minorHAnsi"/>
        </w:rPr>
        <w:t>Service orders and office memoranda published by the Secretary-General in accordance with the applicable consultative process, complementing the Staff Regulations and Rules</w:t>
      </w:r>
      <w:r w:rsidR="00160072" w:rsidRPr="00D101E0">
        <w:rPr>
          <w:rFonts w:asciiTheme="minorHAnsi" w:hAnsiTheme="minorHAnsi"/>
        </w:rPr>
        <w:t>.</w:t>
      </w:r>
    </w:p>
    <w:p w:rsidR="00E71D1C" w:rsidRPr="00D101E0" w:rsidRDefault="00E71D1C" w:rsidP="00DB01EF">
      <w:pPr>
        <w:pStyle w:val="NormalWeb"/>
        <w:shd w:val="clear" w:color="auto" w:fill="FFFFFF"/>
        <w:snapToGrid w:val="0"/>
        <w:spacing w:before="120" w:beforeAutospacing="0" w:after="120" w:afterAutospacing="0"/>
        <w:jc w:val="both"/>
        <w:rPr>
          <w:rFonts w:asciiTheme="minorHAnsi" w:hAnsiTheme="minorHAnsi"/>
        </w:rPr>
      </w:pPr>
      <w:r w:rsidRPr="00D101E0">
        <w:rPr>
          <w:rFonts w:asciiTheme="minorHAnsi" w:hAnsiTheme="minorHAnsi"/>
        </w:rPr>
        <w:t>Th</w:t>
      </w:r>
      <w:r w:rsidR="00DB01EF">
        <w:rPr>
          <w:rFonts w:asciiTheme="minorHAnsi" w:hAnsiTheme="minorHAnsi"/>
        </w:rPr>
        <w:t>e</w:t>
      </w:r>
      <w:r w:rsidRPr="00D101E0">
        <w:rPr>
          <w:rFonts w:asciiTheme="minorHAnsi" w:hAnsiTheme="minorHAnsi"/>
        </w:rPr>
        <w:t>se texts</w:t>
      </w:r>
      <w:r w:rsidR="007C6E1D" w:rsidRPr="00D101E0">
        <w:rPr>
          <w:rFonts w:asciiTheme="minorHAnsi" w:hAnsiTheme="minorHAnsi"/>
        </w:rPr>
        <w:t xml:space="preserve"> serve as the organization</w:t>
      </w:r>
      <w:r w:rsidR="0010656C">
        <w:rPr>
          <w:rFonts w:asciiTheme="minorHAnsi" w:hAnsiTheme="minorHAnsi"/>
        </w:rPr>
        <w:t>’</w:t>
      </w:r>
      <w:r w:rsidR="007C6E1D" w:rsidRPr="00D101E0">
        <w:rPr>
          <w:rFonts w:asciiTheme="minorHAnsi" w:hAnsiTheme="minorHAnsi"/>
        </w:rPr>
        <w:t xml:space="preserve">s legislative framework, defining </w:t>
      </w:r>
      <w:r w:rsidR="00407DFE" w:rsidRPr="00D101E0">
        <w:rPr>
          <w:rFonts w:asciiTheme="minorHAnsi" w:hAnsiTheme="minorHAnsi"/>
        </w:rPr>
        <w:t xml:space="preserve">rights and </w:t>
      </w:r>
      <w:r w:rsidR="007C6E1D" w:rsidRPr="00D101E0">
        <w:rPr>
          <w:rFonts w:asciiTheme="minorHAnsi" w:hAnsiTheme="minorHAnsi"/>
        </w:rPr>
        <w:t xml:space="preserve">obligations of management and staff. </w:t>
      </w:r>
    </w:p>
    <w:p w:rsidR="007C6E1D" w:rsidRPr="00D101E0" w:rsidRDefault="007C6E1D" w:rsidP="00D101E0">
      <w:pPr>
        <w:pStyle w:val="NormalWeb"/>
        <w:shd w:val="clear" w:color="auto" w:fill="FFFFFF"/>
        <w:snapToGrid w:val="0"/>
        <w:spacing w:before="120" w:beforeAutospacing="0" w:after="120" w:afterAutospacing="0"/>
        <w:jc w:val="both"/>
        <w:rPr>
          <w:rFonts w:asciiTheme="minorHAnsi" w:hAnsiTheme="minorHAnsi"/>
        </w:rPr>
      </w:pPr>
      <w:r w:rsidRPr="00D101E0">
        <w:rPr>
          <w:rFonts w:asciiTheme="minorHAnsi" w:hAnsiTheme="minorHAnsi"/>
        </w:rPr>
        <w:t xml:space="preserve">Here </w:t>
      </w:r>
      <w:r w:rsidR="00DB1D71" w:rsidRPr="00D101E0">
        <w:rPr>
          <w:rFonts w:asciiTheme="minorHAnsi" w:hAnsiTheme="minorHAnsi"/>
        </w:rPr>
        <w:t>are the</w:t>
      </w:r>
      <w:r w:rsidRPr="00D101E0">
        <w:rPr>
          <w:rFonts w:asciiTheme="minorHAnsi" w:hAnsiTheme="minorHAnsi"/>
        </w:rPr>
        <w:t xml:space="preserve"> descriptions of the various issuances within the legislative framework. All of these follow a hierarchy as explained below, and can be found in the HR Handbook.</w:t>
      </w:r>
      <w:r w:rsidR="00DB1D71" w:rsidRPr="00D101E0">
        <w:rPr>
          <w:rFonts w:asciiTheme="minorHAnsi" w:hAnsiTheme="minorHAnsi"/>
        </w:rPr>
        <w:t xml:space="preserve"> </w:t>
      </w:r>
    </w:p>
    <w:p w:rsidR="007C6E1D" w:rsidRPr="00D101E0" w:rsidRDefault="00DB1D71" w:rsidP="00D101E0">
      <w:pPr>
        <w:pStyle w:val="Heading4"/>
        <w:keepNext w:val="0"/>
        <w:keepLines w:val="0"/>
        <w:shd w:val="clear" w:color="auto" w:fill="FFFFFF"/>
        <w:snapToGrid w:val="0"/>
        <w:spacing w:before="120" w:after="120"/>
        <w:ind w:left="426"/>
        <w:jc w:val="both"/>
        <w:rPr>
          <w:rFonts w:asciiTheme="minorHAnsi" w:hAnsiTheme="minorHAnsi"/>
          <w:szCs w:val="24"/>
        </w:rPr>
      </w:pPr>
      <w:r w:rsidRPr="00D101E0">
        <w:rPr>
          <w:rFonts w:asciiTheme="minorHAnsi" w:hAnsiTheme="minorHAnsi"/>
          <w:b/>
          <w:bCs/>
          <w:szCs w:val="24"/>
        </w:rPr>
        <w:lastRenderedPageBreak/>
        <w:t xml:space="preserve">ITU </w:t>
      </w:r>
      <w:r w:rsidR="00A2730C" w:rsidRPr="00D101E0">
        <w:rPr>
          <w:rFonts w:asciiTheme="minorHAnsi" w:hAnsiTheme="minorHAnsi"/>
          <w:b/>
          <w:bCs/>
          <w:szCs w:val="24"/>
        </w:rPr>
        <w:t>C</w:t>
      </w:r>
      <w:r w:rsidRPr="00D101E0">
        <w:rPr>
          <w:rFonts w:asciiTheme="minorHAnsi" w:hAnsiTheme="minorHAnsi"/>
          <w:b/>
          <w:bCs/>
          <w:szCs w:val="24"/>
        </w:rPr>
        <w:t xml:space="preserve">onstitution and </w:t>
      </w:r>
      <w:r w:rsidR="00A2730C" w:rsidRPr="00D101E0">
        <w:rPr>
          <w:rFonts w:asciiTheme="minorHAnsi" w:hAnsiTheme="minorHAnsi"/>
          <w:b/>
          <w:bCs/>
          <w:szCs w:val="24"/>
        </w:rPr>
        <w:t>C</w:t>
      </w:r>
      <w:r w:rsidRPr="00D101E0">
        <w:rPr>
          <w:rFonts w:asciiTheme="minorHAnsi" w:hAnsiTheme="minorHAnsi"/>
          <w:b/>
          <w:bCs/>
          <w:szCs w:val="24"/>
        </w:rPr>
        <w:t>onvention</w:t>
      </w:r>
    </w:p>
    <w:p w:rsidR="00407DFE" w:rsidRPr="00D101E0" w:rsidRDefault="00407DFE" w:rsidP="00D101E0">
      <w:pPr>
        <w:pStyle w:val="NormalWeb"/>
        <w:shd w:val="clear" w:color="auto" w:fill="FFFFFF"/>
        <w:snapToGrid w:val="0"/>
        <w:spacing w:before="120" w:beforeAutospacing="0" w:after="120" w:afterAutospacing="0"/>
        <w:ind w:left="426"/>
        <w:jc w:val="both"/>
        <w:rPr>
          <w:rFonts w:asciiTheme="minorHAnsi" w:hAnsiTheme="minorHAnsi"/>
        </w:rPr>
      </w:pPr>
      <w:r w:rsidRPr="00D101E0">
        <w:rPr>
          <w:rFonts w:asciiTheme="minorHAnsi" w:hAnsiTheme="minorHAnsi"/>
        </w:rPr>
        <w:t>These are two fundamental instruments of the Union, as adopted and amended by the plenipotentiary Conference.</w:t>
      </w:r>
    </w:p>
    <w:p w:rsidR="00DB1D71" w:rsidRPr="00D101E0" w:rsidRDefault="00DB1D71" w:rsidP="00D101E0">
      <w:pPr>
        <w:pStyle w:val="Heading4"/>
        <w:keepNext w:val="0"/>
        <w:keepLines w:val="0"/>
        <w:shd w:val="clear" w:color="auto" w:fill="FFFFFF"/>
        <w:snapToGrid w:val="0"/>
        <w:spacing w:before="120" w:after="120"/>
        <w:ind w:left="426"/>
        <w:jc w:val="both"/>
        <w:rPr>
          <w:rFonts w:asciiTheme="minorHAnsi" w:hAnsiTheme="minorHAnsi"/>
          <w:b/>
          <w:bCs/>
          <w:szCs w:val="24"/>
        </w:rPr>
      </w:pPr>
      <w:r w:rsidRPr="00D101E0">
        <w:rPr>
          <w:rFonts w:asciiTheme="minorHAnsi" w:hAnsiTheme="minorHAnsi"/>
          <w:b/>
          <w:bCs/>
          <w:szCs w:val="24"/>
        </w:rPr>
        <w:t>Council resolutions and decisions</w:t>
      </w:r>
    </w:p>
    <w:p w:rsidR="00DB1D71" w:rsidRPr="00D101E0" w:rsidRDefault="00DB1D71" w:rsidP="00DB01EF">
      <w:pPr>
        <w:pStyle w:val="NormalWeb"/>
        <w:shd w:val="clear" w:color="auto" w:fill="FFFFFF"/>
        <w:snapToGrid w:val="0"/>
        <w:spacing w:before="120" w:beforeAutospacing="0" w:after="120" w:afterAutospacing="0"/>
        <w:ind w:left="426"/>
        <w:jc w:val="both"/>
        <w:rPr>
          <w:rFonts w:asciiTheme="minorHAnsi" w:hAnsiTheme="minorHAnsi"/>
        </w:rPr>
      </w:pPr>
      <w:r w:rsidRPr="00D101E0">
        <w:rPr>
          <w:rFonts w:asciiTheme="minorHAnsi" w:hAnsiTheme="minorHAnsi"/>
        </w:rPr>
        <w:t xml:space="preserve">Pursuant to Article 4, number 63 to 70, the Council is competent </w:t>
      </w:r>
      <w:r w:rsidR="00DB01EF">
        <w:rPr>
          <w:rFonts w:asciiTheme="minorHAnsi" w:hAnsiTheme="minorHAnsi"/>
        </w:rPr>
        <w:t>to</w:t>
      </w:r>
      <w:r w:rsidRPr="00D101E0">
        <w:rPr>
          <w:rFonts w:asciiTheme="minorHAnsi" w:hAnsiTheme="minorHAnsi"/>
        </w:rPr>
        <w:t xml:space="preserve"> approv</w:t>
      </w:r>
      <w:r w:rsidR="00DB01EF">
        <w:rPr>
          <w:rFonts w:asciiTheme="minorHAnsi" w:hAnsiTheme="minorHAnsi"/>
        </w:rPr>
        <w:t>e</w:t>
      </w:r>
      <w:r w:rsidRPr="00D101E0">
        <w:rPr>
          <w:rFonts w:asciiTheme="minorHAnsi" w:hAnsiTheme="minorHAnsi"/>
        </w:rPr>
        <w:t xml:space="preserve"> and revise the Staff Regulations, taking into account of current practice of the United Nations and of the specialized agencies applying the common system of pay, allowances</w:t>
      </w:r>
      <w:r w:rsidR="00DB01EF">
        <w:rPr>
          <w:rFonts w:asciiTheme="minorHAnsi" w:hAnsiTheme="minorHAnsi"/>
        </w:rPr>
        <w:t>,</w:t>
      </w:r>
      <w:r w:rsidRPr="00D101E0">
        <w:rPr>
          <w:rFonts w:asciiTheme="minorHAnsi" w:hAnsiTheme="minorHAnsi"/>
        </w:rPr>
        <w:t xml:space="preserve"> and pensions.  It includes </w:t>
      </w:r>
      <w:r w:rsidR="0046202F" w:rsidRPr="00D101E0">
        <w:rPr>
          <w:rFonts w:asciiTheme="minorHAnsi" w:hAnsiTheme="minorHAnsi"/>
        </w:rPr>
        <w:t xml:space="preserve">the approval and adjustments to </w:t>
      </w:r>
      <w:r w:rsidRPr="00D101E0">
        <w:rPr>
          <w:rFonts w:asciiTheme="minorHAnsi" w:hAnsiTheme="minorHAnsi"/>
        </w:rPr>
        <w:t>the basis salary scales for the various staff categories, the post adjustment for professional and higher categories, the various allowances to all staff of the Union, the plans concerning Union posts and HR development pr</w:t>
      </w:r>
      <w:r w:rsidR="0046202F" w:rsidRPr="00D101E0">
        <w:rPr>
          <w:rFonts w:asciiTheme="minorHAnsi" w:hAnsiTheme="minorHAnsi"/>
        </w:rPr>
        <w:t>o</w:t>
      </w:r>
      <w:r w:rsidRPr="00D101E0">
        <w:rPr>
          <w:rFonts w:asciiTheme="minorHAnsi" w:hAnsiTheme="minorHAnsi"/>
        </w:rPr>
        <w:t>grammes</w:t>
      </w:r>
      <w:r w:rsidR="00DB01EF">
        <w:rPr>
          <w:rFonts w:asciiTheme="minorHAnsi" w:hAnsiTheme="minorHAnsi"/>
        </w:rPr>
        <w:t>,</w:t>
      </w:r>
      <w:r w:rsidR="0046202F" w:rsidRPr="00D101E0">
        <w:rPr>
          <w:rFonts w:asciiTheme="minorHAnsi" w:hAnsiTheme="minorHAnsi"/>
        </w:rPr>
        <w:t xml:space="preserve"> and the contributions to the UNJSPF.  These decisions are embodied in resolutions and decisions.</w:t>
      </w:r>
    </w:p>
    <w:p w:rsidR="007C6E1D" w:rsidRPr="00D101E0" w:rsidRDefault="007C6E1D" w:rsidP="00D101E0">
      <w:pPr>
        <w:pStyle w:val="Heading4"/>
        <w:keepNext w:val="0"/>
        <w:keepLines w:val="0"/>
        <w:shd w:val="clear" w:color="auto" w:fill="FFFFFF"/>
        <w:snapToGrid w:val="0"/>
        <w:spacing w:before="120" w:after="120"/>
        <w:ind w:left="426"/>
        <w:jc w:val="both"/>
        <w:rPr>
          <w:rFonts w:asciiTheme="minorHAnsi" w:hAnsiTheme="minorHAnsi"/>
          <w:b/>
          <w:bCs/>
          <w:szCs w:val="24"/>
        </w:rPr>
      </w:pPr>
      <w:r w:rsidRPr="00D101E0">
        <w:rPr>
          <w:rFonts w:asciiTheme="minorHAnsi" w:hAnsiTheme="minorHAnsi"/>
          <w:b/>
          <w:bCs/>
          <w:szCs w:val="24"/>
        </w:rPr>
        <w:t>Staff Regulation</w:t>
      </w:r>
      <w:r w:rsidR="0046202F" w:rsidRPr="00D101E0">
        <w:rPr>
          <w:rFonts w:asciiTheme="minorHAnsi" w:hAnsiTheme="minorHAnsi"/>
          <w:b/>
          <w:bCs/>
          <w:szCs w:val="24"/>
        </w:rPr>
        <w:t>s</w:t>
      </w:r>
    </w:p>
    <w:p w:rsidR="007C6E1D" w:rsidRPr="00D101E0" w:rsidRDefault="0046202F" w:rsidP="00D101E0">
      <w:pPr>
        <w:pStyle w:val="NormalWeb"/>
        <w:shd w:val="clear" w:color="auto" w:fill="FFFFFF"/>
        <w:snapToGrid w:val="0"/>
        <w:spacing w:before="120" w:beforeAutospacing="0" w:after="120" w:afterAutospacing="0"/>
        <w:ind w:left="426"/>
        <w:jc w:val="both"/>
        <w:rPr>
          <w:rFonts w:asciiTheme="minorHAnsi" w:hAnsiTheme="minorHAnsi"/>
        </w:rPr>
      </w:pPr>
      <w:r w:rsidRPr="00D101E0">
        <w:rPr>
          <w:rFonts w:asciiTheme="minorHAnsi" w:hAnsiTheme="minorHAnsi"/>
        </w:rPr>
        <w:t>The Staff Regulations embody the fundamental conditions of service and the basic rights, duties and obligations of the staff members of the Union both at the Headquarters and in the offices away from the Headquarters. They represent the broad principles of personnel policy for the staffing and administration of the secretariats at the Headquarters and in the offices away from the Headquarters. The Secretary-General, as the Chief Administrative Officer, provides and enforce</w:t>
      </w:r>
      <w:r w:rsidR="0010656C">
        <w:rPr>
          <w:rFonts w:asciiTheme="minorHAnsi" w:hAnsiTheme="minorHAnsi"/>
        </w:rPr>
        <w:t>s</w:t>
      </w:r>
      <w:r w:rsidRPr="00D101E0">
        <w:rPr>
          <w:rFonts w:asciiTheme="minorHAnsi" w:hAnsiTheme="minorHAnsi"/>
        </w:rPr>
        <w:t xml:space="preserve"> such Staff Rules consistent with these principles as he considers necessary, taking into account as far as possible the rules and practice of the United Nations common system.</w:t>
      </w:r>
    </w:p>
    <w:p w:rsidR="007C6E1D" w:rsidRPr="00D101E0" w:rsidRDefault="007C6E1D" w:rsidP="00D101E0">
      <w:pPr>
        <w:pStyle w:val="Heading4"/>
        <w:keepNext w:val="0"/>
        <w:keepLines w:val="0"/>
        <w:shd w:val="clear" w:color="auto" w:fill="FFFFFF"/>
        <w:snapToGrid w:val="0"/>
        <w:spacing w:before="120" w:after="120"/>
        <w:ind w:left="426"/>
        <w:jc w:val="both"/>
        <w:rPr>
          <w:rFonts w:asciiTheme="minorHAnsi" w:hAnsiTheme="minorHAnsi"/>
          <w:szCs w:val="24"/>
        </w:rPr>
      </w:pPr>
      <w:r w:rsidRPr="00D101E0">
        <w:rPr>
          <w:rFonts w:asciiTheme="minorHAnsi" w:hAnsiTheme="minorHAnsi"/>
          <w:b/>
          <w:bCs/>
          <w:szCs w:val="24"/>
        </w:rPr>
        <w:t>Staff Rules</w:t>
      </w:r>
    </w:p>
    <w:p w:rsidR="007C6E1D" w:rsidRPr="00D101E0" w:rsidRDefault="0046202F" w:rsidP="00D101E0">
      <w:pPr>
        <w:shd w:val="clear" w:color="auto" w:fill="FFFFFF"/>
        <w:tabs>
          <w:tab w:val="clear" w:pos="794"/>
          <w:tab w:val="clear" w:pos="1191"/>
          <w:tab w:val="clear" w:pos="1588"/>
          <w:tab w:val="clear" w:pos="1985"/>
        </w:tabs>
        <w:snapToGrid w:val="0"/>
        <w:spacing w:after="120"/>
        <w:ind w:left="426"/>
        <w:jc w:val="both"/>
        <w:rPr>
          <w:rFonts w:asciiTheme="minorHAnsi" w:hAnsiTheme="minorHAnsi"/>
          <w:szCs w:val="24"/>
        </w:rPr>
      </w:pPr>
      <w:r w:rsidRPr="00D101E0">
        <w:rPr>
          <w:rFonts w:asciiTheme="minorHAnsi" w:hAnsiTheme="minorHAnsi"/>
          <w:szCs w:val="24"/>
        </w:rPr>
        <w:t>The Secretary-General, as the Chief Administrative Officer, provides and enforce</w:t>
      </w:r>
      <w:r w:rsidR="0010656C">
        <w:rPr>
          <w:rFonts w:asciiTheme="minorHAnsi" w:hAnsiTheme="minorHAnsi"/>
          <w:szCs w:val="24"/>
        </w:rPr>
        <w:t>s</w:t>
      </w:r>
      <w:r w:rsidRPr="00D101E0">
        <w:rPr>
          <w:rFonts w:asciiTheme="minorHAnsi" w:hAnsiTheme="minorHAnsi"/>
          <w:szCs w:val="24"/>
        </w:rPr>
        <w:t xml:space="preserve"> such Staff Rules consistent with these principles as he considers necessary, taking into account as far as possible the rules and practice of the United Nations common system.</w:t>
      </w:r>
    </w:p>
    <w:p w:rsidR="007C6E1D" w:rsidRPr="00D101E0" w:rsidRDefault="00E71D1C" w:rsidP="00D101E0">
      <w:pPr>
        <w:pStyle w:val="Heading4"/>
        <w:keepNext w:val="0"/>
        <w:keepLines w:val="0"/>
        <w:shd w:val="clear" w:color="auto" w:fill="FFFFFF"/>
        <w:snapToGrid w:val="0"/>
        <w:spacing w:before="120" w:after="120"/>
        <w:ind w:left="426"/>
        <w:jc w:val="both"/>
        <w:rPr>
          <w:rFonts w:asciiTheme="minorHAnsi" w:hAnsiTheme="minorHAnsi"/>
          <w:szCs w:val="24"/>
        </w:rPr>
      </w:pPr>
      <w:r w:rsidRPr="00D101E0">
        <w:rPr>
          <w:rFonts w:asciiTheme="minorHAnsi" w:hAnsiTheme="minorHAnsi"/>
          <w:b/>
          <w:bCs/>
          <w:szCs w:val="24"/>
        </w:rPr>
        <w:t>Service orders</w:t>
      </w:r>
    </w:p>
    <w:p w:rsidR="0046202F" w:rsidRPr="00D101E0" w:rsidRDefault="0046202F" w:rsidP="00D101E0">
      <w:pPr>
        <w:shd w:val="clear" w:color="auto" w:fill="FFFFFF"/>
        <w:tabs>
          <w:tab w:val="clear" w:pos="794"/>
          <w:tab w:val="clear" w:pos="1191"/>
          <w:tab w:val="clear" w:pos="1588"/>
          <w:tab w:val="clear" w:pos="1985"/>
        </w:tabs>
        <w:snapToGrid w:val="0"/>
        <w:spacing w:after="120"/>
        <w:ind w:left="426"/>
        <w:jc w:val="both"/>
        <w:rPr>
          <w:rFonts w:asciiTheme="minorHAnsi" w:hAnsiTheme="minorHAnsi"/>
          <w:szCs w:val="24"/>
        </w:rPr>
      </w:pPr>
      <w:r w:rsidRPr="00D101E0">
        <w:rPr>
          <w:rFonts w:asciiTheme="minorHAnsi" w:hAnsiTheme="minorHAnsi"/>
          <w:szCs w:val="24"/>
        </w:rPr>
        <w:t>A service order is a prescriptive administrative action which constitutes an integral component of the organization</w:t>
      </w:r>
      <w:r w:rsidR="0010656C">
        <w:rPr>
          <w:rFonts w:asciiTheme="minorHAnsi" w:hAnsiTheme="minorHAnsi"/>
          <w:szCs w:val="24"/>
        </w:rPr>
        <w:t>’</w:t>
      </w:r>
      <w:r w:rsidRPr="00D101E0">
        <w:rPr>
          <w:rFonts w:asciiTheme="minorHAnsi" w:hAnsiTheme="minorHAnsi"/>
          <w:szCs w:val="24"/>
        </w:rPr>
        <w:t xml:space="preserve">s internal legal order and gives rise to rights or obligations for all or some of the staff. A service order may thus, in particular: </w:t>
      </w:r>
    </w:p>
    <w:p w:rsidR="0046202F" w:rsidRPr="00D101E0" w:rsidRDefault="0046202F" w:rsidP="0055204E">
      <w:pPr>
        <w:pStyle w:val="ListParagraph"/>
        <w:numPr>
          <w:ilvl w:val="0"/>
          <w:numId w:val="25"/>
        </w:numPr>
        <w:shd w:val="clear" w:color="auto" w:fill="FFFFFF"/>
        <w:tabs>
          <w:tab w:val="clear" w:pos="794"/>
          <w:tab w:val="clear" w:pos="1191"/>
          <w:tab w:val="clear" w:pos="1588"/>
          <w:tab w:val="clear" w:pos="1985"/>
        </w:tabs>
        <w:snapToGrid w:val="0"/>
        <w:spacing w:before="40" w:after="40"/>
        <w:ind w:left="709" w:hanging="215"/>
        <w:contextualSpacing w:val="0"/>
        <w:jc w:val="both"/>
        <w:rPr>
          <w:rFonts w:asciiTheme="minorHAnsi" w:hAnsiTheme="minorHAnsi"/>
          <w:szCs w:val="24"/>
        </w:rPr>
      </w:pPr>
      <w:r w:rsidRPr="00D101E0">
        <w:rPr>
          <w:rFonts w:asciiTheme="minorHAnsi" w:hAnsiTheme="minorHAnsi"/>
          <w:szCs w:val="24"/>
        </w:rPr>
        <w:t xml:space="preserve">amend or add to the Staff Rules; </w:t>
      </w:r>
    </w:p>
    <w:p w:rsidR="0046202F" w:rsidRPr="00D101E0" w:rsidRDefault="0046202F" w:rsidP="0055204E">
      <w:pPr>
        <w:pStyle w:val="ListParagraph"/>
        <w:numPr>
          <w:ilvl w:val="0"/>
          <w:numId w:val="25"/>
        </w:numPr>
        <w:shd w:val="clear" w:color="auto" w:fill="FFFFFF"/>
        <w:tabs>
          <w:tab w:val="clear" w:pos="794"/>
          <w:tab w:val="clear" w:pos="1191"/>
          <w:tab w:val="clear" w:pos="1588"/>
          <w:tab w:val="clear" w:pos="1985"/>
        </w:tabs>
        <w:snapToGrid w:val="0"/>
        <w:spacing w:before="40" w:after="40"/>
        <w:ind w:left="709" w:hanging="215"/>
        <w:contextualSpacing w:val="0"/>
        <w:jc w:val="both"/>
        <w:rPr>
          <w:rFonts w:asciiTheme="minorHAnsi" w:hAnsiTheme="minorHAnsi"/>
          <w:szCs w:val="24"/>
        </w:rPr>
      </w:pPr>
      <w:r w:rsidRPr="00D101E0">
        <w:rPr>
          <w:rFonts w:asciiTheme="minorHAnsi" w:hAnsiTheme="minorHAnsi"/>
          <w:szCs w:val="24"/>
        </w:rPr>
        <w:t xml:space="preserve">add to the Staff Regulations and Financial Regulations; </w:t>
      </w:r>
    </w:p>
    <w:p w:rsidR="0046202F" w:rsidRPr="00D101E0" w:rsidRDefault="0046202F" w:rsidP="0055204E">
      <w:pPr>
        <w:pStyle w:val="ListParagraph"/>
        <w:numPr>
          <w:ilvl w:val="0"/>
          <w:numId w:val="25"/>
        </w:numPr>
        <w:shd w:val="clear" w:color="auto" w:fill="FFFFFF"/>
        <w:tabs>
          <w:tab w:val="clear" w:pos="794"/>
          <w:tab w:val="clear" w:pos="1191"/>
          <w:tab w:val="clear" w:pos="1588"/>
          <w:tab w:val="clear" w:pos="1985"/>
        </w:tabs>
        <w:snapToGrid w:val="0"/>
        <w:spacing w:before="40" w:after="40"/>
        <w:ind w:left="709" w:hanging="215"/>
        <w:contextualSpacing w:val="0"/>
        <w:jc w:val="both"/>
        <w:rPr>
          <w:rFonts w:asciiTheme="minorHAnsi" w:hAnsiTheme="minorHAnsi"/>
          <w:szCs w:val="24"/>
        </w:rPr>
      </w:pPr>
      <w:r w:rsidRPr="00D101E0">
        <w:rPr>
          <w:rFonts w:asciiTheme="minorHAnsi" w:hAnsiTheme="minorHAnsi"/>
          <w:szCs w:val="24"/>
        </w:rPr>
        <w:t xml:space="preserve">institute administrative or operational procedures; </w:t>
      </w:r>
    </w:p>
    <w:p w:rsidR="0046202F" w:rsidRPr="00D101E0" w:rsidRDefault="0046202F" w:rsidP="0055204E">
      <w:pPr>
        <w:pStyle w:val="ListParagraph"/>
        <w:numPr>
          <w:ilvl w:val="0"/>
          <w:numId w:val="25"/>
        </w:numPr>
        <w:shd w:val="clear" w:color="auto" w:fill="FFFFFF"/>
        <w:tabs>
          <w:tab w:val="clear" w:pos="794"/>
          <w:tab w:val="clear" w:pos="1191"/>
          <w:tab w:val="clear" w:pos="1588"/>
          <w:tab w:val="clear" w:pos="1985"/>
        </w:tabs>
        <w:snapToGrid w:val="0"/>
        <w:spacing w:before="40" w:after="40"/>
        <w:ind w:left="709" w:hanging="215"/>
        <w:contextualSpacing w:val="0"/>
        <w:jc w:val="both"/>
        <w:rPr>
          <w:rFonts w:asciiTheme="minorHAnsi" w:hAnsiTheme="minorHAnsi"/>
          <w:szCs w:val="24"/>
        </w:rPr>
      </w:pPr>
      <w:r w:rsidRPr="00D101E0">
        <w:rPr>
          <w:rFonts w:asciiTheme="minorHAnsi" w:hAnsiTheme="minorHAnsi"/>
          <w:szCs w:val="24"/>
        </w:rPr>
        <w:t xml:space="preserve">authorize or prohibit an action or mode of conduct. </w:t>
      </w:r>
    </w:p>
    <w:p w:rsidR="007C6E1D" w:rsidRPr="00D101E0" w:rsidRDefault="0046202F" w:rsidP="00D101E0">
      <w:pPr>
        <w:shd w:val="clear" w:color="auto" w:fill="FFFFFF"/>
        <w:tabs>
          <w:tab w:val="clear" w:pos="794"/>
          <w:tab w:val="clear" w:pos="1191"/>
          <w:tab w:val="clear" w:pos="1588"/>
          <w:tab w:val="clear" w:pos="1985"/>
        </w:tabs>
        <w:snapToGrid w:val="0"/>
        <w:spacing w:after="120"/>
        <w:ind w:left="426"/>
        <w:jc w:val="both"/>
        <w:rPr>
          <w:rFonts w:asciiTheme="minorHAnsi" w:hAnsiTheme="minorHAnsi"/>
          <w:szCs w:val="24"/>
        </w:rPr>
      </w:pPr>
      <w:r w:rsidRPr="00D101E0">
        <w:rPr>
          <w:rFonts w:asciiTheme="minorHAnsi" w:hAnsiTheme="minorHAnsi"/>
          <w:szCs w:val="24"/>
        </w:rPr>
        <w:t>A service order will by definition have lasting effect and will remain in force as constituted on its date of issue until such time as it is formally abrogated, cancelled or revised by another service order.</w:t>
      </w:r>
    </w:p>
    <w:p w:rsidR="007C6E1D" w:rsidRPr="00D101E0" w:rsidRDefault="00407DFE" w:rsidP="00D101E0">
      <w:pPr>
        <w:pStyle w:val="Heading4"/>
        <w:keepNext w:val="0"/>
        <w:keepLines w:val="0"/>
        <w:shd w:val="clear" w:color="auto" w:fill="FFFFFF"/>
        <w:snapToGrid w:val="0"/>
        <w:spacing w:before="120" w:after="120"/>
        <w:ind w:left="426"/>
        <w:jc w:val="both"/>
        <w:rPr>
          <w:rFonts w:asciiTheme="minorHAnsi" w:hAnsiTheme="minorHAnsi"/>
          <w:szCs w:val="24"/>
        </w:rPr>
      </w:pPr>
      <w:r w:rsidRPr="00D101E0">
        <w:rPr>
          <w:rFonts w:asciiTheme="minorHAnsi" w:hAnsiTheme="minorHAnsi"/>
          <w:b/>
          <w:bCs/>
          <w:szCs w:val="24"/>
        </w:rPr>
        <w:t>Office memorandum</w:t>
      </w:r>
    </w:p>
    <w:p w:rsidR="00A2730C" w:rsidRPr="00D101E0" w:rsidRDefault="0046202F" w:rsidP="00D101E0">
      <w:pPr>
        <w:shd w:val="clear" w:color="auto" w:fill="FFFFFF"/>
        <w:tabs>
          <w:tab w:val="clear" w:pos="794"/>
          <w:tab w:val="clear" w:pos="1191"/>
          <w:tab w:val="clear" w:pos="1588"/>
          <w:tab w:val="clear" w:pos="1985"/>
        </w:tabs>
        <w:snapToGrid w:val="0"/>
        <w:spacing w:after="120"/>
        <w:ind w:left="426"/>
        <w:jc w:val="both"/>
        <w:rPr>
          <w:rFonts w:asciiTheme="minorHAnsi" w:hAnsiTheme="minorHAnsi"/>
          <w:szCs w:val="24"/>
        </w:rPr>
      </w:pPr>
      <w:r w:rsidRPr="00D101E0">
        <w:rPr>
          <w:rFonts w:asciiTheme="minorHAnsi" w:hAnsiTheme="minorHAnsi"/>
          <w:szCs w:val="24"/>
        </w:rPr>
        <w:t xml:space="preserve">An office memorandum contains text that is purely informative (having neither statutory nor prescriptive force) and intended to help staff members in discharging their duties and responsibilities, or in matters of personal interest associated with their status as international civil servants (e.g. office memoranda informing staff of new administrative </w:t>
      </w:r>
      <w:r w:rsidRPr="00D101E0">
        <w:rPr>
          <w:rFonts w:asciiTheme="minorHAnsi" w:hAnsiTheme="minorHAnsi"/>
          <w:szCs w:val="24"/>
        </w:rPr>
        <w:lastRenderedPageBreak/>
        <w:t>rules or changes to existing rules governing residence in Switzerland or France issued by the competent authori</w:t>
      </w:r>
      <w:r w:rsidR="00A2730C" w:rsidRPr="00D101E0">
        <w:rPr>
          <w:rFonts w:asciiTheme="minorHAnsi" w:hAnsiTheme="minorHAnsi"/>
          <w:szCs w:val="24"/>
        </w:rPr>
        <w:t>ties of the two countries).</w:t>
      </w:r>
    </w:p>
    <w:p w:rsidR="007C6E1D" w:rsidRPr="00D101E0" w:rsidRDefault="0046202F" w:rsidP="00D101E0">
      <w:pPr>
        <w:shd w:val="clear" w:color="auto" w:fill="FFFFFF"/>
        <w:tabs>
          <w:tab w:val="clear" w:pos="794"/>
          <w:tab w:val="clear" w:pos="1191"/>
          <w:tab w:val="clear" w:pos="1588"/>
          <w:tab w:val="clear" w:pos="1985"/>
        </w:tabs>
        <w:snapToGrid w:val="0"/>
        <w:spacing w:after="120"/>
        <w:ind w:left="426"/>
        <w:jc w:val="both"/>
        <w:rPr>
          <w:rFonts w:asciiTheme="minorHAnsi" w:hAnsiTheme="minorHAnsi"/>
          <w:noProof/>
          <w:szCs w:val="24"/>
          <w:lang w:val="en-US" w:eastAsia="zh-CN"/>
        </w:rPr>
      </w:pPr>
      <w:r w:rsidRPr="00D101E0">
        <w:rPr>
          <w:rFonts w:asciiTheme="minorHAnsi" w:hAnsiTheme="minorHAnsi"/>
          <w:szCs w:val="24"/>
        </w:rPr>
        <w:t>The information contained in an office memorandum is of lasting effect and shall be deemed valid until explicitly declared to be outdated, superseded or revised</w:t>
      </w:r>
      <w:r w:rsidRPr="00D101E0">
        <w:rPr>
          <w:rFonts w:asciiTheme="minorHAnsi" w:hAnsiTheme="minorHAnsi"/>
          <w:noProof/>
          <w:szCs w:val="24"/>
          <w:lang w:val="en-US" w:eastAsia="zh-CN"/>
        </w:rPr>
        <w:t>.</w:t>
      </w:r>
    </w:p>
    <w:p w:rsidR="007C6E1D" w:rsidRPr="00D101E0" w:rsidRDefault="007C6E1D" w:rsidP="00D101E0">
      <w:pPr>
        <w:pStyle w:val="Heading4"/>
        <w:keepNext w:val="0"/>
        <w:keepLines w:val="0"/>
        <w:shd w:val="clear" w:color="auto" w:fill="FFFFFF"/>
        <w:snapToGrid w:val="0"/>
        <w:spacing w:before="120" w:after="120"/>
        <w:ind w:left="426"/>
        <w:jc w:val="both"/>
        <w:rPr>
          <w:rFonts w:asciiTheme="minorHAnsi" w:hAnsiTheme="minorHAnsi"/>
          <w:szCs w:val="24"/>
        </w:rPr>
      </w:pPr>
      <w:r w:rsidRPr="00D101E0">
        <w:rPr>
          <w:rFonts w:asciiTheme="minorHAnsi" w:hAnsiTheme="minorHAnsi"/>
          <w:b/>
          <w:bCs/>
          <w:szCs w:val="24"/>
        </w:rPr>
        <w:t xml:space="preserve">Information </w:t>
      </w:r>
      <w:r w:rsidR="0010656C">
        <w:rPr>
          <w:rFonts w:asciiTheme="minorHAnsi" w:hAnsiTheme="minorHAnsi"/>
          <w:b/>
          <w:bCs/>
          <w:szCs w:val="24"/>
        </w:rPr>
        <w:t>c</w:t>
      </w:r>
      <w:r w:rsidRPr="00D101E0">
        <w:rPr>
          <w:rFonts w:asciiTheme="minorHAnsi" w:hAnsiTheme="minorHAnsi"/>
          <w:b/>
          <w:bCs/>
          <w:szCs w:val="24"/>
        </w:rPr>
        <w:t>ircular</w:t>
      </w:r>
    </w:p>
    <w:p w:rsidR="007C6E1D" w:rsidRPr="00D101E0" w:rsidRDefault="0046202F" w:rsidP="0010656C">
      <w:pPr>
        <w:pStyle w:val="NormalWeb"/>
        <w:shd w:val="clear" w:color="auto" w:fill="FFFFFF"/>
        <w:snapToGrid w:val="0"/>
        <w:spacing w:before="120" w:beforeAutospacing="0" w:after="120" w:afterAutospacing="0"/>
        <w:ind w:left="426"/>
        <w:jc w:val="both"/>
        <w:rPr>
          <w:rFonts w:asciiTheme="minorHAnsi" w:hAnsiTheme="minorHAnsi"/>
        </w:rPr>
      </w:pPr>
      <w:r w:rsidRPr="00D101E0">
        <w:rPr>
          <w:rFonts w:asciiTheme="minorHAnsi" w:hAnsiTheme="minorHAnsi"/>
        </w:rPr>
        <w:t>An information circular contains ro</w:t>
      </w:r>
      <w:bookmarkStart w:id="8" w:name="_GoBack"/>
      <w:bookmarkEnd w:id="8"/>
      <w:r w:rsidRPr="00D101E0">
        <w:rPr>
          <w:rFonts w:asciiTheme="minorHAnsi" w:hAnsiTheme="minorHAnsi"/>
        </w:rPr>
        <w:t>utine information of a specific nature and relating to a specific time-frame, possibly involving a precise deadline. After the date in question, or very soon after publication, the information is no longer of any value and may automatically be deemed to be outdated, without the need for any formal statement or action to that effect</w:t>
      </w:r>
      <w:r w:rsidR="007C6E1D" w:rsidRPr="00D101E0">
        <w:rPr>
          <w:rFonts w:asciiTheme="minorHAnsi" w:hAnsiTheme="minorHAnsi"/>
        </w:rPr>
        <w:t>.  </w:t>
      </w:r>
    </w:p>
    <w:p w:rsidR="007C6E1D" w:rsidRPr="00D101E0" w:rsidRDefault="007C6E1D" w:rsidP="00D101E0">
      <w:pPr>
        <w:pStyle w:val="Heading4"/>
        <w:keepNext w:val="0"/>
        <w:keepLines w:val="0"/>
        <w:shd w:val="clear" w:color="auto" w:fill="FFFFFF"/>
        <w:snapToGrid w:val="0"/>
        <w:spacing w:before="120" w:after="120"/>
        <w:ind w:left="426"/>
        <w:jc w:val="both"/>
        <w:rPr>
          <w:rFonts w:asciiTheme="minorHAnsi" w:hAnsiTheme="minorHAnsi"/>
          <w:b/>
          <w:bCs/>
          <w:szCs w:val="24"/>
        </w:rPr>
      </w:pPr>
      <w:r w:rsidRPr="00D101E0">
        <w:rPr>
          <w:rFonts w:asciiTheme="minorHAnsi" w:hAnsiTheme="minorHAnsi"/>
          <w:b/>
          <w:bCs/>
          <w:szCs w:val="24"/>
        </w:rPr>
        <w:t xml:space="preserve">Guidelines </w:t>
      </w:r>
    </w:p>
    <w:p w:rsidR="0046202F" w:rsidRPr="00D101E0" w:rsidRDefault="007C6E1D" w:rsidP="0010656C">
      <w:pPr>
        <w:pStyle w:val="NormalWeb"/>
        <w:shd w:val="clear" w:color="auto" w:fill="FFFFFF"/>
        <w:snapToGrid w:val="0"/>
        <w:spacing w:before="120" w:beforeAutospacing="0" w:after="120" w:afterAutospacing="0"/>
        <w:ind w:left="426"/>
        <w:jc w:val="both"/>
        <w:rPr>
          <w:rFonts w:asciiTheme="minorHAnsi" w:hAnsiTheme="minorHAnsi"/>
        </w:rPr>
      </w:pPr>
      <w:r w:rsidRPr="00D101E0">
        <w:rPr>
          <w:rFonts w:asciiTheme="minorHAnsi" w:hAnsiTheme="minorHAnsi"/>
        </w:rPr>
        <w:t xml:space="preserve">Guidelines </w:t>
      </w:r>
      <w:r w:rsidR="00A2730C" w:rsidRPr="00D101E0">
        <w:rPr>
          <w:rFonts w:asciiTheme="minorHAnsi" w:hAnsiTheme="minorHAnsi"/>
        </w:rPr>
        <w:t xml:space="preserve">are being developed for setting </w:t>
      </w:r>
      <w:r w:rsidRPr="00D101E0">
        <w:rPr>
          <w:rFonts w:asciiTheme="minorHAnsi" w:hAnsiTheme="minorHAnsi"/>
        </w:rPr>
        <w:t xml:space="preserve">detailed operational standards and procedures for the application of </w:t>
      </w:r>
      <w:r w:rsidR="0010656C">
        <w:rPr>
          <w:rFonts w:asciiTheme="minorHAnsi" w:hAnsiTheme="minorHAnsi"/>
        </w:rPr>
        <w:t>S</w:t>
      </w:r>
      <w:r w:rsidR="00A2730C" w:rsidRPr="00D101E0">
        <w:rPr>
          <w:rFonts w:asciiTheme="minorHAnsi" w:hAnsiTheme="minorHAnsi"/>
        </w:rPr>
        <w:t xml:space="preserve">taff </w:t>
      </w:r>
      <w:r w:rsidR="0010656C">
        <w:rPr>
          <w:rFonts w:asciiTheme="minorHAnsi" w:hAnsiTheme="minorHAnsi"/>
        </w:rPr>
        <w:t xml:space="preserve">Rules and </w:t>
      </w:r>
      <w:r w:rsidR="00A2730C" w:rsidRPr="00D101E0">
        <w:rPr>
          <w:rFonts w:asciiTheme="minorHAnsi" w:hAnsiTheme="minorHAnsi"/>
        </w:rPr>
        <w:t>Regulations and services orders</w:t>
      </w:r>
      <w:r w:rsidRPr="00D101E0">
        <w:rPr>
          <w:rFonts w:asciiTheme="minorHAnsi" w:hAnsiTheme="minorHAnsi"/>
        </w:rPr>
        <w:t xml:space="preserve"> for the guidance of both management and staff. In case of conflict with provisions in instruments of a higher legal order such as Staff Rules and Regulations</w:t>
      </w:r>
      <w:r w:rsidR="00A2730C" w:rsidRPr="00D101E0">
        <w:rPr>
          <w:rFonts w:asciiTheme="minorHAnsi" w:hAnsiTheme="minorHAnsi"/>
        </w:rPr>
        <w:t xml:space="preserve"> or service orders</w:t>
      </w:r>
      <w:r w:rsidRPr="00D101E0">
        <w:rPr>
          <w:rFonts w:asciiTheme="minorHAnsi" w:hAnsiTheme="minorHAnsi"/>
        </w:rPr>
        <w:t xml:space="preserve">, the provisions of these instruments prevail. </w:t>
      </w:r>
    </w:p>
    <w:p w:rsidR="0046202F" w:rsidRPr="00D101E0" w:rsidRDefault="0046202F" w:rsidP="00D101E0">
      <w:pPr>
        <w:pStyle w:val="NormalWeb"/>
        <w:shd w:val="clear" w:color="auto" w:fill="FFFFFF"/>
        <w:snapToGrid w:val="0"/>
        <w:spacing w:before="120" w:beforeAutospacing="0" w:after="120" w:afterAutospacing="0"/>
        <w:ind w:left="426"/>
        <w:jc w:val="both"/>
        <w:rPr>
          <w:rFonts w:asciiTheme="minorHAnsi" w:hAnsiTheme="minorHAnsi"/>
          <w:i/>
          <w:iCs/>
        </w:rPr>
      </w:pPr>
      <w:r w:rsidRPr="00D101E0">
        <w:rPr>
          <w:rFonts w:asciiTheme="minorHAnsi" w:hAnsiTheme="minorHAnsi"/>
          <w:b/>
          <w:bCs/>
          <w:i/>
          <w:iCs/>
        </w:rPr>
        <w:t>Agreements</w:t>
      </w:r>
    </w:p>
    <w:p w:rsidR="007C6E1D" w:rsidRPr="00D101E0" w:rsidRDefault="0046202F" w:rsidP="00D101E0">
      <w:pPr>
        <w:pStyle w:val="NormalWeb"/>
        <w:shd w:val="clear" w:color="auto" w:fill="FFFFFF"/>
        <w:snapToGrid w:val="0"/>
        <w:spacing w:before="120" w:beforeAutospacing="0" w:after="120" w:afterAutospacing="0"/>
        <w:ind w:left="426"/>
        <w:jc w:val="both"/>
        <w:rPr>
          <w:rFonts w:asciiTheme="minorHAnsi" w:hAnsiTheme="minorHAnsi"/>
        </w:rPr>
      </w:pPr>
      <w:r w:rsidRPr="00D101E0">
        <w:rPr>
          <w:rFonts w:asciiTheme="minorHAnsi" w:hAnsiTheme="minorHAnsi"/>
        </w:rPr>
        <w:t>M</w:t>
      </w:r>
      <w:r w:rsidR="007C6E1D" w:rsidRPr="00D101E0">
        <w:rPr>
          <w:rFonts w:asciiTheme="minorHAnsi" w:hAnsiTheme="minorHAnsi"/>
        </w:rPr>
        <w:t>ultilateral agreements are the Inter-Organization Agreement concerning Transfer, Secondment</w:t>
      </w:r>
      <w:r w:rsidR="00117805" w:rsidRPr="00D101E0">
        <w:rPr>
          <w:rFonts w:asciiTheme="minorHAnsi" w:hAnsiTheme="minorHAnsi"/>
        </w:rPr>
        <w:t xml:space="preserve"> or Loan of Staff, and the CEB/AIIC/</w:t>
      </w:r>
      <w:r w:rsidR="007C6E1D" w:rsidRPr="00D101E0">
        <w:rPr>
          <w:rFonts w:asciiTheme="minorHAnsi" w:hAnsiTheme="minorHAnsi"/>
        </w:rPr>
        <w:t>AITC Agreement</w:t>
      </w:r>
      <w:r w:rsidRPr="00D101E0">
        <w:rPr>
          <w:rFonts w:asciiTheme="minorHAnsi" w:hAnsiTheme="minorHAnsi"/>
        </w:rPr>
        <w:t>s</w:t>
      </w:r>
      <w:r w:rsidR="007C6E1D" w:rsidRPr="00D101E0">
        <w:rPr>
          <w:rFonts w:asciiTheme="minorHAnsi" w:hAnsiTheme="minorHAnsi"/>
        </w:rPr>
        <w:t>.</w:t>
      </w:r>
    </w:p>
    <w:p w:rsidR="004112AB" w:rsidRPr="00D101E0" w:rsidRDefault="00A2730C" w:rsidP="0055204E">
      <w:pPr>
        <w:tabs>
          <w:tab w:val="clear" w:pos="794"/>
          <w:tab w:val="clear" w:pos="1191"/>
          <w:tab w:val="clear" w:pos="1588"/>
          <w:tab w:val="clear" w:pos="1985"/>
        </w:tabs>
        <w:snapToGrid w:val="0"/>
        <w:spacing w:before="480" w:after="120"/>
        <w:jc w:val="both"/>
        <w:rPr>
          <w:rFonts w:asciiTheme="minorHAnsi" w:hAnsiTheme="minorHAnsi"/>
          <w:b/>
          <w:szCs w:val="24"/>
          <w:lang w:val="en-US"/>
        </w:rPr>
      </w:pPr>
      <w:r w:rsidRPr="00D101E0">
        <w:rPr>
          <w:rFonts w:asciiTheme="minorHAnsi" w:hAnsiTheme="minorHAnsi"/>
          <w:b/>
          <w:szCs w:val="24"/>
          <w:lang w:val="en-US"/>
        </w:rPr>
        <w:t>Structure of the HR Han</w:t>
      </w:r>
      <w:r w:rsidR="00A12B52" w:rsidRPr="00D101E0">
        <w:rPr>
          <w:rFonts w:asciiTheme="minorHAnsi" w:hAnsiTheme="minorHAnsi"/>
          <w:b/>
          <w:szCs w:val="24"/>
          <w:lang w:val="en-US"/>
        </w:rPr>
        <w:t>d</w:t>
      </w:r>
      <w:r w:rsidRPr="00D101E0">
        <w:rPr>
          <w:rFonts w:asciiTheme="minorHAnsi" w:hAnsiTheme="minorHAnsi"/>
          <w:b/>
          <w:szCs w:val="24"/>
          <w:lang w:val="en-US"/>
        </w:rPr>
        <w:t>book</w:t>
      </w:r>
    </w:p>
    <w:p w:rsidR="00A2730C" w:rsidRPr="00D101E0" w:rsidRDefault="00A14FB4" w:rsidP="0010656C">
      <w:pPr>
        <w:tabs>
          <w:tab w:val="clear" w:pos="794"/>
          <w:tab w:val="clear" w:pos="1191"/>
          <w:tab w:val="clear" w:pos="1588"/>
          <w:tab w:val="clear" w:pos="1985"/>
        </w:tabs>
        <w:snapToGrid w:val="0"/>
        <w:spacing w:after="120"/>
        <w:jc w:val="both"/>
        <w:rPr>
          <w:rFonts w:asciiTheme="minorHAnsi" w:hAnsiTheme="minorHAnsi"/>
          <w:bCs/>
          <w:szCs w:val="24"/>
          <w:lang w:val="en-US"/>
        </w:rPr>
      </w:pPr>
      <w:r w:rsidRPr="00D101E0">
        <w:rPr>
          <w:rFonts w:asciiTheme="minorHAnsi" w:hAnsiTheme="minorHAnsi"/>
          <w:bCs/>
          <w:szCs w:val="24"/>
          <w:lang w:val="en-US"/>
        </w:rPr>
        <w:t>The HR Handbook will be an online electronic tool which allow staff to access the official source documents by categories established on the basis of the existing structure of the Staff Regulations and Rules</w:t>
      </w:r>
      <w:r w:rsidR="00A12B52" w:rsidRPr="00D101E0">
        <w:rPr>
          <w:rFonts w:asciiTheme="minorHAnsi" w:hAnsiTheme="minorHAnsi"/>
          <w:bCs/>
          <w:szCs w:val="24"/>
          <w:lang w:val="en-US"/>
        </w:rPr>
        <w:t xml:space="preserve"> and additional subject not covered in these texts</w:t>
      </w:r>
      <w:r w:rsidRPr="00D101E0">
        <w:rPr>
          <w:rFonts w:asciiTheme="minorHAnsi" w:hAnsiTheme="minorHAnsi"/>
          <w:bCs/>
          <w:szCs w:val="24"/>
          <w:lang w:val="en-US"/>
        </w:rPr>
        <w:t xml:space="preserve">: </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Duties, obligations and privileges</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Classification of posts</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Salaries and allowances</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Recruitment, appointment, transfer and promotion principles</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Annual, special and home leave</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Social security</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Travel and removal expenses</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Staff relations</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Separation from service</w:t>
      </w:r>
    </w:p>
    <w:p w:rsidR="00A14FB4" w:rsidRPr="00D101E0" w:rsidRDefault="00A14FB4"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Disciplinary measures</w:t>
      </w:r>
    </w:p>
    <w:p w:rsidR="00A14FB4" w:rsidRPr="00D101E0" w:rsidRDefault="00A12B52"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A</w:t>
      </w:r>
      <w:r w:rsidR="00A14FB4" w:rsidRPr="00D101E0">
        <w:rPr>
          <w:rFonts w:asciiTheme="minorHAnsi" w:hAnsiTheme="minorHAnsi"/>
          <w:bCs/>
          <w:szCs w:val="24"/>
          <w:lang w:val="en-US"/>
        </w:rPr>
        <w:t>ppeals</w:t>
      </w:r>
    </w:p>
    <w:p w:rsidR="00A12B52" w:rsidRPr="00D101E0" w:rsidRDefault="00A12B52"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Entry and residence in Switzerland</w:t>
      </w:r>
    </w:p>
    <w:p w:rsidR="00117805" w:rsidRPr="00D101E0" w:rsidRDefault="00117805" w:rsidP="0055204E">
      <w:pPr>
        <w:pStyle w:val="ListParagraph"/>
        <w:numPr>
          <w:ilvl w:val="0"/>
          <w:numId w:val="26"/>
        </w:numPr>
        <w:tabs>
          <w:tab w:val="clear" w:pos="794"/>
          <w:tab w:val="clear" w:pos="1191"/>
          <w:tab w:val="clear" w:pos="1588"/>
          <w:tab w:val="clear" w:pos="1985"/>
        </w:tabs>
        <w:snapToGrid w:val="0"/>
        <w:spacing w:before="40" w:after="40"/>
        <w:contextualSpacing w:val="0"/>
        <w:jc w:val="both"/>
        <w:rPr>
          <w:rFonts w:asciiTheme="minorHAnsi" w:hAnsiTheme="minorHAnsi"/>
          <w:bCs/>
          <w:szCs w:val="24"/>
          <w:lang w:val="en-US"/>
        </w:rPr>
      </w:pPr>
      <w:r w:rsidRPr="00D101E0">
        <w:rPr>
          <w:rFonts w:asciiTheme="minorHAnsi" w:hAnsiTheme="minorHAnsi"/>
          <w:bCs/>
          <w:szCs w:val="24"/>
          <w:lang w:val="en-US"/>
        </w:rPr>
        <w:t>Miscellaneous</w:t>
      </w:r>
    </w:p>
    <w:p w:rsidR="000A1355" w:rsidRPr="00D101E0" w:rsidRDefault="00A14FB4" w:rsidP="00D101E0">
      <w:pPr>
        <w:tabs>
          <w:tab w:val="clear" w:pos="794"/>
          <w:tab w:val="clear" w:pos="1191"/>
          <w:tab w:val="clear" w:pos="1588"/>
          <w:tab w:val="clear" w:pos="1985"/>
        </w:tabs>
        <w:snapToGrid w:val="0"/>
        <w:spacing w:after="120"/>
        <w:jc w:val="both"/>
        <w:rPr>
          <w:rFonts w:asciiTheme="minorHAnsi" w:hAnsiTheme="minorHAnsi"/>
          <w:bCs/>
          <w:szCs w:val="24"/>
          <w:lang w:val="en-US"/>
        </w:rPr>
      </w:pPr>
      <w:r w:rsidRPr="00D101E0">
        <w:rPr>
          <w:rFonts w:asciiTheme="minorHAnsi" w:hAnsiTheme="minorHAnsi"/>
          <w:bCs/>
          <w:szCs w:val="24"/>
          <w:lang w:val="en-US"/>
        </w:rPr>
        <w:t>but also through an alphabetical index or by sources referred to above.</w:t>
      </w:r>
    </w:p>
    <w:p w:rsidR="00117805" w:rsidRPr="00D101E0" w:rsidRDefault="00117805" w:rsidP="00D101E0">
      <w:pPr>
        <w:tabs>
          <w:tab w:val="clear" w:pos="794"/>
          <w:tab w:val="clear" w:pos="1191"/>
          <w:tab w:val="clear" w:pos="1588"/>
          <w:tab w:val="clear" w:pos="1985"/>
        </w:tabs>
        <w:snapToGrid w:val="0"/>
        <w:spacing w:after="120"/>
        <w:jc w:val="both"/>
        <w:rPr>
          <w:rFonts w:asciiTheme="minorHAnsi" w:hAnsiTheme="minorHAnsi"/>
          <w:bCs/>
          <w:szCs w:val="24"/>
          <w:lang w:val="en-US"/>
        </w:rPr>
      </w:pPr>
      <w:r w:rsidRPr="00D101E0">
        <w:rPr>
          <w:rFonts w:asciiTheme="minorHAnsi" w:hAnsiTheme="minorHAnsi"/>
          <w:bCs/>
          <w:szCs w:val="24"/>
          <w:lang w:val="en-US"/>
        </w:rPr>
        <w:t xml:space="preserve">Specific guidelines in relations with the list of subjects mentioned above, as well as administrative mechanisms required for supporting the full implementation of the new </w:t>
      </w:r>
      <w:r w:rsidRPr="00D101E0">
        <w:rPr>
          <w:rFonts w:asciiTheme="minorHAnsi" w:hAnsiTheme="minorHAnsi"/>
          <w:bCs/>
          <w:szCs w:val="24"/>
          <w:lang w:val="en-US"/>
        </w:rPr>
        <w:lastRenderedPageBreak/>
        <w:t>compensation package for staff in the professional and higher categories are being developed, and will be integrated into the HR handbook.</w:t>
      </w:r>
    </w:p>
    <w:p w:rsidR="00723BE4" w:rsidRDefault="00723BE4" w:rsidP="00D101E0">
      <w:pPr>
        <w:tabs>
          <w:tab w:val="clear" w:pos="794"/>
          <w:tab w:val="clear" w:pos="1191"/>
          <w:tab w:val="clear" w:pos="1588"/>
          <w:tab w:val="clear" w:pos="1985"/>
        </w:tabs>
        <w:snapToGrid w:val="0"/>
        <w:spacing w:after="120"/>
        <w:jc w:val="both"/>
        <w:rPr>
          <w:rFonts w:asciiTheme="minorHAnsi" w:hAnsiTheme="minorHAnsi"/>
          <w:bCs/>
          <w:szCs w:val="24"/>
          <w:lang w:val="en-US"/>
        </w:rPr>
      </w:pPr>
      <w:r w:rsidRPr="00D101E0">
        <w:rPr>
          <w:rFonts w:asciiTheme="minorHAnsi" w:hAnsiTheme="minorHAnsi"/>
          <w:bCs/>
          <w:szCs w:val="24"/>
          <w:lang w:val="en-US"/>
        </w:rPr>
        <w:t xml:space="preserve">The Annex to this document gives </w:t>
      </w:r>
      <w:r w:rsidR="009C023A" w:rsidRPr="00D101E0">
        <w:rPr>
          <w:rFonts w:asciiTheme="minorHAnsi" w:hAnsiTheme="minorHAnsi"/>
          <w:bCs/>
          <w:szCs w:val="24"/>
          <w:lang w:val="en-US"/>
        </w:rPr>
        <w:t xml:space="preserve">an example of the structure by alphabetical index which </w:t>
      </w:r>
      <w:r w:rsidR="00117805" w:rsidRPr="00D101E0">
        <w:rPr>
          <w:rFonts w:asciiTheme="minorHAnsi" w:hAnsiTheme="minorHAnsi"/>
          <w:bCs/>
          <w:szCs w:val="24"/>
          <w:lang w:val="en-US"/>
        </w:rPr>
        <w:t>is being</w:t>
      </w:r>
      <w:r w:rsidR="009C023A" w:rsidRPr="00D101E0">
        <w:rPr>
          <w:rFonts w:asciiTheme="minorHAnsi" w:hAnsiTheme="minorHAnsi"/>
          <w:bCs/>
          <w:szCs w:val="24"/>
          <w:lang w:val="en-US"/>
        </w:rPr>
        <w:t xml:space="preserve"> used for building the Handbook.</w:t>
      </w:r>
    </w:p>
    <w:p w:rsidR="0055204E" w:rsidRPr="00D101E0" w:rsidRDefault="0055204E" w:rsidP="0055204E">
      <w:pPr>
        <w:tabs>
          <w:tab w:val="clear" w:pos="794"/>
          <w:tab w:val="clear" w:pos="1191"/>
          <w:tab w:val="clear" w:pos="1588"/>
          <w:tab w:val="clear" w:pos="1985"/>
        </w:tabs>
        <w:snapToGrid w:val="0"/>
        <w:spacing w:before="2400" w:after="120"/>
        <w:jc w:val="both"/>
        <w:rPr>
          <w:rFonts w:asciiTheme="minorHAnsi" w:hAnsiTheme="minorHAnsi"/>
          <w:bCs/>
          <w:szCs w:val="24"/>
          <w:lang w:val="en-US"/>
        </w:rPr>
      </w:pPr>
      <w:r w:rsidRPr="0055204E">
        <w:rPr>
          <w:rFonts w:asciiTheme="minorHAnsi" w:hAnsiTheme="minorHAnsi"/>
          <w:b/>
          <w:i/>
          <w:iCs/>
          <w:szCs w:val="24"/>
          <w:lang w:val="en-US"/>
        </w:rPr>
        <w:t>Annex:</w:t>
      </w:r>
      <w:r w:rsidRPr="0055204E">
        <w:rPr>
          <w:rFonts w:asciiTheme="minorHAnsi" w:hAnsiTheme="minorHAnsi"/>
          <w:bCs/>
          <w:i/>
          <w:iCs/>
          <w:szCs w:val="24"/>
          <w:lang w:val="en-US"/>
        </w:rPr>
        <w:t xml:space="preserve"> 1</w:t>
      </w:r>
    </w:p>
    <w:p w:rsidR="00A14FB4" w:rsidRPr="00D101E0" w:rsidRDefault="00A14FB4">
      <w:pPr>
        <w:tabs>
          <w:tab w:val="clear" w:pos="794"/>
          <w:tab w:val="clear" w:pos="1191"/>
          <w:tab w:val="clear" w:pos="1588"/>
          <w:tab w:val="clear" w:pos="1985"/>
        </w:tabs>
        <w:overflowPunct/>
        <w:autoSpaceDE/>
        <w:autoSpaceDN/>
        <w:adjustRightInd/>
        <w:spacing w:before="0"/>
        <w:textAlignment w:val="auto"/>
        <w:rPr>
          <w:rFonts w:asciiTheme="minorHAnsi" w:hAnsiTheme="minorHAnsi"/>
          <w:bCs/>
          <w:szCs w:val="24"/>
          <w:lang w:val="en-US"/>
        </w:rPr>
      </w:pPr>
    </w:p>
    <w:p w:rsidR="00A14FB4" w:rsidRDefault="00A14FB4">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20"/>
          <w:lang w:val="en-US"/>
        </w:rPr>
        <w:sectPr w:rsidR="00A14FB4" w:rsidSect="0055204E">
          <w:headerReference w:type="default" r:id="rId12"/>
          <w:footerReference w:type="default" r:id="rId13"/>
          <w:pgSz w:w="11907" w:h="16834" w:code="9"/>
          <w:pgMar w:top="1440" w:right="1361" w:bottom="1440" w:left="1361" w:header="720" w:footer="720" w:gutter="0"/>
          <w:paperSrc w:first="7" w:other="7"/>
          <w:cols w:space="720"/>
          <w:titlePg/>
          <w:docGrid w:linePitch="326"/>
        </w:sectPr>
      </w:pPr>
    </w:p>
    <w:p w:rsidR="00723BE4" w:rsidRPr="00D101E0" w:rsidRDefault="00723BE4" w:rsidP="00D101E0">
      <w:pPr>
        <w:pStyle w:val="AnnexNo"/>
        <w:rPr>
          <w:rFonts w:asciiTheme="minorHAnsi" w:hAnsiTheme="minorHAnsi"/>
        </w:rPr>
      </w:pPr>
      <w:r w:rsidRPr="00D101E0">
        <w:rPr>
          <w:rFonts w:asciiTheme="minorHAnsi" w:hAnsiTheme="minorHAnsi"/>
        </w:rPr>
        <w:lastRenderedPageBreak/>
        <w:t>Annex</w:t>
      </w:r>
    </w:p>
    <w:p w:rsidR="00A14FB4" w:rsidRPr="00D101E0" w:rsidRDefault="002F6257" w:rsidP="005549E8">
      <w:pPr>
        <w:rPr>
          <w:rFonts w:asciiTheme="minorHAnsi" w:hAnsiTheme="minorHAnsi"/>
        </w:rPr>
      </w:pPr>
      <w:r w:rsidRPr="00D101E0">
        <w:rPr>
          <w:rFonts w:asciiTheme="minorHAnsi" w:hAnsiTheme="minorHAnsi"/>
        </w:rPr>
        <w:t>LEAVES</w:t>
      </w:r>
      <w:r w:rsidRPr="00D101E0">
        <w:rPr>
          <w:rFonts w:asciiTheme="minorHAnsi" w:hAnsiTheme="minorHAnsi"/>
        </w:rPr>
        <w:br/>
      </w:r>
    </w:p>
    <w:tbl>
      <w:tblPr>
        <w:tblStyle w:val="TableGrid"/>
        <w:tblW w:w="0" w:type="auto"/>
        <w:tblLook w:val="04A0" w:firstRow="1" w:lastRow="0" w:firstColumn="1" w:lastColumn="0" w:noHBand="0" w:noVBand="1"/>
      </w:tblPr>
      <w:tblGrid>
        <w:gridCol w:w="1384"/>
        <w:gridCol w:w="1843"/>
        <w:gridCol w:w="1843"/>
        <w:gridCol w:w="1559"/>
        <w:gridCol w:w="1559"/>
        <w:gridCol w:w="1701"/>
        <w:gridCol w:w="1475"/>
        <w:gridCol w:w="1345"/>
        <w:gridCol w:w="1461"/>
      </w:tblGrid>
      <w:tr w:rsidR="00E557E9" w:rsidRPr="00D101E0" w:rsidTr="00117805">
        <w:tc>
          <w:tcPr>
            <w:tcW w:w="1384"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Index</w:t>
            </w:r>
          </w:p>
        </w:tc>
        <w:tc>
          <w:tcPr>
            <w:tcW w:w="1843"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ITU Constitution and Convention</w:t>
            </w:r>
          </w:p>
        </w:tc>
        <w:tc>
          <w:tcPr>
            <w:tcW w:w="1843"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 xml:space="preserve">Council </w:t>
            </w:r>
            <w:r w:rsidR="00E557E9" w:rsidRPr="00D101E0">
              <w:rPr>
                <w:rFonts w:asciiTheme="minorHAnsi" w:hAnsiTheme="minorHAnsi"/>
                <w:bCs/>
                <w:sz w:val="20"/>
                <w:lang w:val="en-US"/>
              </w:rPr>
              <w:t>resolution</w:t>
            </w:r>
            <w:r w:rsidR="00117805" w:rsidRPr="00D101E0">
              <w:rPr>
                <w:rFonts w:asciiTheme="minorHAnsi" w:hAnsiTheme="minorHAnsi"/>
                <w:bCs/>
                <w:sz w:val="20"/>
                <w:lang w:val="en-US"/>
              </w:rPr>
              <w:t>s /</w:t>
            </w:r>
            <w:r w:rsidR="00E557E9" w:rsidRPr="00D101E0">
              <w:rPr>
                <w:rFonts w:asciiTheme="minorHAnsi" w:hAnsiTheme="minorHAnsi"/>
                <w:bCs/>
                <w:sz w:val="20"/>
                <w:lang w:val="en-US"/>
              </w:rPr>
              <w:t xml:space="preserve"> </w:t>
            </w:r>
            <w:r w:rsidRPr="00D101E0">
              <w:rPr>
                <w:rFonts w:asciiTheme="minorHAnsi" w:hAnsiTheme="minorHAnsi"/>
                <w:bCs/>
                <w:sz w:val="20"/>
                <w:lang w:val="en-US"/>
              </w:rPr>
              <w:t>decision</w:t>
            </w:r>
            <w:r w:rsidR="00117805" w:rsidRPr="00D101E0">
              <w:rPr>
                <w:rFonts w:asciiTheme="minorHAnsi" w:hAnsiTheme="minorHAnsi"/>
                <w:bCs/>
                <w:sz w:val="20"/>
                <w:lang w:val="en-US"/>
              </w:rPr>
              <w:t>s</w:t>
            </w:r>
          </w:p>
        </w:tc>
        <w:tc>
          <w:tcPr>
            <w:tcW w:w="1559"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Staff Regulation</w:t>
            </w:r>
            <w:r w:rsidR="00132934" w:rsidRPr="00D101E0">
              <w:rPr>
                <w:rFonts w:asciiTheme="minorHAnsi" w:hAnsiTheme="minorHAnsi"/>
                <w:bCs/>
                <w:sz w:val="20"/>
                <w:lang w:val="en-US"/>
              </w:rPr>
              <w:t>s</w:t>
            </w:r>
          </w:p>
        </w:tc>
        <w:tc>
          <w:tcPr>
            <w:tcW w:w="1559"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Staff Rule</w:t>
            </w:r>
            <w:r w:rsidR="00132934" w:rsidRPr="00D101E0">
              <w:rPr>
                <w:rFonts w:asciiTheme="minorHAnsi" w:hAnsiTheme="minorHAnsi"/>
                <w:bCs/>
                <w:sz w:val="20"/>
                <w:lang w:val="en-US"/>
              </w:rPr>
              <w:t>s</w:t>
            </w:r>
          </w:p>
        </w:tc>
        <w:tc>
          <w:tcPr>
            <w:tcW w:w="1701"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Service Order</w:t>
            </w:r>
          </w:p>
        </w:tc>
        <w:tc>
          <w:tcPr>
            <w:tcW w:w="1475"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Information Circular</w:t>
            </w:r>
          </w:p>
        </w:tc>
        <w:tc>
          <w:tcPr>
            <w:tcW w:w="1345"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Guidelines</w:t>
            </w:r>
          </w:p>
        </w:tc>
        <w:tc>
          <w:tcPr>
            <w:tcW w:w="1461" w:type="dxa"/>
            <w:shd w:val="clear" w:color="auto" w:fill="17365D" w:themeFill="text2" w:themeFillShade="BF"/>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20"/>
                <w:lang w:val="en-US"/>
              </w:rPr>
            </w:pPr>
            <w:r w:rsidRPr="00D101E0">
              <w:rPr>
                <w:rFonts w:asciiTheme="minorHAnsi" w:hAnsiTheme="minorHAnsi"/>
                <w:bCs/>
                <w:sz w:val="20"/>
                <w:lang w:val="en-US"/>
              </w:rPr>
              <w:t>Forms</w:t>
            </w:r>
            <w:r w:rsidR="00132934" w:rsidRPr="00D101E0">
              <w:rPr>
                <w:rFonts w:asciiTheme="minorHAnsi" w:hAnsiTheme="minorHAnsi"/>
                <w:bCs/>
                <w:sz w:val="20"/>
                <w:lang w:val="en-US"/>
              </w:rPr>
              <w:t>/Link</w:t>
            </w:r>
          </w:p>
        </w:tc>
      </w:tr>
      <w:tr w:rsidR="00E557E9" w:rsidRPr="00D101E0" w:rsidTr="00D101E0">
        <w:trPr>
          <w:trHeight w:val="454"/>
        </w:trPr>
        <w:tc>
          <w:tcPr>
            <w:tcW w:w="1384" w:type="dxa"/>
          </w:tcPr>
          <w:p w:rsidR="005549E8" w:rsidRPr="00D101E0" w:rsidRDefault="005549E8">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Annual Leave</w:t>
            </w:r>
          </w:p>
        </w:tc>
        <w:tc>
          <w:tcPr>
            <w:tcW w:w="1843" w:type="dxa"/>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5.1</w:t>
            </w:r>
          </w:p>
        </w:tc>
        <w:tc>
          <w:tcPr>
            <w:tcW w:w="1559" w:type="dxa"/>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5.1.1</w:t>
            </w:r>
          </w:p>
        </w:tc>
        <w:tc>
          <w:tcPr>
            <w:tcW w:w="1701" w:type="dxa"/>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475" w:type="dxa"/>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5549E8" w:rsidRPr="00D101E0" w:rsidRDefault="005549E8" w:rsidP="005549E8">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5549E8" w:rsidRPr="00D101E0" w:rsidRDefault="00132934"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bCs/>
                <w:sz w:val="16"/>
                <w:szCs w:val="16"/>
                <w:lang w:val="en-US"/>
              </w:rPr>
            </w:pPr>
            <w:r w:rsidRPr="00D101E0">
              <w:rPr>
                <w:rFonts w:asciiTheme="minorHAnsi" w:hAnsiTheme="minorHAnsi"/>
                <w:noProof/>
                <w:lang w:val="en-US" w:eastAsia="zh-CN"/>
              </w:rPr>
              <w:drawing>
                <wp:inline distT="0" distB="0" distL="0" distR="0" wp14:anchorId="2C127EE2" wp14:editId="5C0E4BDE">
                  <wp:extent cx="427511" cy="23163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229" cy="255327"/>
                          </a:xfrm>
                          <a:prstGeom prst="rect">
                            <a:avLst/>
                          </a:prstGeom>
                        </pic:spPr>
                      </pic:pic>
                    </a:graphicData>
                  </a:graphic>
                </wp:inline>
              </w:drawing>
            </w:r>
          </w:p>
        </w:tc>
      </w:tr>
      <w:tr w:rsidR="00132934" w:rsidRPr="00D101E0" w:rsidTr="00D101E0">
        <w:trPr>
          <w:trHeight w:val="454"/>
        </w:trPr>
        <w:tc>
          <w:tcPr>
            <w:tcW w:w="1384" w:type="dxa"/>
          </w:tcPr>
          <w:p w:rsidR="00132934" w:rsidRPr="00D101E0" w:rsidRDefault="00132934" w:rsidP="00132934">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Family emergency leave</w:t>
            </w: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701"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SO 07/10</w:t>
            </w:r>
          </w:p>
        </w:tc>
        <w:tc>
          <w:tcPr>
            <w:tcW w:w="147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132934" w:rsidRPr="00D101E0" w:rsidRDefault="00132934"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bCs/>
                <w:sz w:val="16"/>
                <w:szCs w:val="16"/>
                <w:lang w:val="en-US"/>
              </w:rPr>
            </w:pPr>
            <w:r w:rsidRPr="00D101E0">
              <w:rPr>
                <w:rFonts w:asciiTheme="minorHAnsi" w:hAnsiTheme="minorHAnsi"/>
                <w:noProof/>
                <w:lang w:val="en-US" w:eastAsia="zh-CN"/>
              </w:rPr>
              <w:drawing>
                <wp:inline distT="0" distB="0" distL="0" distR="0" wp14:anchorId="63EFB68B" wp14:editId="7E3AE25C">
                  <wp:extent cx="427511" cy="23163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229" cy="255327"/>
                          </a:xfrm>
                          <a:prstGeom prst="rect">
                            <a:avLst/>
                          </a:prstGeom>
                        </pic:spPr>
                      </pic:pic>
                    </a:graphicData>
                  </a:graphic>
                </wp:inline>
              </w:drawing>
            </w:r>
          </w:p>
        </w:tc>
      </w:tr>
      <w:tr w:rsidR="002F6257" w:rsidRPr="00D101E0" w:rsidTr="00D101E0">
        <w:trPr>
          <w:trHeight w:val="454"/>
        </w:trPr>
        <w:tc>
          <w:tcPr>
            <w:tcW w:w="1384" w:type="dxa"/>
          </w:tcPr>
          <w:p w:rsidR="002F6257" w:rsidRPr="00D101E0" w:rsidRDefault="002F6257" w:rsidP="0048075B">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Home Leave</w:t>
            </w:r>
          </w:p>
        </w:tc>
        <w:tc>
          <w:tcPr>
            <w:tcW w:w="1843" w:type="dxa"/>
          </w:tcPr>
          <w:p w:rsidR="002F6257" w:rsidRPr="00D101E0" w:rsidRDefault="002F6257" w:rsidP="004807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2F6257" w:rsidRPr="00D101E0" w:rsidRDefault="002F6257" w:rsidP="004807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2F6257" w:rsidRPr="00D101E0" w:rsidRDefault="002F6257" w:rsidP="004807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5.3</w:t>
            </w:r>
          </w:p>
        </w:tc>
        <w:tc>
          <w:tcPr>
            <w:tcW w:w="1559" w:type="dxa"/>
          </w:tcPr>
          <w:p w:rsidR="002F6257" w:rsidRPr="00D101E0" w:rsidRDefault="002F6257" w:rsidP="004807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5.3.1</w:t>
            </w:r>
          </w:p>
        </w:tc>
        <w:tc>
          <w:tcPr>
            <w:tcW w:w="1701" w:type="dxa"/>
          </w:tcPr>
          <w:p w:rsidR="002F6257" w:rsidRPr="00D101E0" w:rsidRDefault="002F6257" w:rsidP="004807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SO 16/12</w:t>
            </w:r>
          </w:p>
          <w:p w:rsidR="002F6257" w:rsidRPr="00D101E0" w:rsidRDefault="00E557E9" w:rsidP="004807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SO</w:t>
            </w:r>
            <w:r w:rsidR="002F6257" w:rsidRPr="00D101E0">
              <w:rPr>
                <w:rFonts w:asciiTheme="minorHAnsi" w:hAnsiTheme="minorHAnsi"/>
                <w:bCs/>
                <w:sz w:val="16"/>
                <w:szCs w:val="16"/>
                <w:lang w:val="en-US"/>
              </w:rPr>
              <w:t xml:space="preserve"> 73 of</w:t>
            </w:r>
            <w:r w:rsidRPr="00D101E0">
              <w:rPr>
                <w:rFonts w:asciiTheme="minorHAnsi" w:hAnsiTheme="minorHAnsi"/>
                <w:bCs/>
                <w:sz w:val="16"/>
                <w:szCs w:val="16"/>
                <w:lang w:val="en-US"/>
              </w:rPr>
              <w:t xml:space="preserve"> 311/08/1992</w:t>
            </w:r>
          </w:p>
        </w:tc>
        <w:tc>
          <w:tcPr>
            <w:tcW w:w="1475" w:type="dxa"/>
          </w:tcPr>
          <w:p w:rsidR="002F6257" w:rsidRPr="00D101E0" w:rsidRDefault="002F6257" w:rsidP="004807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2F6257" w:rsidRPr="00D101E0" w:rsidRDefault="002F6257" w:rsidP="0048075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2F6257" w:rsidRPr="00D101E0" w:rsidRDefault="002F6257"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noProof/>
                <w:sz w:val="16"/>
                <w:szCs w:val="16"/>
                <w:lang w:val="en-US" w:eastAsia="zh-CN"/>
              </w:rPr>
            </w:pPr>
            <w:r w:rsidRPr="00D101E0">
              <w:rPr>
                <w:rFonts w:asciiTheme="minorHAnsi" w:hAnsiTheme="minorHAnsi"/>
                <w:noProof/>
                <w:sz w:val="16"/>
                <w:szCs w:val="16"/>
                <w:lang w:val="en-US" w:eastAsia="zh-CN"/>
              </w:rPr>
              <w:drawing>
                <wp:inline distT="0" distB="0" distL="0" distR="0" wp14:anchorId="0C397FF7" wp14:editId="14EEE706">
                  <wp:extent cx="195943" cy="221301"/>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864" cy="249447"/>
                          </a:xfrm>
                          <a:prstGeom prst="rect">
                            <a:avLst/>
                          </a:prstGeom>
                        </pic:spPr>
                      </pic:pic>
                    </a:graphicData>
                  </a:graphic>
                </wp:inline>
              </w:drawing>
            </w:r>
          </w:p>
        </w:tc>
      </w:tr>
      <w:tr w:rsidR="00E557E9" w:rsidRPr="00D101E0" w:rsidTr="00D101E0">
        <w:trPr>
          <w:trHeight w:val="454"/>
        </w:trPr>
        <w:tc>
          <w:tcPr>
            <w:tcW w:w="1384" w:type="dxa"/>
          </w:tcPr>
          <w:p w:rsidR="00132934" w:rsidRPr="00D101E0" w:rsidRDefault="00132934" w:rsidP="00132934">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Internal leave</w:t>
            </w: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701"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SO 11/15</w:t>
            </w:r>
          </w:p>
        </w:tc>
        <w:tc>
          <w:tcPr>
            <w:tcW w:w="147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132934" w:rsidRPr="00D101E0" w:rsidRDefault="002F6257"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bCs/>
                <w:sz w:val="16"/>
                <w:szCs w:val="16"/>
                <w:lang w:val="en-US"/>
              </w:rPr>
            </w:pPr>
            <w:r w:rsidRPr="00D101E0">
              <w:rPr>
                <w:rFonts w:asciiTheme="minorHAnsi" w:hAnsiTheme="minorHAnsi"/>
                <w:noProof/>
                <w:sz w:val="16"/>
                <w:szCs w:val="16"/>
                <w:lang w:val="en-US" w:eastAsia="zh-CN"/>
              </w:rPr>
              <w:drawing>
                <wp:inline distT="0" distB="0" distL="0" distR="0" wp14:anchorId="0C397FF7" wp14:editId="14EEE706">
                  <wp:extent cx="195943" cy="221301"/>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864" cy="249447"/>
                          </a:xfrm>
                          <a:prstGeom prst="rect">
                            <a:avLst/>
                          </a:prstGeom>
                        </pic:spPr>
                      </pic:pic>
                    </a:graphicData>
                  </a:graphic>
                </wp:inline>
              </w:drawing>
            </w:r>
          </w:p>
        </w:tc>
      </w:tr>
      <w:tr w:rsidR="002F6257" w:rsidRPr="00D101E0" w:rsidTr="00D101E0">
        <w:trPr>
          <w:trHeight w:val="454"/>
        </w:trPr>
        <w:tc>
          <w:tcPr>
            <w:tcW w:w="1384" w:type="dxa"/>
          </w:tcPr>
          <w:p w:rsidR="002F6257" w:rsidRPr="00D101E0" w:rsidRDefault="002F6257" w:rsidP="00A14FF1">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Leave for military service</w:t>
            </w:r>
          </w:p>
        </w:tc>
        <w:tc>
          <w:tcPr>
            <w:tcW w:w="1843" w:type="dxa"/>
          </w:tcPr>
          <w:p w:rsidR="002F6257" w:rsidRPr="00D101E0" w:rsidRDefault="002F6257" w:rsidP="00A14FF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2F6257" w:rsidRPr="00D101E0" w:rsidRDefault="002F6257" w:rsidP="00A14FF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R.260</w:t>
            </w:r>
          </w:p>
        </w:tc>
        <w:tc>
          <w:tcPr>
            <w:tcW w:w="1559" w:type="dxa"/>
          </w:tcPr>
          <w:p w:rsidR="002F6257" w:rsidRPr="00D101E0" w:rsidRDefault="002F6257" w:rsidP="00A14FF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2F6257" w:rsidRPr="00D101E0" w:rsidRDefault="002F6257" w:rsidP="00A14FF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701" w:type="dxa"/>
          </w:tcPr>
          <w:p w:rsidR="002F6257" w:rsidRPr="00D101E0" w:rsidRDefault="002F6257" w:rsidP="00A14FF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475" w:type="dxa"/>
          </w:tcPr>
          <w:p w:rsidR="002F6257" w:rsidRPr="00D101E0" w:rsidRDefault="002F6257" w:rsidP="00A14FF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2F6257" w:rsidRPr="00D101E0" w:rsidRDefault="002F6257" w:rsidP="00A14FF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2F6257" w:rsidRPr="00D101E0" w:rsidRDefault="002F6257"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noProof/>
                <w:sz w:val="16"/>
                <w:szCs w:val="16"/>
                <w:lang w:val="en-US" w:eastAsia="zh-CN"/>
              </w:rPr>
            </w:pPr>
            <w:r w:rsidRPr="00D101E0">
              <w:rPr>
                <w:rFonts w:asciiTheme="minorHAnsi" w:hAnsiTheme="minorHAnsi"/>
                <w:noProof/>
                <w:sz w:val="16"/>
                <w:szCs w:val="16"/>
                <w:lang w:val="en-US" w:eastAsia="zh-CN"/>
              </w:rPr>
              <w:drawing>
                <wp:inline distT="0" distB="0" distL="0" distR="0" wp14:anchorId="62F9794E" wp14:editId="17AFA312">
                  <wp:extent cx="195943" cy="221301"/>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864" cy="249447"/>
                          </a:xfrm>
                          <a:prstGeom prst="rect">
                            <a:avLst/>
                          </a:prstGeom>
                        </pic:spPr>
                      </pic:pic>
                    </a:graphicData>
                  </a:graphic>
                </wp:inline>
              </w:drawing>
            </w:r>
          </w:p>
        </w:tc>
      </w:tr>
      <w:tr w:rsidR="00132934" w:rsidRPr="00D101E0" w:rsidTr="00D101E0">
        <w:trPr>
          <w:trHeight w:val="454"/>
        </w:trPr>
        <w:tc>
          <w:tcPr>
            <w:tcW w:w="1384" w:type="dxa"/>
          </w:tcPr>
          <w:p w:rsidR="00132934" w:rsidRPr="00D101E0" w:rsidRDefault="00132934" w:rsidP="00132934">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Maternity leave</w:t>
            </w: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6.2.3</w:t>
            </w:r>
          </w:p>
        </w:tc>
        <w:tc>
          <w:tcPr>
            <w:tcW w:w="1701"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47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132934" w:rsidRPr="00D101E0" w:rsidRDefault="00132934"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bCs/>
                <w:sz w:val="16"/>
                <w:szCs w:val="16"/>
                <w:lang w:val="en-US"/>
              </w:rPr>
            </w:pPr>
            <w:r w:rsidRPr="00D101E0">
              <w:rPr>
                <w:rFonts w:asciiTheme="minorHAnsi" w:hAnsiTheme="minorHAnsi"/>
                <w:noProof/>
                <w:lang w:val="en-US" w:eastAsia="zh-CN"/>
              </w:rPr>
              <w:drawing>
                <wp:inline distT="0" distB="0" distL="0" distR="0" wp14:anchorId="12ED6D07" wp14:editId="397C6888">
                  <wp:extent cx="427511" cy="23163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229" cy="255327"/>
                          </a:xfrm>
                          <a:prstGeom prst="rect">
                            <a:avLst/>
                          </a:prstGeom>
                        </pic:spPr>
                      </pic:pic>
                    </a:graphicData>
                  </a:graphic>
                </wp:inline>
              </w:drawing>
            </w:r>
          </w:p>
        </w:tc>
      </w:tr>
      <w:tr w:rsidR="00132934" w:rsidRPr="00D101E0" w:rsidTr="00D101E0">
        <w:trPr>
          <w:trHeight w:val="454"/>
        </w:trPr>
        <w:tc>
          <w:tcPr>
            <w:tcW w:w="1384" w:type="dxa"/>
          </w:tcPr>
          <w:p w:rsidR="00132934" w:rsidRPr="00D101E0" w:rsidRDefault="00132934" w:rsidP="00132934">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Paternity leave</w:t>
            </w: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701"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SO 07/24</w:t>
            </w:r>
          </w:p>
        </w:tc>
        <w:tc>
          <w:tcPr>
            <w:tcW w:w="147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132934" w:rsidRPr="00D101E0" w:rsidRDefault="00132934"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bCs/>
                <w:sz w:val="16"/>
                <w:szCs w:val="16"/>
                <w:lang w:val="en-US"/>
              </w:rPr>
            </w:pPr>
            <w:r w:rsidRPr="00D101E0">
              <w:rPr>
                <w:rFonts w:asciiTheme="minorHAnsi" w:hAnsiTheme="minorHAnsi"/>
                <w:noProof/>
                <w:sz w:val="16"/>
                <w:szCs w:val="16"/>
                <w:lang w:val="en-US" w:eastAsia="zh-CN"/>
              </w:rPr>
              <w:drawing>
                <wp:inline distT="0" distB="0" distL="0" distR="0" wp14:anchorId="6ED50CDD" wp14:editId="7E5B5ADD">
                  <wp:extent cx="195943" cy="221301"/>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864" cy="249447"/>
                          </a:xfrm>
                          <a:prstGeom prst="rect">
                            <a:avLst/>
                          </a:prstGeom>
                        </pic:spPr>
                      </pic:pic>
                    </a:graphicData>
                  </a:graphic>
                </wp:inline>
              </w:drawing>
            </w:r>
          </w:p>
        </w:tc>
      </w:tr>
      <w:tr w:rsidR="00E557E9" w:rsidRPr="00D101E0" w:rsidTr="00D101E0">
        <w:trPr>
          <w:trHeight w:val="454"/>
        </w:trPr>
        <w:tc>
          <w:tcPr>
            <w:tcW w:w="1384" w:type="dxa"/>
          </w:tcPr>
          <w:p w:rsidR="00132934" w:rsidRPr="00D101E0" w:rsidRDefault="00132934" w:rsidP="00132934">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Official holidays</w:t>
            </w: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1.3.2</w:t>
            </w:r>
          </w:p>
        </w:tc>
        <w:tc>
          <w:tcPr>
            <w:tcW w:w="1701"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SO 16.02</w:t>
            </w:r>
          </w:p>
        </w:tc>
        <w:tc>
          <w:tcPr>
            <w:tcW w:w="147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132934" w:rsidRPr="00D101E0" w:rsidRDefault="00132934"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bCs/>
                <w:sz w:val="16"/>
                <w:szCs w:val="16"/>
                <w:lang w:val="en-US"/>
              </w:rPr>
            </w:pPr>
            <w:r w:rsidRPr="00D101E0">
              <w:rPr>
                <w:rFonts w:asciiTheme="minorHAnsi" w:hAnsiTheme="minorHAnsi"/>
                <w:noProof/>
                <w:lang w:val="en-US" w:eastAsia="zh-CN"/>
              </w:rPr>
              <w:drawing>
                <wp:inline distT="0" distB="0" distL="0" distR="0" wp14:anchorId="364F9688" wp14:editId="264E9F3F">
                  <wp:extent cx="427511" cy="23163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229" cy="255327"/>
                          </a:xfrm>
                          <a:prstGeom prst="rect">
                            <a:avLst/>
                          </a:prstGeom>
                        </pic:spPr>
                      </pic:pic>
                    </a:graphicData>
                  </a:graphic>
                </wp:inline>
              </w:drawing>
            </w:r>
          </w:p>
        </w:tc>
      </w:tr>
      <w:tr w:rsidR="00E557E9" w:rsidRPr="00D101E0" w:rsidTr="00D101E0">
        <w:trPr>
          <w:trHeight w:val="454"/>
        </w:trPr>
        <w:tc>
          <w:tcPr>
            <w:tcW w:w="1384" w:type="dxa"/>
          </w:tcPr>
          <w:p w:rsidR="00132934" w:rsidRPr="00D101E0" w:rsidRDefault="00132934" w:rsidP="00132934">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16"/>
                <w:szCs w:val="16"/>
                <w:lang w:val="en-US"/>
              </w:rPr>
            </w:pPr>
            <w:r w:rsidRPr="00D101E0">
              <w:rPr>
                <w:rFonts w:asciiTheme="minorHAnsi" w:hAnsiTheme="minorHAnsi"/>
                <w:bCs/>
                <w:sz w:val="16"/>
                <w:szCs w:val="16"/>
                <w:lang w:val="en-US"/>
              </w:rPr>
              <w:t>Sick leave</w:t>
            </w: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843"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559"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6.2.2</w:t>
            </w:r>
          </w:p>
        </w:tc>
        <w:tc>
          <w:tcPr>
            <w:tcW w:w="1701"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r w:rsidRPr="00D101E0">
              <w:rPr>
                <w:rFonts w:asciiTheme="minorHAnsi" w:hAnsiTheme="minorHAnsi"/>
                <w:bCs/>
                <w:sz w:val="16"/>
                <w:szCs w:val="16"/>
                <w:lang w:val="en-US"/>
              </w:rPr>
              <w:t>SO 10/11</w:t>
            </w:r>
          </w:p>
        </w:tc>
        <w:tc>
          <w:tcPr>
            <w:tcW w:w="147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Cs/>
                <w:sz w:val="16"/>
                <w:szCs w:val="16"/>
                <w:lang w:val="en-US"/>
              </w:rPr>
            </w:pPr>
          </w:p>
        </w:tc>
        <w:tc>
          <w:tcPr>
            <w:tcW w:w="1345" w:type="dxa"/>
          </w:tcPr>
          <w:p w:rsidR="00132934" w:rsidRPr="00D101E0" w:rsidRDefault="00132934" w:rsidP="0013293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noProof/>
                <w:sz w:val="16"/>
                <w:szCs w:val="16"/>
                <w:lang w:val="en-US" w:eastAsia="zh-CN"/>
              </w:rPr>
            </w:pPr>
          </w:p>
        </w:tc>
        <w:tc>
          <w:tcPr>
            <w:tcW w:w="1461" w:type="dxa"/>
            <w:vAlign w:val="center"/>
          </w:tcPr>
          <w:p w:rsidR="00132934" w:rsidRPr="00D101E0" w:rsidRDefault="00132934" w:rsidP="00D101E0">
            <w:pPr>
              <w:tabs>
                <w:tab w:val="clear" w:pos="794"/>
                <w:tab w:val="clear" w:pos="1191"/>
                <w:tab w:val="clear" w:pos="1588"/>
                <w:tab w:val="clear" w:pos="1985"/>
              </w:tabs>
              <w:overflowPunct/>
              <w:autoSpaceDE/>
              <w:autoSpaceDN/>
              <w:adjustRightInd/>
              <w:spacing w:before="20"/>
              <w:jc w:val="center"/>
              <w:textAlignment w:val="auto"/>
              <w:rPr>
                <w:rFonts w:asciiTheme="minorHAnsi" w:hAnsiTheme="minorHAnsi"/>
                <w:bCs/>
                <w:sz w:val="16"/>
                <w:szCs w:val="16"/>
                <w:lang w:val="en-US"/>
              </w:rPr>
            </w:pPr>
            <w:r w:rsidRPr="00D101E0">
              <w:rPr>
                <w:rFonts w:asciiTheme="minorHAnsi" w:hAnsiTheme="minorHAnsi"/>
                <w:noProof/>
                <w:lang w:val="en-US" w:eastAsia="zh-CN"/>
              </w:rPr>
              <w:drawing>
                <wp:inline distT="0" distB="0" distL="0" distR="0" wp14:anchorId="22A285EC" wp14:editId="4FF880DB">
                  <wp:extent cx="427511" cy="23163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229" cy="255327"/>
                          </a:xfrm>
                          <a:prstGeom prst="rect">
                            <a:avLst/>
                          </a:prstGeom>
                        </pic:spPr>
                      </pic:pic>
                    </a:graphicData>
                  </a:graphic>
                </wp:inline>
              </w:drawing>
            </w:r>
          </w:p>
        </w:tc>
      </w:tr>
    </w:tbl>
    <w:p w:rsidR="002F6257" w:rsidRDefault="002F6257">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20"/>
          <w:lang w:val="en-US"/>
        </w:rPr>
      </w:pPr>
    </w:p>
    <w:p w:rsidR="0055204E" w:rsidRPr="0055204E" w:rsidRDefault="0055204E" w:rsidP="0055204E">
      <w:pPr>
        <w:tabs>
          <w:tab w:val="clear" w:pos="794"/>
          <w:tab w:val="clear" w:pos="1191"/>
          <w:tab w:val="clear" w:pos="1588"/>
          <w:tab w:val="clear" w:pos="1985"/>
        </w:tabs>
        <w:overflowPunct/>
        <w:autoSpaceDE/>
        <w:autoSpaceDN/>
        <w:adjustRightInd/>
        <w:spacing w:before="720"/>
        <w:jc w:val="center"/>
        <w:textAlignment w:val="auto"/>
        <w:rPr>
          <w:rFonts w:asciiTheme="minorHAnsi" w:hAnsiTheme="minorHAnsi"/>
          <w:bCs/>
          <w:szCs w:val="24"/>
          <w:lang w:val="en-US"/>
        </w:rPr>
      </w:pPr>
      <w:r w:rsidRPr="0055204E">
        <w:rPr>
          <w:rFonts w:asciiTheme="minorHAnsi" w:hAnsiTheme="minorHAnsi"/>
          <w:bCs/>
          <w:szCs w:val="24"/>
          <w:lang w:val="en-US"/>
        </w:rPr>
        <w:t>________________________</w:t>
      </w:r>
    </w:p>
    <w:sectPr w:rsidR="0055204E" w:rsidRPr="0055204E" w:rsidSect="00A14FB4">
      <w:headerReference w:type="first" r:id="rId16"/>
      <w:pgSz w:w="16834" w:h="11907" w:orient="landscape" w:code="9"/>
      <w:pgMar w:top="1440" w:right="1440" w:bottom="1440" w:left="1440" w:header="720" w:footer="16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DF" w:rsidRDefault="006A05DF">
      <w:r>
        <w:separator/>
      </w:r>
    </w:p>
  </w:endnote>
  <w:endnote w:type="continuationSeparator" w:id="0">
    <w:p w:rsidR="006A05DF" w:rsidRDefault="006A05DF">
      <w:r>
        <w:continuationSeparator/>
      </w:r>
    </w:p>
  </w:endnote>
  <w:endnote w:type="continuationNotice" w:id="1">
    <w:p w:rsidR="006A05DF" w:rsidRDefault="006A05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02232705"/>
      <w:docPartObj>
        <w:docPartGallery w:val="Page Numbers (Bottom of Page)"/>
        <w:docPartUnique/>
      </w:docPartObj>
    </w:sdtPr>
    <w:sdtEndPr>
      <w:rPr>
        <w:noProof/>
      </w:rPr>
    </w:sdtEndPr>
    <w:sdtContent>
      <w:p w:rsidR="00A14FB4" w:rsidRDefault="00A14FB4">
        <w:pPr>
          <w:pStyle w:val="Footer"/>
          <w:jc w:val="center"/>
        </w:pPr>
        <w:r>
          <w:rPr>
            <w:noProof w:val="0"/>
          </w:rPr>
          <w:fldChar w:fldCharType="begin"/>
        </w:r>
        <w:r>
          <w:instrText xml:space="preserve"> PAGE   \* MERGEFORMAT </w:instrText>
        </w:r>
        <w:r>
          <w:rPr>
            <w:noProof w:val="0"/>
          </w:rPr>
          <w:fldChar w:fldCharType="separate"/>
        </w:r>
        <w:r w:rsidR="00EF7166">
          <w:t>3</w:t>
        </w:r>
        <w:r>
          <w:fldChar w:fldCharType="end"/>
        </w:r>
      </w:p>
    </w:sdtContent>
  </w:sdt>
  <w:p w:rsidR="00A14FB4" w:rsidRDefault="00A14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DF" w:rsidRDefault="006A05DF">
      <w:r>
        <w:t>____________________</w:t>
      </w:r>
    </w:p>
    <w:p w:rsidR="006A05DF" w:rsidRDefault="006A05DF"/>
  </w:footnote>
  <w:footnote w:type="continuationSeparator" w:id="0">
    <w:p w:rsidR="006A05DF" w:rsidRDefault="006A05DF">
      <w:r>
        <w:continuationSeparator/>
      </w:r>
    </w:p>
  </w:footnote>
  <w:footnote w:type="continuationNotice" w:id="1">
    <w:p w:rsidR="006A05DF" w:rsidRDefault="006A05DF">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4E" w:rsidRPr="0055204E" w:rsidRDefault="0055204E" w:rsidP="0055204E">
    <w:pPr>
      <w:pStyle w:val="Header"/>
      <w:rPr>
        <w:rFonts w:asciiTheme="minorHAnsi" w:hAnsiTheme="minorHAnsi"/>
      </w:rPr>
    </w:pPr>
    <w:r w:rsidRPr="0055204E">
      <w:rPr>
        <w:rFonts w:asciiTheme="minorHAnsi" w:hAnsiTheme="minorHAnsi"/>
      </w:rPr>
      <w:fldChar w:fldCharType="begin"/>
    </w:r>
    <w:r w:rsidRPr="0055204E">
      <w:rPr>
        <w:rFonts w:asciiTheme="minorHAnsi" w:hAnsiTheme="minorHAnsi"/>
      </w:rPr>
      <w:instrText>PAGE</w:instrText>
    </w:r>
    <w:r w:rsidRPr="0055204E">
      <w:rPr>
        <w:rFonts w:asciiTheme="minorHAnsi" w:hAnsiTheme="minorHAnsi"/>
      </w:rPr>
      <w:fldChar w:fldCharType="separate"/>
    </w:r>
    <w:r w:rsidR="00EF7166">
      <w:rPr>
        <w:rFonts w:asciiTheme="minorHAnsi" w:hAnsiTheme="minorHAnsi"/>
        <w:noProof/>
      </w:rPr>
      <w:t>3</w:t>
    </w:r>
    <w:r w:rsidRPr="0055204E">
      <w:rPr>
        <w:rFonts w:asciiTheme="minorHAnsi" w:hAnsiTheme="minorHAnsi"/>
        <w:noProof/>
      </w:rPr>
      <w:fldChar w:fldCharType="end"/>
    </w:r>
  </w:p>
  <w:p w:rsidR="0055204E" w:rsidRPr="0055204E" w:rsidRDefault="0055204E" w:rsidP="0055204E">
    <w:pPr>
      <w:pStyle w:val="Header"/>
      <w:rPr>
        <w:rFonts w:asciiTheme="minorHAnsi" w:hAnsiTheme="minorHAnsi"/>
      </w:rPr>
    </w:pPr>
    <w:r w:rsidRPr="0055204E">
      <w:rPr>
        <w:rFonts w:asciiTheme="minorHAnsi" w:hAnsiTheme="minorHAnsi"/>
      </w:rPr>
      <w:t>C1</w:t>
    </w:r>
    <w:r>
      <w:rPr>
        <w:rFonts w:asciiTheme="minorHAnsi" w:hAnsiTheme="minorHAnsi"/>
      </w:rPr>
      <w:t>7</w:t>
    </w:r>
    <w:r w:rsidRPr="0055204E">
      <w:rPr>
        <w:rFonts w:asciiTheme="minorHAnsi" w:hAnsiTheme="minorHAnsi"/>
      </w:rPr>
      <w:t>/INF/</w:t>
    </w:r>
    <w:r>
      <w:rPr>
        <w:rFonts w:asciiTheme="minorHAnsi" w:hAnsiTheme="minorHAnsi"/>
      </w:rPr>
      <w:t>14</w:t>
    </w:r>
    <w:r w:rsidRPr="0055204E">
      <w:rPr>
        <w:rFonts w:asciiTheme="minorHAnsi" w:hAnsiTheme="minorHAnsi"/>
      </w:rPr>
      <w:t>-E</w:t>
    </w:r>
  </w:p>
  <w:p w:rsidR="0055204E" w:rsidRPr="0055204E" w:rsidRDefault="0055204E">
    <w:pPr>
      <w:pStyle w:val="Header"/>
      <w:rPr>
        <w:rFonts w:asciiTheme="minorHAnsi" w:hAnsi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4E" w:rsidRPr="0055204E" w:rsidRDefault="0055204E" w:rsidP="0055204E">
    <w:pPr>
      <w:pStyle w:val="Header"/>
      <w:rPr>
        <w:rFonts w:asciiTheme="minorHAnsi" w:hAnsiTheme="minorHAnsi"/>
      </w:rPr>
    </w:pPr>
    <w:r w:rsidRPr="0055204E">
      <w:rPr>
        <w:rFonts w:asciiTheme="minorHAnsi" w:hAnsiTheme="minorHAnsi"/>
      </w:rPr>
      <w:fldChar w:fldCharType="begin"/>
    </w:r>
    <w:r w:rsidRPr="0055204E">
      <w:rPr>
        <w:rFonts w:asciiTheme="minorHAnsi" w:hAnsiTheme="minorHAnsi"/>
      </w:rPr>
      <w:instrText>PAGE</w:instrText>
    </w:r>
    <w:r w:rsidRPr="0055204E">
      <w:rPr>
        <w:rFonts w:asciiTheme="minorHAnsi" w:hAnsiTheme="minorHAnsi"/>
      </w:rPr>
      <w:fldChar w:fldCharType="separate"/>
    </w:r>
    <w:r w:rsidR="00EF7166">
      <w:rPr>
        <w:rFonts w:asciiTheme="minorHAnsi" w:hAnsiTheme="minorHAnsi"/>
        <w:noProof/>
      </w:rPr>
      <w:t>6</w:t>
    </w:r>
    <w:r w:rsidRPr="0055204E">
      <w:rPr>
        <w:rFonts w:asciiTheme="minorHAnsi" w:hAnsiTheme="minorHAnsi"/>
        <w:noProof/>
      </w:rPr>
      <w:fldChar w:fldCharType="end"/>
    </w:r>
  </w:p>
  <w:p w:rsidR="0055204E" w:rsidRPr="0055204E" w:rsidRDefault="0055204E" w:rsidP="0055204E">
    <w:pPr>
      <w:pStyle w:val="Header"/>
      <w:rPr>
        <w:rFonts w:asciiTheme="minorHAnsi" w:hAnsiTheme="minorHAnsi"/>
      </w:rPr>
    </w:pPr>
    <w:r w:rsidRPr="0055204E">
      <w:rPr>
        <w:rFonts w:asciiTheme="minorHAnsi" w:hAnsiTheme="minorHAnsi"/>
      </w:rPr>
      <w:t>C1</w:t>
    </w:r>
    <w:r>
      <w:rPr>
        <w:rFonts w:asciiTheme="minorHAnsi" w:hAnsiTheme="minorHAnsi"/>
      </w:rPr>
      <w:t>7</w:t>
    </w:r>
    <w:r w:rsidRPr="0055204E">
      <w:rPr>
        <w:rFonts w:asciiTheme="minorHAnsi" w:hAnsiTheme="minorHAnsi"/>
      </w:rPr>
      <w:t>/INF/</w:t>
    </w:r>
    <w:r>
      <w:rPr>
        <w:rFonts w:asciiTheme="minorHAnsi" w:hAnsiTheme="minorHAnsi"/>
      </w:rPr>
      <w:t>14</w:t>
    </w:r>
    <w:r w:rsidRPr="0055204E">
      <w:rPr>
        <w:rFonts w:asciiTheme="minorHAnsi" w:hAnsiTheme="minorHAnsi"/>
      </w:rPr>
      <w:t>-E</w:t>
    </w:r>
  </w:p>
  <w:p w:rsidR="0055204E" w:rsidRDefault="005520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890"/>
    <w:multiLevelType w:val="hybridMultilevel"/>
    <w:tmpl w:val="6B7877DC"/>
    <w:lvl w:ilvl="0" w:tplc="58D2F96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19CD"/>
    <w:multiLevelType w:val="hybridMultilevel"/>
    <w:tmpl w:val="20665094"/>
    <w:lvl w:ilvl="0" w:tplc="35F458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01528"/>
    <w:multiLevelType w:val="hybridMultilevel"/>
    <w:tmpl w:val="C7DE10FC"/>
    <w:lvl w:ilvl="0" w:tplc="70701924">
      <w:numFmt w:val="bullet"/>
      <w:lvlText w:val="•"/>
      <w:lvlJc w:val="left"/>
      <w:pPr>
        <w:ind w:left="1417" w:hanging="708"/>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C204FF1"/>
    <w:multiLevelType w:val="hybridMultilevel"/>
    <w:tmpl w:val="3EFEF66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15C7C"/>
    <w:multiLevelType w:val="hybridMultilevel"/>
    <w:tmpl w:val="A0C89C94"/>
    <w:lvl w:ilvl="0" w:tplc="9B20921A">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81721"/>
    <w:multiLevelType w:val="hybridMultilevel"/>
    <w:tmpl w:val="D414AFCA"/>
    <w:lvl w:ilvl="0" w:tplc="A55E74E4">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6" w15:restartNumberingAfterBreak="0">
    <w:nsid w:val="0FC53660"/>
    <w:multiLevelType w:val="hybridMultilevel"/>
    <w:tmpl w:val="96CE0B6A"/>
    <w:lvl w:ilvl="0" w:tplc="6422E906">
      <w:start w:val="1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0B63BE"/>
    <w:multiLevelType w:val="hybridMultilevel"/>
    <w:tmpl w:val="B99AEF32"/>
    <w:lvl w:ilvl="0" w:tplc="9814A34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D6B44"/>
    <w:multiLevelType w:val="hybridMultilevel"/>
    <w:tmpl w:val="D42AED50"/>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85756AA"/>
    <w:multiLevelType w:val="hybridMultilevel"/>
    <w:tmpl w:val="0F44E3F8"/>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ECC0B18"/>
    <w:multiLevelType w:val="hybridMultilevel"/>
    <w:tmpl w:val="CCEE5906"/>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0EA494E"/>
    <w:multiLevelType w:val="hybridMultilevel"/>
    <w:tmpl w:val="626651EE"/>
    <w:lvl w:ilvl="0" w:tplc="9B20921A">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A1153"/>
    <w:multiLevelType w:val="hybridMultilevel"/>
    <w:tmpl w:val="C228ECC0"/>
    <w:lvl w:ilvl="0" w:tplc="9B20921A">
      <w:start w:val="2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ACA09E8"/>
    <w:multiLevelType w:val="hybridMultilevel"/>
    <w:tmpl w:val="8432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F3563"/>
    <w:multiLevelType w:val="hybridMultilevel"/>
    <w:tmpl w:val="AB740AAA"/>
    <w:lvl w:ilvl="0" w:tplc="73A030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814"/>
    <w:multiLevelType w:val="hybridMultilevel"/>
    <w:tmpl w:val="30442C86"/>
    <w:lvl w:ilvl="0" w:tplc="85661042">
      <w:start w:val="1"/>
      <w:numFmt w:val="decimal"/>
      <w:lvlText w:val="%1"/>
      <w:lvlJc w:val="left"/>
      <w:pPr>
        <w:ind w:left="1155" w:hanging="7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2B3ADF"/>
    <w:multiLevelType w:val="hybridMultilevel"/>
    <w:tmpl w:val="87F2D682"/>
    <w:lvl w:ilvl="0" w:tplc="12B02AE2">
      <w:start w:val="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8" w15:restartNumberingAfterBreak="0">
    <w:nsid w:val="53A53075"/>
    <w:multiLevelType w:val="hybridMultilevel"/>
    <w:tmpl w:val="A9C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507C5"/>
    <w:multiLevelType w:val="hybridMultilevel"/>
    <w:tmpl w:val="3BFED5D4"/>
    <w:lvl w:ilvl="0" w:tplc="9A16B5D8">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2D4B16"/>
    <w:multiLevelType w:val="hybridMultilevel"/>
    <w:tmpl w:val="6750CE2A"/>
    <w:lvl w:ilvl="0" w:tplc="04090017">
      <w:start w:val="1"/>
      <w:numFmt w:val="lowerLetter"/>
      <w:lvlText w:val="%1)"/>
      <w:lvlJc w:val="left"/>
      <w:pPr>
        <w:ind w:left="720" w:hanging="360"/>
      </w:pPr>
      <w:rPr>
        <w:rFonts w:hint="default"/>
      </w:rPr>
    </w:lvl>
    <w:lvl w:ilvl="1" w:tplc="BF9EC354">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C358C"/>
    <w:multiLevelType w:val="hybridMultilevel"/>
    <w:tmpl w:val="F7D087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120E6"/>
    <w:multiLevelType w:val="hybridMultilevel"/>
    <w:tmpl w:val="8FF42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577AE"/>
    <w:multiLevelType w:val="hybridMultilevel"/>
    <w:tmpl w:val="2E6AF03A"/>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5CB4784"/>
    <w:multiLevelType w:val="hybridMultilevel"/>
    <w:tmpl w:val="BABA26F8"/>
    <w:lvl w:ilvl="0" w:tplc="0B02AA66">
      <w:numFmt w:val="bullet"/>
      <w:lvlText w:val="•"/>
      <w:lvlJc w:val="left"/>
      <w:pPr>
        <w:ind w:left="1068" w:hanging="708"/>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A7BB4"/>
    <w:multiLevelType w:val="hybridMultilevel"/>
    <w:tmpl w:val="6FF8F304"/>
    <w:lvl w:ilvl="0" w:tplc="267CE97A">
      <w:start w:val="5"/>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7"/>
  </w:num>
  <w:num w:numId="4">
    <w:abstractNumId w:val="26"/>
  </w:num>
  <w:num w:numId="5">
    <w:abstractNumId w:val="16"/>
  </w:num>
  <w:num w:numId="6">
    <w:abstractNumId w:val="23"/>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4"/>
  </w:num>
  <w:num w:numId="10">
    <w:abstractNumId w:val="22"/>
  </w:num>
  <w:num w:numId="11">
    <w:abstractNumId w:val="20"/>
  </w:num>
  <w:num w:numId="12">
    <w:abstractNumId w:val="24"/>
  </w:num>
  <w:num w:numId="13">
    <w:abstractNumId w:val="8"/>
  </w:num>
  <w:num w:numId="14">
    <w:abstractNumId w:val="2"/>
  </w:num>
  <w:num w:numId="15">
    <w:abstractNumId w:val="10"/>
  </w:num>
  <w:num w:numId="16">
    <w:abstractNumId w:val="9"/>
  </w:num>
  <w:num w:numId="17">
    <w:abstractNumId w:val="25"/>
  </w:num>
  <w:num w:numId="18">
    <w:abstractNumId w:val="7"/>
  </w:num>
  <w:num w:numId="19">
    <w:abstractNumId w:val="1"/>
  </w:num>
  <w:num w:numId="20">
    <w:abstractNumId w:val="0"/>
  </w:num>
  <w:num w:numId="21">
    <w:abstractNumId w:val="21"/>
  </w:num>
  <w:num w:numId="22">
    <w:abstractNumId w:val="3"/>
  </w:num>
  <w:num w:numId="23">
    <w:abstractNumId w:val="6"/>
  </w:num>
  <w:num w:numId="24">
    <w:abstractNumId w:val="18"/>
  </w:num>
  <w:num w:numId="25">
    <w:abstractNumId w:val="11"/>
  </w:num>
  <w:num w:numId="26">
    <w:abstractNumId w:val="4"/>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06"/>
    <w:rsid w:val="00006803"/>
    <w:rsid w:val="00016A7D"/>
    <w:rsid w:val="00017D5F"/>
    <w:rsid w:val="00022BBD"/>
    <w:rsid w:val="00023E69"/>
    <w:rsid w:val="00025E8E"/>
    <w:rsid w:val="00032F08"/>
    <w:rsid w:val="0003367B"/>
    <w:rsid w:val="00033C1E"/>
    <w:rsid w:val="000363F6"/>
    <w:rsid w:val="000406CF"/>
    <w:rsid w:val="000406DA"/>
    <w:rsid w:val="00044742"/>
    <w:rsid w:val="0004570D"/>
    <w:rsid w:val="0005330D"/>
    <w:rsid w:val="000539B6"/>
    <w:rsid w:val="00053A1A"/>
    <w:rsid w:val="0005586D"/>
    <w:rsid w:val="0006006C"/>
    <w:rsid w:val="00060490"/>
    <w:rsid w:val="00060642"/>
    <w:rsid w:val="000625EC"/>
    <w:rsid w:val="000659CB"/>
    <w:rsid w:val="00074C4B"/>
    <w:rsid w:val="00080890"/>
    <w:rsid w:val="00081F9C"/>
    <w:rsid w:val="00082487"/>
    <w:rsid w:val="000846FF"/>
    <w:rsid w:val="00085CF2"/>
    <w:rsid w:val="000863A2"/>
    <w:rsid w:val="00087BB2"/>
    <w:rsid w:val="00090DB1"/>
    <w:rsid w:val="000914EE"/>
    <w:rsid w:val="0009290C"/>
    <w:rsid w:val="00093D72"/>
    <w:rsid w:val="00096678"/>
    <w:rsid w:val="00096A51"/>
    <w:rsid w:val="000A1355"/>
    <w:rsid w:val="000A1678"/>
    <w:rsid w:val="000A523E"/>
    <w:rsid w:val="000A5E3D"/>
    <w:rsid w:val="000A6C3C"/>
    <w:rsid w:val="000A7E8C"/>
    <w:rsid w:val="000B1385"/>
    <w:rsid w:val="000B1705"/>
    <w:rsid w:val="000B1804"/>
    <w:rsid w:val="000C0550"/>
    <w:rsid w:val="000D034D"/>
    <w:rsid w:val="000D1B19"/>
    <w:rsid w:val="000E2EE7"/>
    <w:rsid w:val="000E53E0"/>
    <w:rsid w:val="000E7A65"/>
    <w:rsid w:val="000F6CB5"/>
    <w:rsid w:val="000F78DD"/>
    <w:rsid w:val="00102D20"/>
    <w:rsid w:val="0010302C"/>
    <w:rsid w:val="001057E5"/>
    <w:rsid w:val="0010656C"/>
    <w:rsid w:val="00110302"/>
    <w:rsid w:val="001121F5"/>
    <w:rsid w:val="00112934"/>
    <w:rsid w:val="00112A2E"/>
    <w:rsid w:val="00115BC4"/>
    <w:rsid w:val="00117805"/>
    <w:rsid w:val="00126AF0"/>
    <w:rsid w:val="00126B92"/>
    <w:rsid w:val="00126E5D"/>
    <w:rsid w:val="001306A4"/>
    <w:rsid w:val="0013259F"/>
    <w:rsid w:val="00132934"/>
    <w:rsid w:val="00132D99"/>
    <w:rsid w:val="00133A76"/>
    <w:rsid w:val="001413FF"/>
    <w:rsid w:val="00141B6D"/>
    <w:rsid w:val="00143A98"/>
    <w:rsid w:val="00143CC0"/>
    <w:rsid w:val="001451CB"/>
    <w:rsid w:val="0014539F"/>
    <w:rsid w:val="00145B8A"/>
    <w:rsid w:val="00155EF2"/>
    <w:rsid w:val="0015615B"/>
    <w:rsid w:val="00156D87"/>
    <w:rsid w:val="00157923"/>
    <w:rsid w:val="00157E22"/>
    <w:rsid w:val="00160072"/>
    <w:rsid w:val="00164E99"/>
    <w:rsid w:val="00164F90"/>
    <w:rsid w:val="00167DF3"/>
    <w:rsid w:val="00171B5B"/>
    <w:rsid w:val="00173589"/>
    <w:rsid w:val="0017539C"/>
    <w:rsid w:val="001756A8"/>
    <w:rsid w:val="0017609F"/>
    <w:rsid w:val="00177C2D"/>
    <w:rsid w:val="001804FD"/>
    <w:rsid w:val="0018324B"/>
    <w:rsid w:val="00183F90"/>
    <w:rsid w:val="00186C0B"/>
    <w:rsid w:val="0019164E"/>
    <w:rsid w:val="00191F72"/>
    <w:rsid w:val="001922CC"/>
    <w:rsid w:val="001937A4"/>
    <w:rsid w:val="00194769"/>
    <w:rsid w:val="001947CC"/>
    <w:rsid w:val="00197BEB"/>
    <w:rsid w:val="001A258D"/>
    <w:rsid w:val="001A44BC"/>
    <w:rsid w:val="001A48FB"/>
    <w:rsid w:val="001A4B58"/>
    <w:rsid w:val="001A4F5D"/>
    <w:rsid w:val="001A5A86"/>
    <w:rsid w:val="001B1348"/>
    <w:rsid w:val="001B2CC7"/>
    <w:rsid w:val="001B404B"/>
    <w:rsid w:val="001B4C39"/>
    <w:rsid w:val="001B57D7"/>
    <w:rsid w:val="001B731C"/>
    <w:rsid w:val="001B7BFC"/>
    <w:rsid w:val="001C20D1"/>
    <w:rsid w:val="001C2533"/>
    <w:rsid w:val="001C628E"/>
    <w:rsid w:val="001D0282"/>
    <w:rsid w:val="001D311E"/>
    <w:rsid w:val="001D4840"/>
    <w:rsid w:val="001D6C99"/>
    <w:rsid w:val="001E0873"/>
    <w:rsid w:val="001E0F7B"/>
    <w:rsid w:val="001E3D67"/>
    <w:rsid w:val="001E52EA"/>
    <w:rsid w:val="001E5A96"/>
    <w:rsid w:val="001E5BEE"/>
    <w:rsid w:val="001F1D19"/>
    <w:rsid w:val="001F212B"/>
    <w:rsid w:val="001F4859"/>
    <w:rsid w:val="001F565C"/>
    <w:rsid w:val="001F59DB"/>
    <w:rsid w:val="002009E4"/>
    <w:rsid w:val="002012A0"/>
    <w:rsid w:val="00201382"/>
    <w:rsid w:val="002034FE"/>
    <w:rsid w:val="0020390E"/>
    <w:rsid w:val="0020628E"/>
    <w:rsid w:val="00207892"/>
    <w:rsid w:val="00207B40"/>
    <w:rsid w:val="00211C39"/>
    <w:rsid w:val="00213E72"/>
    <w:rsid w:val="002178B8"/>
    <w:rsid w:val="00223D03"/>
    <w:rsid w:val="00224812"/>
    <w:rsid w:val="00224F52"/>
    <w:rsid w:val="002323A7"/>
    <w:rsid w:val="0023345C"/>
    <w:rsid w:val="00233546"/>
    <w:rsid w:val="002372ED"/>
    <w:rsid w:val="00241C31"/>
    <w:rsid w:val="002461BA"/>
    <w:rsid w:val="00246C25"/>
    <w:rsid w:val="002509C9"/>
    <w:rsid w:val="00252CDA"/>
    <w:rsid w:val="00254B8F"/>
    <w:rsid w:val="00265875"/>
    <w:rsid w:val="00266183"/>
    <w:rsid w:val="002664D2"/>
    <w:rsid w:val="00266544"/>
    <w:rsid w:val="00266A38"/>
    <w:rsid w:val="0026797B"/>
    <w:rsid w:val="00271117"/>
    <w:rsid w:val="0027303B"/>
    <w:rsid w:val="00275642"/>
    <w:rsid w:val="0027737C"/>
    <w:rsid w:val="0028109B"/>
    <w:rsid w:val="00283723"/>
    <w:rsid w:val="002866D2"/>
    <w:rsid w:val="00287A69"/>
    <w:rsid w:val="00290E00"/>
    <w:rsid w:val="00292600"/>
    <w:rsid w:val="0029642F"/>
    <w:rsid w:val="00296819"/>
    <w:rsid w:val="002975E0"/>
    <w:rsid w:val="002A04DD"/>
    <w:rsid w:val="002A170F"/>
    <w:rsid w:val="002A1F81"/>
    <w:rsid w:val="002A2B0C"/>
    <w:rsid w:val="002A3A0A"/>
    <w:rsid w:val="002A5798"/>
    <w:rsid w:val="002B09AE"/>
    <w:rsid w:val="002B42B9"/>
    <w:rsid w:val="002B4D05"/>
    <w:rsid w:val="002C00DC"/>
    <w:rsid w:val="002C16D0"/>
    <w:rsid w:val="002C1C7A"/>
    <w:rsid w:val="002D0905"/>
    <w:rsid w:val="002D2867"/>
    <w:rsid w:val="002D3CA6"/>
    <w:rsid w:val="002D448E"/>
    <w:rsid w:val="002D47F7"/>
    <w:rsid w:val="002D6AB8"/>
    <w:rsid w:val="002D7FCC"/>
    <w:rsid w:val="002E0872"/>
    <w:rsid w:val="002E160C"/>
    <w:rsid w:val="002E48FD"/>
    <w:rsid w:val="002E5851"/>
    <w:rsid w:val="002E5A5D"/>
    <w:rsid w:val="002E5AC3"/>
    <w:rsid w:val="002E75D9"/>
    <w:rsid w:val="002F17BD"/>
    <w:rsid w:val="002F6257"/>
    <w:rsid w:val="003002E7"/>
    <w:rsid w:val="00302EB0"/>
    <w:rsid w:val="003104AE"/>
    <w:rsid w:val="00311C3B"/>
    <w:rsid w:val="00311DA1"/>
    <w:rsid w:val="00312650"/>
    <w:rsid w:val="0031367D"/>
    <w:rsid w:val="003137E7"/>
    <w:rsid w:val="00314401"/>
    <w:rsid w:val="00314813"/>
    <w:rsid w:val="00314D4F"/>
    <w:rsid w:val="0032203B"/>
    <w:rsid w:val="003221B7"/>
    <w:rsid w:val="00323EDB"/>
    <w:rsid w:val="003259C3"/>
    <w:rsid w:val="00325F02"/>
    <w:rsid w:val="0033378B"/>
    <w:rsid w:val="0033535B"/>
    <w:rsid w:val="00342E17"/>
    <w:rsid w:val="0034515A"/>
    <w:rsid w:val="00346A46"/>
    <w:rsid w:val="003475D4"/>
    <w:rsid w:val="00351067"/>
    <w:rsid w:val="003527EC"/>
    <w:rsid w:val="00354B93"/>
    <w:rsid w:val="0035535B"/>
    <w:rsid w:val="00357224"/>
    <w:rsid w:val="0036205D"/>
    <w:rsid w:val="00362FE9"/>
    <w:rsid w:val="003642D8"/>
    <w:rsid w:val="00367841"/>
    <w:rsid w:val="00370861"/>
    <w:rsid w:val="003727FD"/>
    <w:rsid w:val="00374449"/>
    <w:rsid w:val="00375038"/>
    <w:rsid w:val="00375336"/>
    <w:rsid w:val="00375CE5"/>
    <w:rsid w:val="00384EED"/>
    <w:rsid w:val="00390C61"/>
    <w:rsid w:val="00392985"/>
    <w:rsid w:val="00392E35"/>
    <w:rsid w:val="003942D4"/>
    <w:rsid w:val="003958A8"/>
    <w:rsid w:val="0039606B"/>
    <w:rsid w:val="003969A8"/>
    <w:rsid w:val="003A0D4B"/>
    <w:rsid w:val="003A1F8A"/>
    <w:rsid w:val="003A3E3A"/>
    <w:rsid w:val="003A4E18"/>
    <w:rsid w:val="003A6515"/>
    <w:rsid w:val="003A77D9"/>
    <w:rsid w:val="003A7BA2"/>
    <w:rsid w:val="003B732C"/>
    <w:rsid w:val="003C1736"/>
    <w:rsid w:val="003C3D8D"/>
    <w:rsid w:val="003C5406"/>
    <w:rsid w:val="003C7E0C"/>
    <w:rsid w:val="003D2CC7"/>
    <w:rsid w:val="003D34FB"/>
    <w:rsid w:val="003D46A6"/>
    <w:rsid w:val="003D5EE4"/>
    <w:rsid w:val="003E103B"/>
    <w:rsid w:val="003E1166"/>
    <w:rsid w:val="003E417E"/>
    <w:rsid w:val="003E632C"/>
    <w:rsid w:val="003E67F9"/>
    <w:rsid w:val="003E6D41"/>
    <w:rsid w:val="003E7313"/>
    <w:rsid w:val="003F1F7F"/>
    <w:rsid w:val="003F5F61"/>
    <w:rsid w:val="003F6736"/>
    <w:rsid w:val="004002BF"/>
    <w:rsid w:val="0040150B"/>
    <w:rsid w:val="0040450C"/>
    <w:rsid w:val="00407DFE"/>
    <w:rsid w:val="004112AB"/>
    <w:rsid w:val="00415966"/>
    <w:rsid w:val="0041739B"/>
    <w:rsid w:val="00422F6E"/>
    <w:rsid w:val="00423CF3"/>
    <w:rsid w:val="0042461B"/>
    <w:rsid w:val="0042520B"/>
    <w:rsid w:val="00431EC5"/>
    <w:rsid w:val="00433CE8"/>
    <w:rsid w:val="00433EEB"/>
    <w:rsid w:val="00440A2A"/>
    <w:rsid w:val="00446CD5"/>
    <w:rsid w:val="00447830"/>
    <w:rsid w:val="004522A4"/>
    <w:rsid w:val="004524CB"/>
    <w:rsid w:val="00452CE7"/>
    <w:rsid w:val="004544D9"/>
    <w:rsid w:val="00454720"/>
    <w:rsid w:val="00454906"/>
    <w:rsid w:val="00454CE8"/>
    <w:rsid w:val="00461FFB"/>
    <w:rsid w:val="0046202F"/>
    <w:rsid w:val="00462702"/>
    <w:rsid w:val="0046399B"/>
    <w:rsid w:val="00466356"/>
    <w:rsid w:val="0046792A"/>
    <w:rsid w:val="00474091"/>
    <w:rsid w:val="00476452"/>
    <w:rsid w:val="00476619"/>
    <w:rsid w:val="00476CBB"/>
    <w:rsid w:val="00476EAD"/>
    <w:rsid w:val="00477099"/>
    <w:rsid w:val="004804F3"/>
    <w:rsid w:val="004824B2"/>
    <w:rsid w:val="004921C8"/>
    <w:rsid w:val="00492710"/>
    <w:rsid w:val="00494122"/>
    <w:rsid w:val="004941F1"/>
    <w:rsid w:val="00494F0E"/>
    <w:rsid w:val="00497457"/>
    <w:rsid w:val="004A0168"/>
    <w:rsid w:val="004A0295"/>
    <w:rsid w:val="004A2A3A"/>
    <w:rsid w:val="004A2D22"/>
    <w:rsid w:val="004A7476"/>
    <w:rsid w:val="004B34BD"/>
    <w:rsid w:val="004B6270"/>
    <w:rsid w:val="004B7CF2"/>
    <w:rsid w:val="004C0978"/>
    <w:rsid w:val="004C1374"/>
    <w:rsid w:val="004C4CD5"/>
    <w:rsid w:val="004C581A"/>
    <w:rsid w:val="004C5F8D"/>
    <w:rsid w:val="004D15EE"/>
    <w:rsid w:val="004D3C9E"/>
    <w:rsid w:val="004E1229"/>
    <w:rsid w:val="004E1AA9"/>
    <w:rsid w:val="004E1AEE"/>
    <w:rsid w:val="004E276F"/>
    <w:rsid w:val="004E2EA5"/>
    <w:rsid w:val="004E3A5D"/>
    <w:rsid w:val="004E417D"/>
    <w:rsid w:val="004E54B9"/>
    <w:rsid w:val="004E7D16"/>
    <w:rsid w:val="004F2F79"/>
    <w:rsid w:val="004F31C5"/>
    <w:rsid w:val="004F3682"/>
    <w:rsid w:val="004F371B"/>
    <w:rsid w:val="004F7883"/>
    <w:rsid w:val="0050223C"/>
    <w:rsid w:val="005030F2"/>
    <w:rsid w:val="0050393D"/>
    <w:rsid w:val="0051396C"/>
    <w:rsid w:val="005166BA"/>
    <w:rsid w:val="0051674C"/>
    <w:rsid w:val="00516BE8"/>
    <w:rsid w:val="00525421"/>
    <w:rsid w:val="005260C1"/>
    <w:rsid w:val="0052758B"/>
    <w:rsid w:val="00530934"/>
    <w:rsid w:val="00530BF1"/>
    <w:rsid w:val="00534E85"/>
    <w:rsid w:val="005352F1"/>
    <w:rsid w:val="00537DDE"/>
    <w:rsid w:val="005407DC"/>
    <w:rsid w:val="00542420"/>
    <w:rsid w:val="005431C5"/>
    <w:rsid w:val="00546E2C"/>
    <w:rsid w:val="005518A3"/>
    <w:rsid w:val="0055204E"/>
    <w:rsid w:val="005546E9"/>
    <w:rsid w:val="005549E8"/>
    <w:rsid w:val="00555654"/>
    <w:rsid w:val="00555B75"/>
    <w:rsid w:val="00555F8C"/>
    <w:rsid w:val="00557E06"/>
    <w:rsid w:val="0056199E"/>
    <w:rsid w:val="00561AA1"/>
    <w:rsid w:val="00563D37"/>
    <w:rsid w:val="00564FBC"/>
    <w:rsid w:val="00565E5A"/>
    <w:rsid w:val="005703B3"/>
    <w:rsid w:val="00571358"/>
    <w:rsid w:val="00572096"/>
    <w:rsid w:val="0057486A"/>
    <w:rsid w:val="00574C3C"/>
    <w:rsid w:val="0057676F"/>
    <w:rsid w:val="00576AB6"/>
    <w:rsid w:val="00577EE5"/>
    <w:rsid w:val="00582442"/>
    <w:rsid w:val="00582F35"/>
    <w:rsid w:val="00593E01"/>
    <w:rsid w:val="00594700"/>
    <w:rsid w:val="005A07F8"/>
    <w:rsid w:val="005A0D53"/>
    <w:rsid w:val="005A1CA3"/>
    <w:rsid w:val="005A473B"/>
    <w:rsid w:val="005A56BD"/>
    <w:rsid w:val="005A573A"/>
    <w:rsid w:val="005A5763"/>
    <w:rsid w:val="005A6927"/>
    <w:rsid w:val="005A6AA8"/>
    <w:rsid w:val="005B1DDC"/>
    <w:rsid w:val="005C11F1"/>
    <w:rsid w:val="005C1E0F"/>
    <w:rsid w:val="005C68C8"/>
    <w:rsid w:val="005C6F24"/>
    <w:rsid w:val="005C7EFB"/>
    <w:rsid w:val="005D2735"/>
    <w:rsid w:val="005D35E8"/>
    <w:rsid w:val="005D7471"/>
    <w:rsid w:val="005D7D11"/>
    <w:rsid w:val="005E1D6F"/>
    <w:rsid w:val="005E2754"/>
    <w:rsid w:val="005E29F8"/>
    <w:rsid w:val="005F05AE"/>
    <w:rsid w:val="005F0BF9"/>
    <w:rsid w:val="005F1DE7"/>
    <w:rsid w:val="0060217F"/>
    <w:rsid w:val="006025D3"/>
    <w:rsid w:val="006036D2"/>
    <w:rsid w:val="00605375"/>
    <w:rsid w:val="0060563A"/>
    <w:rsid w:val="006061F6"/>
    <w:rsid w:val="0060738E"/>
    <w:rsid w:val="00607A8F"/>
    <w:rsid w:val="00611121"/>
    <w:rsid w:val="006117A1"/>
    <w:rsid w:val="006117E7"/>
    <w:rsid w:val="00613A78"/>
    <w:rsid w:val="0061529A"/>
    <w:rsid w:val="006169D2"/>
    <w:rsid w:val="00623A9F"/>
    <w:rsid w:val="006245BD"/>
    <w:rsid w:val="00625110"/>
    <w:rsid w:val="0063105D"/>
    <w:rsid w:val="00631445"/>
    <w:rsid w:val="006353F4"/>
    <w:rsid w:val="00636158"/>
    <w:rsid w:val="0063729C"/>
    <w:rsid w:val="00640350"/>
    <w:rsid w:val="00641642"/>
    <w:rsid w:val="00642818"/>
    <w:rsid w:val="0064295E"/>
    <w:rsid w:val="00644257"/>
    <w:rsid w:val="00644588"/>
    <w:rsid w:val="0064521E"/>
    <w:rsid w:val="006467EB"/>
    <w:rsid w:val="00651182"/>
    <w:rsid w:val="00654E72"/>
    <w:rsid w:val="00655071"/>
    <w:rsid w:val="00655908"/>
    <w:rsid w:val="006560E2"/>
    <w:rsid w:val="00660115"/>
    <w:rsid w:val="00662984"/>
    <w:rsid w:val="00662EA5"/>
    <w:rsid w:val="0066407A"/>
    <w:rsid w:val="006664D0"/>
    <w:rsid w:val="00667AD7"/>
    <w:rsid w:val="00667C2F"/>
    <w:rsid w:val="00670161"/>
    <w:rsid w:val="00675596"/>
    <w:rsid w:val="006765A3"/>
    <w:rsid w:val="00676AC3"/>
    <w:rsid w:val="006808CF"/>
    <w:rsid w:val="0068173E"/>
    <w:rsid w:val="00685352"/>
    <w:rsid w:val="00685B59"/>
    <w:rsid w:val="00687324"/>
    <w:rsid w:val="0068737E"/>
    <w:rsid w:val="00693F85"/>
    <w:rsid w:val="00694C81"/>
    <w:rsid w:val="006A05DF"/>
    <w:rsid w:val="006A0AED"/>
    <w:rsid w:val="006A0E9D"/>
    <w:rsid w:val="006A1507"/>
    <w:rsid w:val="006A423B"/>
    <w:rsid w:val="006A5907"/>
    <w:rsid w:val="006B131C"/>
    <w:rsid w:val="006B4103"/>
    <w:rsid w:val="006B4A4B"/>
    <w:rsid w:val="006B57EF"/>
    <w:rsid w:val="006B6DCC"/>
    <w:rsid w:val="006B6FF0"/>
    <w:rsid w:val="006C1FE5"/>
    <w:rsid w:val="006C233C"/>
    <w:rsid w:val="006C28BF"/>
    <w:rsid w:val="006C4D1A"/>
    <w:rsid w:val="006C6ECC"/>
    <w:rsid w:val="006C7C0C"/>
    <w:rsid w:val="006D0A22"/>
    <w:rsid w:val="006D0D77"/>
    <w:rsid w:val="006D1FC0"/>
    <w:rsid w:val="006D4DBA"/>
    <w:rsid w:val="006D55D4"/>
    <w:rsid w:val="006E05BC"/>
    <w:rsid w:val="006E1542"/>
    <w:rsid w:val="006E32FA"/>
    <w:rsid w:val="006E6810"/>
    <w:rsid w:val="006F014D"/>
    <w:rsid w:val="006F1998"/>
    <w:rsid w:val="006F1D39"/>
    <w:rsid w:val="006F2894"/>
    <w:rsid w:val="007010ED"/>
    <w:rsid w:val="00703A3D"/>
    <w:rsid w:val="00705239"/>
    <w:rsid w:val="00706E25"/>
    <w:rsid w:val="00711846"/>
    <w:rsid w:val="00720059"/>
    <w:rsid w:val="0072282E"/>
    <w:rsid w:val="00723BE4"/>
    <w:rsid w:val="00723E17"/>
    <w:rsid w:val="00725E2B"/>
    <w:rsid w:val="00730711"/>
    <w:rsid w:val="007316F5"/>
    <w:rsid w:val="00733006"/>
    <w:rsid w:val="00733E52"/>
    <w:rsid w:val="00733F5A"/>
    <w:rsid w:val="007346FD"/>
    <w:rsid w:val="0073494A"/>
    <w:rsid w:val="0073528C"/>
    <w:rsid w:val="00735ECA"/>
    <w:rsid w:val="007363EB"/>
    <w:rsid w:val="00736B61"/>
    <w:rsid w:val="0074173F"/>
    <w:rsid w:val="00741993"/>
    <w:rsid w:val="00743B89"/>
    <w:rsid w:val="00745CB5"/>
    <w:rsid w:val="00746B2E"/>
    <w:rsid w:val="0075057F"/>
    <w:rsid w:val="0075359A"/>
    <w:rsid w:val="007577CC"/>
    <w:rsid w:val="007579C3"/>
    <w:rsid w:val="00760484"/>
    <w:rsid w:val="00761159"/>
    <w:rsid w:val="00763AC3"/>
    <w:rsid w:val="00767427"/>
    <w:rsid w:val="0076793A"/>
    <w:rsid w:val="00773E0C"/>
    <w:rsid w:val="00776BD3"/>
    <w:rsid w:val="0077710D"/>
    <w:rsid w:val="0077759E"/>
    <w:rsid w:val="007777C4"/>
    <w:rsid w:val="00782469"/>
    <w:rsid w:val="00782AF6"/>
    <w:rsid w:val="007904DA"/>
    <w:rsid w:val="00791BAA"/>
    <w:rsid w:val="00794BEC"/>
    <w:rsid w:val="0079687E"/>
    <w:rsid w:val="007969E9"/>
    <w:rsid w:val="00796FA5"/>
    <w:rsid w:val="007972A9"/>
    <w:rsid w:val="007A05E1"/>
    <w:rsid w:val="007A3DA8"/>
    <w:rsid w:val="007A4F74"/>
    <w:rsid w:val="007B0746"/>
    <w:rsid w:val="007B3781"/>
    <w:rsid w:val="007B48FF"/>
    <w:rsid w:val="007B51A7"/>
    <w:rsid w:val="007B6A8D"/>
    <w:rsid w:val="007C21FE"/>
    <w:rsid w:val="007C33FA"/>
    <w:rsid w:val="007C6E1D"/>
    <w:rsid w:val="007C7D3F"/>
    <w:rsid w:val="007D0C22"/>
    <w:rsid w:val="007D1B5F"/>
    <w:rsid w:val="007D5356"/>
    <w:rsid w:val="007E1756"/>
    <w:rsid w:val="007E37A2"/>
    <w:rsid w:val="007E419B"/>
    <w:rsid w:val="007E73DD"/>
    <w:rsid w:val="007E7CC9"/>
    <w:rsid w:val="007F0840"/>
    <w:rsid w:val="007F2124"/>
    <w:rsid w:val="007F2411"/>
    <w:rsid w:val="007F3F26"/>
    <w:rsid w:val="00805138"/>
    <w:rsid w:val="00811C37"/>
    <w:rsid w:val="008133BD"/>
    <w:rsid w:val="00825ADF"/>
    <w:rsid w:val="00831957"/>
    <w:rsid w:val="00833550"/>
    <w:rsid w:val="00835301"/>
    <w:rsid w:val="0083581B"/>
    <w:rsid w:val="00840993"/>
    <w:rsid w:val="0084140B"/>
    <w:rsid w:val="00841698"/>
    <w:rsid w:val="0084318B"/>
    <w:rsid w:val="00843FFC"/>
    <w:rsid w:val="00844A08"/>
    <w:rsid w:val="008460EE"/>
    <w:rsid w:val="00850CE9"/>
    <w:rsid w:val="00851D73"/>
    <w:rsid w:val="00854F64"/>
    <w:rsid w:val="00856F03"/>
    <w:rsid w:val="0086214B"/>
    <w:rsid w:val="00862A59"/>
    <w:rsid w:val="00864821"/>
    <w:rsid w:val="008648B9"/>
    <w:rsid w:val="00866DC3"/>
    <w:rsid w:val="00870B34"/>
    <w:rsid w:val="00872BF0"/>
    <w:rsid w:val="008769EC"/>
    <w:rsid w:val="008802BD"/>
    <w:rsid w:val="00880C96"/>
    <w:rsid w:val="00880F43"/>
    <w:rsid w:val="008812AA"/>
    <w:rsid w:val="00882198"/>
    <w:rsid w:val="00882430"/>
    <w:rsid w:val="008832E8"/>
    <w:rsid w:val="00885F5A"/>
    <w:rsid w:val="008910A6"/>
    <w:rsid w:val="00892903"/>
    <w:rsid w:val="00893913"/>
    <w:rsid w:val="00894A8D"/>
    <w:rsid w:val="0089781C"/>
    <w:rsid w:val="008A22C5"/>
    <w:rsid w:val="008A453D"/>
    <w:rsid w:val="008A5FDD"/>
    <w:rsid w:val="008B1D1E"/>
    <w:rsid w:val="008B1F57"/>
    <w:rsid w:val="008B1F62"/>
    <w:rsid w:val="008B2F6E"/>
    <w:rsid w:val="008B58CA"/>
    <w:rsid w:val="008B72C9"/>
    <w:rsid w:val="008C30F7"/>
    <w:rsid w:val="008C3517"/>
    <w:rsid w:val="008C561E"/>
    <w:rsid w:val="008D0A04"/>
    <w:rsid w:val="008D2D0A"/>
    <w:rsid w:val="008D43E7"/>
    <w:rsid w:val="008D494D"/>
    <w:rsid w:val="008D79A8"/>
    <w:rsid w:val="008E3393"/>
    <w:rsid w:val="008E5A16"/>
    <w:rsid w:val="008E6086"/>
    <w:rsid w:val="008E66A4"/>
    <w:rsid w:val="008E724F"/>
    <w:rsid w:val="008F27B6"/>
    <w:rsid w:val="008F3D90"/>
    <w:rsid w:val="008F3EA7"/>
    <w:rsid w:val="00901586"/>
    <w:rsid w:val="00902374"/>
    <w:rsid w:val="0090483B"/>
    <w:rsid w:val="009050BC"/>
    <w:rsid w:val="0090693C"/>
    <w:rsid w:val="0090705F"/>
    <w:rsid w:val="009108A1"/>
    <w:rsid w:val="00911F7D"/>
    <w:rsid w:val="00912C48"/>
    <w:rsid w:val="00912E33"/>
    <w:rsid w:val="009159A1"/>
    <w:rsid w:val="00916E39"/>
    <w:rsid w:val="009173EF"/>
    <w:rsid w:val="00917ABA"/>
    <w:rsid w:val="009228D1"/>
    <w:rsid w:val="00922A7F"/>
    <w:rsid w:val="00922FDA"/>
    <w:rsid w:val="00923CAD"/>
    <w:rsid w:val="00925131"/>
    <w:rsid w:val="00931B3B"/>
    <w:rsid w:val="00932906"/>
    <w:rsid w:val="00935331"/>
    <w:rsid w:val="0094130F"/>
    <w:rsid w:val="009419D1"/>
    <w:rsid w:val="00945D18"/>
    <w:rsid w:val="00947686"/>
    <w:rsid w:val="00950F5C"/>
    <w:rsid w:val="009539B3"/>
    <w:rsid w:val="00953A75"/>
    <w:rsid w:val="00960467"/>
    <w:rsid w:val="009611DC"/>
    <w:rsid w:val="00961B0B"/>
    <w:rsid w:val="00962938"/>
    <w:rsid w:val="00963226"/>
    <w:rsid w:val="009659F0"/>
    <w:rsid w:val="0096643F"/>
    <w:rsid w:val="00966A1B"/>
    <w:rsid w:val="0097564F"/>
    <w:rsid w:val="00975AE6"/>
    <w:rsid w:val="00981F5D"/>
    <w:rsid w:val="009821AE"/>
    <w:rsid w:val="00984458"/>
    <w:rsid w:val="00986F8E"/>
    <w:rsid w:val="009918BB"/>
    <w:rsid w:val="0099251A"/>
    <w:rsid w:val="00992622"/>
    <w:rsid w:val="00995376"/>
    <w:rsid w:val="00997952"/>
    <w:rsid w:val="009A069F"/>
    <w:rsid w:val="009A5C44"/>
    <w:rsid w:val="009A6F1D"/>
    <w:rsid w:val="009B048E"/>
    <w:rsid w:val="009B58F1"/>
    <w:rsid w:val="009B637E"/>
    <w:rsid w:val="009C023A"/>
    <w:rsid w:val="009C0BA9"/>
    <w:rsid w:val="009D1E01"/>
    <w:rsid w:val="009D3B98"/>
    <w:rsid w:val="009D6EA5"/>
    <w:rsid w:val="009E17BD"/>
    <w:rsid w:val="009E335D"/>
    <w:rsid w:val="009E3CD1"/>
    <w:rsid w:val="009E3EED"/>
    <w:rsid w:val="009E6868"/>
    <w:rsid w:val="009E7651"/>
    <w:rsid w:val="009E7DE0"/>
    <w:rsid w:val="009F15C5"/>
    <w:rsid w:val="009F1BF8"/>
    <w:rsid w:val="009F1D4D"/>
    <w:rsid w:val="009F4DF7"/>
    <w:rsid w:val="009F5BC3"/>
    <w:rsid w:val="009F77BB"/>
    <w:rsid w:val="00A02D2D"/>
    <w:rsid w:val="00A04CEC"/>
    <w:rsid w:val="00A0577B"/>
    <w:rsid w:val="00A066D8"/>
    <w:rsid w:val="00A12B52"/>
    <w:rsid w:val="00A12C68"/>
    <w:rsid w:val="00A14FB4"/>
    <w:rsid w:val="00A20884"/>
    <w:rsid w:val="00A2730C"/>
    <w:rsid w:val="00A27F92"/>
    <w:rsid w:val="00A305AA"/>
    <w:rsid w:val="00A32654"/>
    <w:rsid w:val="00A33971"/>
    <w:rsid w:val="00A35E16"/>
    <w:rsid w:val="00A44101"/>
    <w:rsid w:val="00A45AB3"/>
    <w:rsid w:val="00A5383B"/>
    <w:rsid w:val="00A53C6D"/>
    <w:rsid w:val="00A54A16"/>
    <w:rsid w:val="00A55622"/>
    <w:rsid w:val="00A556C2"/>
    <w:rsid w:val="00A55D7C"/>
    <w:rsid w:val="00A56597"/>
    <w:rsid w:val="00A602CD"/>
    <w:rsid w:val="00A63031"/>
    <w:rsid w:val="00A71E8E"/>
    <w:rsid w:val="00A75C7D"/>
    <w:rsid w:val="00A76A89"/>
    <w:rsid w:val="00A77EA6"/>
    <w:rsid w:val="00A806F2"/>
    <w:rsid w:val="00A8261D"/>
    <w:rsid w:val="00A82D0D"/>
    <w:rsid w:val="00A865EF"/>
    <w:rsid w:val="00A86F3B"/>
    <w:rsid w:val="00A87B50"/>
    <w:rsid w:val="00A91DE4"/>
    <w:rsid w:val="00A94AD4"/>
    <w:rsid w:val="00A9612D"/>
    <w:rsid w:val="00AA5496"/>
    <w:rsid w:val="00AA5B14"/>
    <w:rsid w:val="00AB0340"/>
    <w:rsid w:val="00AB3FD5"/>
    <w:rsid w:val="00AB42F6"/>
    <w:rsid w:val="00AB75B9"/>
    <w:rsid w:val="00AB7C8B"/>
    <w:rsid w:val="00AC1E55"/>
    <w:rsid w:val="00AC2591"/>
    <w:rsid w:val="00AC36A9"/>
    <w:rsid w:val="00AC6F74"/>
    <w:rsid w:val="00AD0AE5"/>
    <w:rsid w:val="00AD3E23"/>
    <w:rsid w:val="00AD4699"/>
    <w:rsid w:val="00AD5D3C"/>
    <w:rsid w:val="00AD7201"/>
    <w:rsid w:val="00AD7909"/>
    <w:rsid w:val="00AE26D6"/>
    <w:rsid w:val="00AE6719"/>
    <w:rsid w:val="00AE6D7E"/>
    <w:rsid w:val="00AF2963"/>
    <w:rsid w:val="00AF3BD1"/>
    <w:rsid w:val="00AF484C"/>
    <w:rsid w:val="00AF50A1"/>
    <w:rsid w:val="00B024D2"/>
    <w:rsid w:val="00B06425"/>
    <w:rsid w:val="00B0707D"/>
    <w:rsid w:val="00B07E5B"/>
    <w:rsid w:val="00B13315"/>
    <w:rsid w:val="00B14872"/>
    <w:rsid w:val="00B14B5A"/>
    <w:rsid w:val="00B1644C"/>
    <w:rsid w:val="00B21F34"/>
    <w:rsid w:val="00B2270F"/>
    <w:rsid w:val="00B23E7E"/>
    <w:rsid w:val="00B25B41"/>
    <w:rsid w:val="00B27123"/>
    <w:rsid w:val="00B27A9E"/>
    <w:rsid w:val="00B371AF"/>
    <w:rsid w:val="00B40A81"/>
    <w:rsid w:val="00B4290B"/>
    <w:rsid w:val="00B44910"/>
    <w:rsid w:val="00B54B8F"/>
    <w:rsid w:val="00B576FA"/>
    <w:rsid w:val="00B63B35"/>
    <w:rsid w:val="00B64213"/>
    <w:rsid w:val="00B65361"/>
    <w:rsid w:val="00B7000E"/>
    <w:rsid w:val="00B72023"/>
    <w:rsid w:val="00B72267"/>
    <w:rsid w:val="00B750EB"/>
    <w:rsid w:val="00B753F8"/>
    <w:rsid w:val="00B76EB6"/>
    <w:rsid w:val="00B77B71"/>
    <w:rsid w:val="00B824C8"/>
    <w:rsid w:val="00B8255C"/>
    <w:rsid w:val="00B82A28"/>
    <w:rsid w:val="00B8318C"/>
    <w:rsid w:val="00B84652"/>
    <w:rsid w:val="00B8578D"/>
    <w:rsid w:val="00B8714F"/>
    <w:rsid w:val="00B902F2"/>
    <w:rsid w:val="00B91091"/>
    <w:rsid w:val="00BA118F"/>
    <w:rsid w:val="00BA1CA1"/>
    <w:rsid w:val="00BA1CAA"/>
    <w:rsid w:val="00BA3A82"/>
    <w:rsid w:val="00BA6B34"/>
    <w:rsid w:val="00BA7087"/>
    <w:rsid w:val="00BB0863"/>
    <w:rsid w:val="00BB0E88"/>
    <w:rsid w:val="00BC2C12"/>
    <w:rsid w:val="00BC5A8A"/>
    <w:rsid w:val="00BD032B"/>
    <w:rsid w:val="00BD1358"/>
    <w:rsid w:val="00BD19CD"/>
    <w:rsid w:val="00BD4B38"/>
    <w:rsid w:val="00BD7B8C"/>
    <w:rsid w:val="00BE012E"/>
    <w:rsid w:val="00BE02D1"/>
    <w:rsid w:val="00BE1922"/>
    <w:rsid w:val="00BE235B"/>
    <w:rsid w:val="00BE2640"/>
    <w:rsid w:val="00BE355F"/>
    <w:rsid w:val="00BE5AD5"/>
    <w:rsid w:val="00BF0EA1"/>
    <w:rsid w:val="00BF1FFF"/>
    <w:rsid w:val="00BF2BF9"/>
    <w:rsid w:val="00BF370B"/>
    <w:rsid w:val="00BF43D6"/>
    <w:rsid w:val="00C01189"/>
    <w:rsid w:val="00C018DC"/>
    <w:rsid w:val="00C01C8A"/>
    <w:rsid w:val="00C02058"/>
    <w:rsid w:val="00C03AC9"/>
    <w:rsid w:val="00C03AD5"/>
    <w:rsid w:val="00C104DD"/>
    <w:rsid w:val="00C108D2"/>
    <w:rsid w:val="00C15588"/>
    <w:rsid w:val="00C17270"/>
    <w:rsid w:val="00C17609"/>
    <w:rsid w:val="00C17AF8"/>
    <w:rsid w:val="00C2044A"/>
    <w:rsid w:val="00C20EF9"/>
    <w:rsid w:val="00C301A8"/>
    <w:rsid w:val="00C33313"/>
    <w:rsid w:val="00C36453"/>
    <w:rsid w:val="00C36D0F"/>
    <w:rsid w:val="00C374DE"/>
    <w:rsid w:val="00C4152B"/>
    <w:rsid w:val="00C427BE"/>
    <w:rsid w:val="00C44DA7"/>
    <w:rsid w:val="00C50344"/>
    <w:rsid w:val="00C512A0"/>
    <w:rsid w:val="00C51F07"/>
    <w:rsid w:val="00C53A28"/>
    <w:rsid w:val="00C667DB"/>
    <w:rsid w:val="00C66E21"/>
    <w:rsid w:val="00C70FBB"/>
    <w:rsid w:val="00C7146D"/>
    <w:rsid w:val="00C71559"/>
    <w:rsid w:val="00C7397E"/>
    <w:rsid w:val="00C73A8D"/>
    <w:rsid w:val="00C86954"/>
    <w:rsid w:val="00C90506"/>
    <w:rsid w:val="00C94145"/>
    <w:rsid w:val="00C9560A"/>
    <w:rsid w:val="00C96C03"/>
    <w:rsid w:val="00CA1BFF"/>
    <w:rsid w:val="00CA2A00"/>
    <w:rsid w:val="00CA2BD1"/>
    <w:rsid w:val="00CA3375"/>
    <w:rsid w:val="00CA4EB5"/>
    <w:rsid w:val="00CA56BB"/>
    <w:rsid w:val="00CA638C"/>
    <w:rsid w:val="00CA6393"/>
    <w:rsid w:val="00CB0165"/>
    <w:rsid w:val="00CB1BB5"/>
    <w:rsid w:val="00CB2A41"/>
    <w:rsid w:val="00CB3901"/>
    <w:rsid w:val="00CB45D7"/>
    <w:rsid w:val="00CB5846"/>
    <w:rsid w:val="00CB688A"/>
    <w:rsid w:val="00CB6D76"/>
    <w:rsid w:val="00CB6FB6"/>
    <w:rsid w:val="00CC02B8"/>
    <w:rsid w:val="00CC2057"/>
    <w:rsid w:val="00CC5FF7"/>
    <w:rsid w:val="00CD0C08"/>
    <w:rsid w:val="00CD5BBD"/>
    <w:rsid w:val="00CD66E3"/>
    <w:rsid w:val="00CE222A"/>
    <w:rsid w:val="00CE554A"/>
    <w:rsid w:val="00CF0D9F"/>
    <w:rsid w:val="00CF203C"/>
    <w:rsid w:val="00CF24ED"/>
    <w:rsid w:val="00CF33F3"/>
    <w:rsid w:val="00CF3EC3"/>
    <w:rsid w:val="00CF4B80"/>
    <w:rsid w:val="00CF6AD5"/>
    <w:rsid w:val="00CF6DF2"/>
    <w:rsid w:val="00D01238"/>
    <w:rsid w:val="00D01634"/>
    <w:rsid w:val="00D04FD6"/>
    <w:rsid w:val="00D06183"/>
    <w:rsid w:val="00D101E0"/>
    <w:rsid w:val="00D10EA5"/>
    <w:rsid w:val="00D12D29"/>
    <w:rsid w:val="00D15841"/>
    <w:rsid w:val="00D175B3"/>
    <w:rsid w:val="00D208E0"/>
    <w:rsid w:val="00D2236C"/>
    <w:rsid w:val="00D22C42"/>
    <w:rsid w:val="00D2455D"/>
    <w:rsid w:val="00D27B70"/>
    <w:rsid w:val="00D309CF"/>
    <w:rsid w:val="00D30A39"/>
    <w:rsid w:val="00D30DAD"/>
    <w:rsid w:val="00D32FEA"/>
    <w:rsid w:val="00D336EE"/>
    <w:rsid w:val="00D348AB"/>
    <w:rsid w:val="00D36532"/>
    <w:rsid w:val="00D3705A"/>
    <w:rsid w:val="00D421DE"/>
    <w:rsid w:val="00D43B52"/>
    <w:rsid w:val="00D44B5C"/>
    <w:rsid w:val="00D45DC4"/>
    <w:rsid w:val="00D4769E"/>
    <w:rsid w:val="00D51331"/>
    <w:rsid w:val="00D534B0"/>
    <w:rsid w:val="00D54779"/>
    <w:rsid w:val="00D57E69"/>
    <w:rsid w:val="00D617BD"/>
    <w:rsid w:val="00D71060"/>
    <w:rsid w:val="00D7144D"/>
    <w:rsid w:val="00D7225A"/>
    <w:rsid w:val="00D7501A"/>
    <w:rsid w:val="00D76A33"/>
    <w:rsid w:val="00D77167"/>
    <w:rsid w:val="00D841E6"/>
    <w:rsid w:val="00D86145"/>
    <w:rsid w:val="00D9217C"/>
    <w:rsid w:val="00D940E7"/>
    <w:rsid w:val="00DA191E"/>
    <w:rsid w:val="00DA1A79"/>
    <w:rsid w:val="00DA313D"/>
    <w:rsid w:val="00DA3E70"/>
    <w:rsid w:val="00DA5B1F"/>
    <w:rsid w:val="00DB01EF"/>
    <w:rsid w:val="00DB088B"/>
    <w:rsid w:val="00DB1D71"/>
    <w:rsid w:val="00DB6388"/>
    <w:rsid w:val="00DC0E33"/>
    <w:rsid w:val="00DC0E45"/>
    <w:rsid w:val="00DC429C"/>
    <w:rsid w:val="00DC4A08"/>
    <w:rsid w:val="00DC6A0F"/>
    <w:rsid w:val="00DC7F3A"/>
    <w:rsid w:val="00DD06C6"/>
    <w:rsid w:val="00DD12AA"/>
    <w:rsid w:val="00DD3AE6"/>
    <w:rsid w:val="00DD78AB"/>
    <w:rsid w:val="00DE06EB"/>
    <w:rsid w:val="00DE3583"/>
    <w:rsid w:val="00DE52DC"/>
    <w:rsid w:val="00DE7A29"/>
    <w:rsid w:val="00DF0D96"/>
    <w:rsid w:val="00DF39F2"/>
    <w:rsid w:val="00DF6618"/>
    <w:rsid w:val="00E001D5"/>
    <w:rsid w:val="00E07153"/>
    <w:rsid w:val="00E07718"/>
    <w:rsid w:val="00E10E80"/>
    <w:rsid w:val="00E124F0"/>
    <w:rsid w:val="00E137BC"/>
    <w:rsid w:val="00E17990"/>
    <w:rsid w:val="00E17CE7"/>
    <w:rsid w:val="00E237EC"/>
    <w:rsid w:val="00E2526B"/>
    <w:rsid w:val="00E25BED"/>
    <w:rsid w:val="00E25EAD"/>
    <w:rsid w:val="00E25FCF"/>
    <w:rsid w:val="00E3191D"/>
    <w:rsid w:val="00E342CF"/>
    <w:rsid w:val="00E3640B"/>
    <w:rsid w:val="00E40B6E"/>
    <w:rsid w:val="00E40E07"/>
    <w:rsid w:val="00E4141B"/>
    <w:rsid w:val="00E4442D"/>
    <w:rsid w:val="00E544AC"/>
    <w:rsid w:val="00E54FDE"/>
    <w:rsid w:val="00E55559"/>
    <w:rsid w:val="00E557E9"/>
    <w:rsid w:val="00E56895"/>
    <w:rsid w:val="00E71D1C"/>
    <w:rsid w:val="00E77551"/>
    <w:rsid w:val="00E80B90"/>
    <w:rsid w:val="00E8113A"/>
    <w:rsid w:val="00E816EC"/>
    <w:rsid w:val="00E828D5"/>
    <w:rsid w:val="00E83C72"/>
    <w:rsid w:val="00E8417D"/>
    <w:rsid w:val="00E849B4"/>
    <w:rsid w:val="00E84C30"/>
    <w:rsid w:val="00E85F86"/>
    <w:rsid w:val="00EA1B12"/>
    <w:rsid w:val="00EB2232"/>
    <w:rsid w:val="00EB2ED4"/>
    <w:rsid w:val="00EB43C8"/>
    <w:rsid w:val="00EB4849"/>
    <w:rsid w:val="00EB66CD"/>
    <w:rsid w:val="00EB7B30"/>
    <w:rsid w:val="00EC3551"/>
    <w:rsid w:val="00ED029B"/>
    <w:rsid w:val="00ED063D"/>
    <w:rsid w:val="00ED1BE1"/>
    <w:rsid w:val="00ED2A51"/>
    <w:rsid w:val="00ED308F"/>
    <w:rsid w:val="00ED3C5C"/>
    <w:rsid w:val="00ED50E7"/>
    <w:rsid w:val="00ED6491"/>
    <w:rsid w:val="00ED6E70"/>
    <w:rsid w:val="00EE0185"/>
    <w:rsid w:val="00EE620A"/>
    <w:rsid w:val="00EF00BD"/>
    <w:rsid w:val="00EF0ADB"/>
    <w:rsid w:val="00EF250B"/>
    <w:rsid w:val="00EF34E0"/>
    <w:rsid w:val="00EF48AD"/>
    <w:rsid w:val="00EF567C"/>
    <w:rsid w:val="00EF7166"/>
    <w:rsid w:val="00EF7B11"/>
    <w:rsid w:val="00EF7D55"/>
    <w:rsid w:val="00F01FC4"/>
    <w:rsid w:val="00F02CE5"/>
    <w:rsid w:val="00F03280"/>
    <w:rsid w:val="00F03855"/>
    <w:rsid w:val="00F03FB0"/>
    <w:rsid w:val="00F046BB"/>
    <w:rsid w:val="00F07765"/>
    <w:rsid w:val="00F1489D"/>
    <w:rsid w:val="00F15957"/>
    <w:rsid w:val="00F17005"/>
    <w:rsid w:val="00F1776B"/>
    <w:rsid w:val="00F2150A"/>
    <w:rsid w:val="00F23CA9"/>
    <w:rsid w:val="00F32DB9"/>
    <w:rsid w:val="00F331FA"/>
    <w:rsid w:val="00F33243"/>
    <w:rsid w:val="00F3422B"/>
    <w:rsid w:val="00F3600D"/>
    <w:rsid w:val="00F43265"/>
    <w:rsid w:val="00F5168B"/>
    <w:rsid w:val="00F523CD"/>
    <w:rsid w:val="00F524E4"/>
    <w:rsid w:val="00F6550B"/>
    <w:rsid w:val="00F66139"/>
    <w:rsid w:val="00F6647A"/>
    <w:rsid w:val="00F66E1E"/>
    <w:rsid w:val="00F67EE3"/>
    <w:rsid w:val="00F70C1F"/>
    <w:rsid w:val="00F714CE"/>
    <w:rsid w:val="00F71EF8"/>
    <w:rsid w:val="00F72D21"/>
    <w:rsid w:val="00F73F0D"/>
    <w:rsid w:val="00F77CB0"/>
    <w:rsid w:val="00F83017"/>
    <w:rsid w:val="00F8303F"/>
    <w:rsid w:val="00F83B99"/>
    <w:rsid w:val="00F84005"/>
    <w:rsid w:val="00F910A2"/>
    <w:rsid w:val="00F915D8"/>
    <w:rsid w:val="00F91AF2"/>
    <w:rsid w:val="00F9250D"/>
    <w:rsid w:val="00F92527"/>
    <w:rsid w:val="00F94A10"/>
    <w:rsid w:val="00F96900"/>
    <w:rsid w:val="00F96C38"/>
    <w:rsid w:val="00FA5948"/>
    <w:rsid w:val="00FB3CFA"/>
    <w:rsid w:val="00FB4929"/>
    <w:rsid w:val="00FB4F5B"/>
    <w:rsid w:val="00FB69D7"/>
    <w:rsid w:val="00FC1B24"/>
    <w:rsid w:val="00FC298E"/>
    <w:rsid w:val="00FC4153"/>
    <w:rsid w:val="00FC4B12"/>
    <w:rsid w:val="00FD0557"/>
    <w:rsid w:val="00FD0BB9"/>
    <w:rsid w:val="00FD0E17"/>
    <w:rsid w:val="00FD3677"/>
    <w:rsid w:val="00FD681C"/>
    <w:rsid w:val="00FE12EA"/>
    <w:rsid w:val="00FE2E6C"/>
    <w:rsid w:val="00FE38D0"/>
    <w:rsid w:val="00FE6AD0"/>
    <w:rsid w:val="00FE7501"/>
    <w:rsid w:val="00FE77D2"/>
    <w:rsid w:val="00FF071A"/>
    <w:rsid w:val="00FF117D"/>
    <w:rsid w:val="00FF2E8D"/>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10C329F-C5EB-4F4A-BEF3-0F8887E6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22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paragraph" w:customStyle="1" w:styleId="headfoot">
    <w:name w:val="head_foot"/>
    <w:basedOn w:val="Normal"/>
    <w:next w:val="Normalaftertitle"/>
    <w:rsid w:val="00454906"/>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hAnsi="Times"/>
      <w:color w:val="FF0000"/>
      <w:sz w:val="8"/>
    </w:rPr>
  </w:style>
  <w:style w:type="paragraph" w:styleId="NormalWeb">
    <w:name w:val="Normal (Web)"/>
    <w:basedOn w:val="Normal"/>
    <w:uiPriority w:val="99"/>
    <w:unhideWhenUsed/>
    <w:rsid w:val="0097564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sid w:val="0097564F"/>
    <w:rPr>
      <w:b/>
      <w:bCs/>
    </w:rPr>
  </w:style>
  <w:style w:type="character" w:customStyle="1" w:styleId="apple-converted-space">
    <w:name w:val="apple-converted-space"/>
    <w:basedOn w:val="DefaultParagraphFont"/>
    <w:rsid w:val="0097564F"/>
  </w:style>
  <w:style w:type="paragraph" w:customStyle="1" w:styleId="call0">
    <w:name w:val="call"/>
    <w:basedOn w:val="Normal"/>
    <w:next w:val="Normal"/>
    <w:rsid w:val="004D15EE"/>
    <w:pPr>
      <w:keepNext/>
      <w:keepLines/>
      <w:tabs>
        <w:tab w:val="clear" w:pos="794"/>
        <w:tab w:val="clear" w:pos="1191"/>
        <w:tab w:val="clear" w:pos="1588"/>
        <w:tab w:val="clear" w:pos="198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character" w:customStyle="1" w:styleId="CEONormalChar">
    <w:name w:val="CEO_Normal Char"/>
    <w:basedOn w:val="DefaultParagraphFont"/>
    <w:link w:val="CEONormal"/>
    <w:locked/>
    <w:rsid w:val="00746B2E"/>
    <w:rPr>
      <w:rFonts w:ascii="Verdana" w:hAnsi="Verdana"/>
      <w:lang w:eastAsia="en-US"/>
    </w:rPr>
  </w:style>
  <w:style w:type="paragraph" w:customStyle="1" w:styleId="CEONormal">
    <w:name w:val="CEO_Normal"/>
    <w:basedOn w:val="Normal"/>
    <w:link w:val="CEONormalChar"/>
    <w:rsid w:val="00746B2E"/>
    <w:pPr>
      <w:tabs>
        <w:tab w:val="clear" w:pos="794"/>
        <w:tab w:val="clear" w:pos="1191"/>
        <w:tab w:val="clear" w:pos="1588"/>
        <w:tab w:val="clear" w:pos="1985"/>
      </w:tabs>
      <w:overflowPunct/>
      <w:autoSpaceDE/>
      <w:autoSpaceDN/>
      <w:adjustRightInd/>
      <w:spacing w:after="120"/>
      <w:textAlignment w:val="auto"/>
    </w:pPr>
    <w:rPr>
      <w:rFonts w:ascii="Verdana" w:hAnsi="Verdana"/>
      <w:sz w:val="20"/>
      <w:lang w:val="en-US"/>
    </w:rPr>
  </w:style>
  <w:style w:type="character" w:customStyle="1" w:styleId="hps">
    <w:name w:val="hps"/>
    <w:basedOn w:val="DefaultParagraphFont"/>
    <w:rsid w:val="00746B2E"/>
  </w:style>
  <w:style w:type="character" w:styleId="CommentReference">
    <w:name w:val="annotation reference"/>
    <w:basedOn w:val="DefaultParagraphFont"/>
    <w:semiHidden/>
    <w:unhideWhenUsed/>
    <w:rsid w:val="007363EB"/>
    <w:rPr>
      <w:sz w:val="16"/>
      <w:szCs w:val="16"/>
    </w:rPr>
  </w:style>
  <w:style w:type="paragraph" w:styleId="CommentText">
    <w:name w:val="annotation text"/>
    <w:basedOn w:val="Normal"/>
    <w:link w:val="CommentTextChar"/>
    <w:semiHidden/>
    <w:unhideWhenUsed/>
    <w:rsid w:val="007363EB"/>
    <w:rPr>
      <w:sz w:val="20"/>
    </w:rPr>
  </w:style>
  <w:style w:type="character" w:customStyle="1" w:styleId="CommentTextChar">
    <w:name w:val="Comment Text Char"/>
    <w:basedOn w:val="DefaultParagraphFont"/>
    <w:link w:val="CommentText"/>
    <w:semiHidden/>
    <w:rsid w:val="007363E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363EB"/>
    <w:rPr>
      <w:b/>
      <w:bCs/>
    </w:rPr>
  </w:style>
  <w:style w:type="character" w:customStyle="1" w:styleId="CommentSubjectChar">
    <w:name w:val="Comment Subject Char"/>
    <w:basedOn w:val="CommentTextChar"/>
    <w:link w:val="CommentSubject"/>
    <w:semiHidden/>
    <w:rsid w:val="007363EB"/>
    <w:rPr>
      <w:rFonts w:ascii="Times New Roman" w:hAnsi="Times New Roman"/>
      <w:b/>
      <w:bCs/>
      <w:lang w:val="en-GB" w:eastAsia="en-US"/>
    </w:rPr>
  </w:style>
  <w:style w:type="paragraph" w:styleId="Revision">
    <w:name w:val="Revision"/>
    <w:hidden/>
    <w:uiPriority w:val="99"/>
    <w:semiHidden/>
    <w:rsid w:val="00711846"/>
    <w:rPr>
      <w:rFonts w:ascii="Times New Roman" w:hAnsi="Times New Roman"/>
      <w:sz w:val="24"/>
      <w:lang w:val="en-GB" w:eastAsia="en-US"/>
    </w:rPr>
  </w:style>
  <w:style w:type="paragraph" w:customStyle="1" w:styleId="Rec">
    <w:name w:val="Rec_#"/>
    <w:basedOn w:val="Normal"/>
    <w:next w:val="Normal"/>
    <w:rsid w:val="00F92527"/>
    <w:pPr>
      <w:keepNext/>
      <w:keepLines/>
      <w:tabs>
        <w:tab w:val="clear" w:pos="794"/>
        <w:tab w:val="clear" w:pos="1191"/>
        <w:tab w:val="clear" w:pos="1588"/>
        <w:tab w:val="clear" w:pos="1985"/>
        <w:tab w:val="left" w:pos="567"/>
        <w:tab w:val="left" w:pos="1134"/>
        <w:tab w:val="left" w:pos="1701"/>
        <w:tab w:val="left" w:pos="2268"/>
        <w:tab w:val="left" w:pos="2835"/>
      </w:tabs>
      <w:spacing w:before="480"/>
      <w:ind w:left="714" w:hanging="357"/>
      <w:jc w:val="center"/>
    </w:pPr>
    <w:rPr>
      <w:rFonts w:ascii="Calibri" w:hAnsi="Calibri"/>
      <w:caps/>
      <w:sz w:val="28"/>
    </w:rPr>
  </w:style>
  <w:style w:type="character" w:customStyle="1" w:styleId="FootnoteTextChar">
    <w:name w:val="Footnote Text Char"/>
    <w:link w:val="FootnoteText"/>
    <w:rsid w:val="004F31C5"/>
    <w:rPr>
      <w:rFonts w:ascii="Times New Roman" w:hAnsi="Times New Roman"/>
      <w:sz w:val="24"/>
      <w:lang w:val="en-GB" w:eastAsia="en-US"/>
    </w:rPr>
  </w:style>
  <w:style w:type="character" w:customStyle="1" w:styleId="FooterChar">
    <w:name w:val="Footer Char"/>
    <w:basedOn w:val="DefaultParagraphFont"/>
    <w:link w:val="Footer"/>
    <w:uiPriority w:val="99"/>
    <w:rsid w:val="00A14FB4"/>
    <w:rPr>
      <w:rFonts w:ascii="Times New Roman" w:hAnsi="Times New Roman"/>
      <w:caps/>
      <w:noProof/>
      <w:sz w:val="16"/>
      <w:lang w:val="fr-FR" w:eastAsia="en-US"/>
    </w:rPr>
  </w:style>
  <w:style w:type="character" w:customStyle="1" w:styleId="HeaderChar">
    <w:name w:val="Header Char"/>
    <w:basedOn w:val="DefaultParagraphFont"/>
    <w:link w:val="Header"/>
    <w:rsid w:val="0055204E"/>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95004">
      <w:bodyDiv w:val="1"/>
      <w:marLeft w:val="0"/>
      <w:marRight w:val="0"/>
      <w:marTop w:val="0"/>
      <w:marBottom w:val="0"/>
      <w:divBdr>
        <w:top w:val="none" w:sz="0" w:space="0" w:color="auto"/>
        <w:left w:val="none" w:sz="0" w:space="0" w:color="auto"/>
        <w:bottom w:val="none" w:sz="0" w:space="0" w:color="auto"/>
        <w:right w:val="none" w:sz="0" w:space="0" w:color="auto"/>
      </w:divBdr>
    </w:div>
    <w:div w:id="1343388946">
      <w:bodyDiv w:val="1"/>
      <w:marLeft w:val="0"/>
      <w:marRight w:val="0"/>
      <w:marTop w:val="0"/>
      <w:marBottom w:val="0"/>
      <w:divBdr>
        <w:top w:val="none" w:sz="0" w:space="0" w:color="auto"/>
        <w:left w:val="none" w:sz="0" w:space="0" w:color="auto"/>
        <w:bottom w:val="none" w:sz="0" w:space="0" w:color="auto"/>
        <w:right w:val="none" w:sz="0" w:space="0" w:color="auto"/>
      </w:divBdr>
    </w:div>
    <w:div w:id="1656570545">
      <w:bodyDiv w:val="1"/>
      <w:marLeft w:val="0"/>
      <w:marRight w:val="0"/>
      <w:marTop w:val="0"/>
      <w:marBottom w:val="0"/>
      <w:divBdr>
        <w:top w:val="none" w:sz="0" w:space="0" w:color="auto"/>
        <w:left w:val="none" w:sz="0" w:space="0" w:color="auto"/>
        <w:bottom w:val="none" w:sz="0" w:space="0" w:color="auto"/>
        <w:right w:val="none" w:sz="0" w:space="0" w:color="auto"/>
      </w:divBdr>
      <w:divsChild>
        <w:div w:id="1679498141">
          <w:marLeft w:val="0"/>
          <w:marRight w:val="0"/>
          <w:marTop w:val="0"/>
          <w:marBottom w:val="0"/>
          <w:divBdr>
            <w:top w:val="none" w:sz="0" w:space="0" w:color="auto"/>
            <w:left w:val="none" w:sz="0" w:space="0" w:color="auto"/>
            <w:bottom w:val="none" w:sz="0" w:space="0" w:color="auto"/>
            <w:right w:val="none" w:sz="0" w:space="0" w:color="auto"/>
          </w:divBdr>
          <w:divsChild>
            <w:div w:id="140389648">
              <w:marLeft w:val="0"/>
              <w:marRight w:val="0"/>
              <w:marTop w:val="0"/>
              <w:marBottom w:val="0"/>
              <w:divBdr>
                <w:top w:val="none" w:sz="0" w:space="0" w:color="auto"/>
                <w:left w:val="none" w:sz="0" w:space="0" w:color="auto"/>
                <w:bottom w:val="none" w:sz="0" w:space="0" w:color="auto"/>
                <w:right w:val="none" w:sz="0" w:space="0" w:color="auto"/>
              </w:divBdr>
              <w:divsChild>
                <w:div w:id="418185680">
                  <w:marLeft w:val="0"/>
                  <w:marRight w:val="0"/>
                  <w:marTop w:val="0"/>
                  <w:marBottom w:val="0"/>
                  <w:divBdr>
                    <w:top w:val="none" w:sz="0" w:space="0" w:color="auto"/>
                    <w:left w:val="none" w:sz="0" w:space="0" w:color="auto"/>
                    <w:bottom w:val="none" w:sz="0" w:space="0" w:color="auto"/>
                    <w:right w:val="none" w:sz="0" w:space="0" w:color="auto"/>
                  </w:divBdr>
                  <w:divsChild>
                    <w:div w:id="1207138196">
                      <w:marLeft w:val="0"/>
                      <w:marRight w:val="0"/>
                      <w:marTop w:val="0"/>
                      <w:marBottom w:val="0"/>
                      <w:divBdr>
                        <w:top w:val="none" w:sz="0" w:space="0" w:color="auto"/>
                        <w:left w:val="none" w:sz="0" w:space="0" w:color="auto"/>
                        <w:bottom w:val="none" w:sz="0" w:space="0" w:color="auto"/>
                        <w:right w:val="none" w:sz="0" w:space="0" w:color="auto"/>
                      </w:divBdr>
                      <w:divsChild>
                        <w:div w:id="381101040">
                          <w:marLeft w:val="0"/>
                          <w:marRight w:val="0"/>
                          <w:marTop w:val="0"/>
                          <w:marBottom w:val="0"/>
                          <w:divBdr>
                            <w:top w:val="none" w:sz="0" w:space="0" w:color="auto"/>
                            <w:left w:val="none" w:sz="0" w:space="0" w:color="auto"/>
                            <w:bottom w:val="none" w:sz="0" w:space="0" w:color="auto"/>
                            <w:right w:val="none" w:sz="0" w:space="0" w:color="auto"/>
                          </w:divBdr>
                          <w:divsChild>
                            <w:div w:id="16872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3844">
              <w:marLeft w:val="0"/>
              <w:marRight w:val="0"/>
              <w:marTop w:val="0"/>
              <w:marBottom w:val="0"/>
              <w:divBdr>
                <w:top w:val="none" w:sz="0" w:space="0" w:color="auto"/>
                <w:left w:val="none" w:sz="0" w:space="0" w:color="auto"/>
                <w:bottom w:val="none" w:sz="0" w:space="0" w:color="auto"/>
                <w:right w:val="none" w:sz="0" w:space="0" w:color="auto"/>
              </w:divBdr>
              <w:divsChild>
                <w:div w:id="1183085010">
                  <w:marLeft w:val="0"/>
                  <w:marRight w:val="0"/>
                  <w:marTop w:val="0"/>
                  <w:marBottom w:val="0"/>
                  <w:divBdr>
                    <w:top w:val="none" w:sz="0" w:space="0" w:color="auto"/>
                    <w:left w:val="none" w:sz="0" w:space="0" w:color="auto"/>
                    <w:bottom w:val="none" w:sz="0" w:space="0" w:color="auto"/>
                    <w:right w:val="none" w:sz="0" w:space="0" w:color="auto"/>
                  </w:divBdr>
                  <w:divsChild>
                    <w:div w:id="1778909439">
                      <w:marLeft w:val="0"/>
                      <w:marRight w:val="0"/>
                      <w:marTop w:val="300"/>
                      <w:marBottom w:val="0"/>
                      <w:divBdr>
                        <w:top w:val="none" w:sz="0" w:space="0" w:color="auto"/>
                        <w:left w:val="none" w:sz="0" w:space="0" w:color="auto"/>
                        <w:bottom w:val="none" w:sz="0" w:space="0" w:color="auto"/>
                        <w:right w:val="none" w:sz="0" w:space="0" w:color="auto"/>
                      </w:divBdr>
                      <w:divsChild>
                        <w:div w:id="721753146">
                          <w:marLeft w:val="0"/>
                          <w:marRight w:val="0"/>
                          <w:marTop w:val="0"/>
                          <w:marBottom w:val="0"/>
                          <w:divBdr>
                            <w:top w:val="none" w:sz="0" w:space="0" w:color="auto"/>
                            <w:left w:val="none" w:sz="0" w:space="0" w:color="auto"/>
                            <w:bottom w:val="none" w:sz="0" w:space="0" w:color="auto"/>
                            <w:right w:val="none" w:sz="0" w:space="0" w:color="auto"/>
                          </w:divBdr>
                          <w:divsChild>
                            <w:div w:id="1611550006">
                              <w:marLeft w:val="0"/>
                              <w:marRight w:val="0"/>
                              <w:marTop w:val="0"/>
                              <w:marBottom w:val="0"/>
                              <w:divBdr>
                                <w:top w:val="none" w:sz="0" w:space="0" w:color="auto"/>
                                <w:left w:val="none" w:sz="0" w:space="0" w:color="auto"/>
                                <w:bottom w:val="none" w:sz="0" w:space="0" w:color="auto"/>
                                <w:right w:val="none" w:sz="0" w:space="0" w:color="auto"/>
                              </w:divBdr>
                            </w:div>
                          </w:divsChild>
                        </w:div>
                        <w:div w:id="1978487054">
                          <w:marLeft w:val="0"/>
                          <w:marRight w:val="0"/>
                          <w:marTop w:val="0"/>
                          <w:marBottom w:val="0"/>
                          <w:divBdr>
                            <w:top w:val="none" w:sz="0" w:space="0" w:color="auto"/>
                            <w:left w:val="none" w:sz="0" w:space="0" w:color="auto"/>
                            <w:bottom w:val="none" w:sz="0" w:space="0" w:color="auto"/>
                            <w:right w:val="none" w:sz="0" w:space="0" w:color="auto"/>
                          </w:divBdr>
                        </w:div>
                        <w:div w:id="2047873952">
                          <w:marLeft w:val="0"/>
                          <w:marRight w:val="0"/>
                          <w:marTop w:val="0"/>
                          <w:marBottom w:val="0"/>
                          <w:divBdr>
                            <w:top w:val="none" w:sz="0" w:space="0" w:color="auto"/>
                            <w:left w:val="none" w:sz="0" w:space="0" w:color="auto"/>
                            <w:bottom w:val="none" w:sz="0" w:space="0" w:color="auto"/>
                            <w:right w:val="none" w:sz="0" w:space="0" w:color="auto"/>
                          </w:divBdr>
                          <w:divsChild>
                            <w:div w:id="595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325">
                      <w:marLeft w:val="0"/>
                      <w:marRight w:val="0"/>
                      <w:marTop w:val="300"/>
                      <w:marBottom w:val="0"/>
                      <w:divBdr>
                        <w:top w:val="none" w:sz="0" w:space="0" w:color="auto"/>
                        <w:left w:val="none" w:sz="0" w:space="0" w:color="auto"/>
                        <w:bottom w:val="none" w:sz="0" w:space="0" w:color="auto"/>
                        <w:right w:val="none" w:sz="0" w:space="0" w:color="auto"/>
                      </w:divBdr>
                      <w:divsChild>
                        <w:div w:id="1468469079">
                          <w:marLeft w:val="0"/>
                          <w:marRight w:val="0"/>
                          <w:marTop w:val="0"/>
                          <w:marBottom w:val="0"/>
                          <w:divBdr>
                            <w:top w:val="none" w:sz="0" w:space="0" w:color="auto"/>
                            <w:left w:val="none" w:sz="0" w:space="0" w:color="auto"/>
                            <w:bottom w:val="none" w:sz="0" w:space="0" w:color="auto"/>
                            <w:right w:val="none" w:sz="0" w:space="0" w:color="auto"/>
                          </w:divBdr>
                          <w:divsChild>
                            <w:div w:id="1148354271">
                              <w:marLeft w:val="0"/>
                              <w:marRight w:val="0"/>
                              <w:marTop w:val="0"/>
                              <w:marBottom w:val="0"/>
                              <w:divBdr>
                                <w:top w:val="none" w:sz="0" w:space="0" w:color="auto"/>
                                <w:left w:val="none" w:sz="0" w:space="0" w:color="auto"/>
                                <w:bottom w:val="none" w:sz="0" w:space="0" w:color="auto"/>
                                <w:right w:val="none" w:sz="0" w:space="0" w:color="auto"/>
                              </w:divBdr>
                            </w:div>
                          </w:divsChild>
                        </w:div>
                        <w:div w:id="287980175">
                          <w:marLeft w:val="0"/>
                          <w:marRight w:val="0"/>
                          <w:marTop w:val="0"/>
                          <w:marBottom w:val="0"/>
                          <w:divBdr>
                            <w:top w:val="none" w:sz="0" w:space="0" w:color="auto"/>
                            <w:left w:val="none" w:sz="0" w:space="0" w:color="auto"/>
                            <w:bottom w:val="none" w:sz="0" w:space="0" w:color="auto"/>
                            <w:right w:val="none" w:sz="0" w:space="0" w:color="auto"/>
                          </w:divBdr>
                        </w:div>
                        <w:div w:id="254946828">
                          <w:marLeft w:val="0"/>
                          <w:marRight w:val="0"/>
                          <w:marTop w:val="0"/>
                          <w:marBottom w:val="0"/>
                          <w:divBdr>
                            <w:top w:val="none" w:sz="0" w:space="0" w:color="auto"/>
                            <w:left w:val="none" w:sz="0" w:space="0" w:color="auto"/>
                            <w:bottom w:val="none" w:sz="0" w:space="0" w:color="auto"/>
                            <w:right w:val="none" w:sz="0" w:space="0" w:color="auto"/>
                          </w:divBdr>
                          <w:divsChild>
                            <w:div w:id="1802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8719">
                      <w:marLeft w:val="0"/>
                      <w:marRight w:val="0"/>
                      <w:marTop w:val="300"/>
                      <w:marBottom w:val="0"/>
                      <w:divBdr>
                        <w:top w:val="none" w:sz="0" w:space="0" w:color="auto"/>
                        <w:left w:val="none" w:sz="0" w:space="0" w:color="auto"/>
                        <w:bottom w:val="none" w:sz="0" w:space="0" w:color="auto"/>
                        <w:right w:val="none" w:sz="0" w:space="0" w:color="auto"/>
                      </w:divBdr>
                      <w:divsChild>
                        <w:div w:id="1870603116">
                          <w:marLeft w:val="0"/>
                          <w:marRight w:val="0"/>
                          <w:marTop w:val="0"/>
                          <w:marBottom w:val="0"/>
                          <w:divBdr>
                            <w:top w:val="none" w:sz="0" w:space="0" w:color="auto"/>
                            <w:left w:val="none" w:sz="0" w:space="0" w:color="auto"/>
                            <w:bottom w:val="none" w:sz="0" w:space="0" w:color="auto"/>
                            <w:right w:val="none" w:sz="0" w:space="0" w:color="auto"/>
                          </w:divBdr>
                          <w:divsChild>
                            <w:div w:id="573248132">
                              <w:marLeft w:val="0"/>
                              <w:marRight w:val="0"/>
                              <w:marTop w:val="0"/>
                              <w:marBottom w:val="0"/>
                              <w:divBdr>
                                <w:top w:val="none" w:sz="0" w:space="0" w:color="auto"/>
                                <w:left w:val="none" w:sz="0" w:space="0" w:color="auto"/>
                                <w:bottom w:val="none" w:sz="0" w:space="0" w:color="auto"/>
                                <w:right w:val="none" w:sz="0" w:space="0" w:color="auto"/>
                              </w:divBdr>
                            </w:div>
                          </w:divsChild>
                        </w:div>
                        <w:div w:id="193881714">
                          <w:marLeft w:val="0"/>
                          <w:marRight w:val="0"/>
                          <w:marTop w:val="0"/>
                          <w:marBottom w:val="0"/>
                          <w:divBdr>
                            <w:top w:val="none" w:sz="0" w:space="0" w:color="auto"/>
                            <w:left w:val="none" w:sz="0" w:space="0" w:color="auto"/>
                            <w:bottom w:val="none" w:sz="0" w:space="0" w:color="auto"/>
                            <w:right w:val="none" w:sz="0" w:space="0" w:color="auto"/>
                          </w:divBdr>
                        </w:div>
                        <w:div w:id="2071612345">
                          <w:marLeft w:val="0"/>
                          <w:marRight w:val="0"/>
                          <w:marTop w:val="0"/>
                          <w:marBottom w:val="0"/>
                          <w:divBdr>
                            <w:top w:val="none" w:sz="0" w:space="0" w:color="auto"/>
                            <w:left w:val="none" w:sz="0" w:space="0" w:color="auto"/>
                            <w:bottom w:val="none" w:sz="0" w:space="0" w:color="auto"/>
                            <w:right w:val="none" w:sz="0" w:space="0" w:color="auto"/>
                          </w:divBdr>
                          <w:divsChild>
                            <w:div w:id="12119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8073">
                      <w:marLeft w:val="0"/>
                      <w:marRight w:val="0"/>
                      <w:marTop w:val="300"/>
                      <w:marBottom w:val="0"/>
                      <w:divBdr>
                        <w:top w:val="none" w:sz="0" w:space="0" w:color="auto"/>
                        <w:left w:val="none" w:sz="0" w:space="0" w:color="auto"/>
                        <w:bottom w:val="none" w:sz="0" w:space="0" w:color="auto"/>
                        <w:right w:val="none" w:sz="0" w:space="0" w:color="auto"/>
                      </w:divBdr>
                      <w:divsChild>
                        <w:div w:id="271061092">
                          <w:marLeft w:val="0"/>
                          <w:marRight w:val="0"/>
                          <w:marTop w:val="0"/>
                          <w:marBottom w:val="0"/>
                          <w:divBdr>
                            <w:top w:val="none" w:sz="0" w:space="0" w:color="auto"/>
                            <w:left w:val="none" w:sz="0" w:space="0" w:color="auto"/>
                            <w:bottom w:val="none" w:sz="0" w:space="0" w:color="auto"/>
                            <w:right w:val="none" w:sz="0" w:space="0" w:color="auto"/>
                          </w:divBdr>
                          <w:divsChild>
                            <w:div w:id="1077752873">
                              <w:marLeft w:val="0"/>
                              <w:marRight w:val="0"/>
                              <w:marTop w:val="0"/>
                              <w:marBottom w:val="0"/>
                              <w:divBdr>
                                <w:top w:val="none" w:sz="0" w:space="0" w:color="auto"/>
                                <w:left w:val="none" w:sz="0" w:space="0" w:color="auto"/>
                                <w:bottom w:val="none" w:sz="0" w:space="0" w:color="auto"/>
                                <w:right w:val="none" w:sz="0" w:space="0" w:color="auto"/>
                              </w:divBdr>
                            </w:div>
                          </w:divsChild>
                        </w:div>
                        <w:div w:id="1257595935">
                          <w:marLeft w:val="0"/>
                          <w:marRight w:val="0"/>
                          <w:marTop w:val="0"/>
                          <w:marBottom w:val="0"/>
                          <w:divBdr>
                            <w:top w:val="none" w:sz="0" w:space="0" w:color="auto"/>
                            <w:left w:val="none" w:sz="0" w:space="0" w:color="auto"/>
                            <w:bottom w:val="none" w:sz="0" w:space="0" w:color="auto"/>
                            <w:right w:val="none" w:sz="0" w:space="0" w:color="auto"/>
                          </w:divBdr>
                        </w:div>
                        <w:div w:id="904536164">
                          <w:marLeft w:val="0"/>
                          <w:marRight w:val="0"/>
                          <w:marTop w:val="0"/>
                          <w:marBottom w:val="0"/>
                          <w:divBdr>
                            <w:top w:val="none" w:sz="0" w:space="0" w:color="auto"/>
                            <w:left w:val="none" w:sz="0" w:space="0" w:color="auto"/>
                            <w:bottom w:val="none" w:sz="0" w:space="0" w:color="auto"/>
                            <w:right w:val="none" w:sz="0" w:space="0" w:color="auto"/>
                          </w:divBdr>
                          <w:divsChild>
                            <w:div w:id="3679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94">
                      <w:marLeft w:val="0"/>
                      <w:marRight w:val="0"/>
                      <w:marTop w:val="300"/>
                      <w:marBottom w:val="0"/>
                      <w:divBdr>
                        <w:top w:val="none" w:sz="0" w:space="0" w:color="auto"/>
                        <w:left w:val="none" w:sz="0" w:space="0" w:color="auto"/>
                        <w:bottom w:val="none" w:sz="0" w:space="0" w:color="auto"/>
                        <w:right w:val="none" w:sz="0" w:space="0" w:color="auto"/>
                      </w:divBdr>
                      <w:divsChild>
                        <w:div w:id="605697843">
                          <w:marLeft w:val="0"/>
                          <w:marRight w:val="0"/>
                          <w:marTop w:val="0"/>
                          <w:marBottom w:val="0"/>
                          <w:divBdr>
                            <w:top w:val="none" w:sz="0" w:space="0" w:color="auto"/>
                            <w:left w:val="none" w:sz="0" w:space="0" w:color="auto"/>
                            <w:bottom w:val="none" w:sz="0" w:space="0" w:color="auto"/>
                            <w:right w:val="none" w:sz="0" w:space="0" w:color="auto"/>
                          </w:divBdr>
                          <w:divsChild>
                            <w:div w:id="1078747133">
                              <w:marLeft w:val="0"/>
                              <w:marRight w:val="0"/>
                              <w:marTop w:val="0"/>
                              <w:marBottom w:val="0"/>
                              <w:divBdr>
                                <w:top w:val="none" w:sz="0" w:space="0" w:color="auto"/>
                                <w:left w:val="none" w:sz="0" w:space="0" w:color="auto"/>
                                <w:bottom w:val="none" w:sz="0" w:space="0" w:color="auto"/>
                                <w:right w:val="none" w:sz="0" w:space="0" w:color="auto"/>
                              </w:divBdr>
                            </w:div>
                          </w:divsChild>
                        </w:div>
                        <w:div w:id="1212033680">
                          <w:marLeft w:val="0"/>
                          <w:marRight w:val="0"/>
                          <w:marTop w:val="0"/>
                          <w:marBottom w:val="0"/>
                          <w:divBdr>
                            <w:top w:val="none" w:sz="0" w:space="0" w:color="auto"/>
                            <w:left w:val="none" w:sz="0" w:space="0" w:color="auto"/>
                            <w:bottom w:val="none" w:sz="0" w:space="0" w:color="auto"/>
                            <w:right w:val="none" w:sz="0" w:space="0" w:color="auto"/>
                          </w:divBdr>
                        </w:div>
                        <w:div w:id="1873686684">
                          <w:marLeft w:val="0"/>
                          <w:marRight w:val="0"/>
                          <w:marTop w:val="0"/>
                          <w:marBottom w:val="0"/>
                          <w:divBdr>
                            <w:top w:val="none" w:sz="0" w:space="0" w:color="auto"/>
                            <w:left w:val="none" w:sz="0" w:space="0" w:color="auto"/>
                            <w:bottom w:val="none" w:sz="0" w:space="0" w:color="auto"/>
                            <w:right w:val="none" w:sz="0" w:space="0" w:color="auto"/>
                          </w:divBdr>
                          <w:divsChild>
                            <w:div w:id="18388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5322">
                      <w:marLeft w:val="0"/>
                      <w:marRight w:val="0"/>
                      <w:marTop w:val="300"/>
                      <w:marBottom w:val="0"/>
                      <w:divBdr>
                        <w:top w:val="none" w:sz="0" w:space="0" w:color="auto"/>
                        <w:left w:val="none" w:sz="0" w:space="0" w:color="auto"/>
                        <w:bottom w:val="none" w:sz="0" w:space="0" w:color="auto"/>
                        <w:right w:val="none" w:sz="0" w:space="0" w:color="auto"/>
                      </w:divBdr>
                      <w:divsChild>
                        <w:div w:id="324673074">
                          <w:marLeft w:val="0"/>
                          <w:marRight w:val="0"/>
                          <w:marTop w:val="0"/>
                          <w:marBottom w:val="0"/>
                          <w:divBdr>
                            <w:top w:val="none" w:sz="0" w:space="0" w:color="auto"/>
                            <w:left w:val="none" w:sz="0" w:space="0" w:color="auto"/>
                            <w:bottom w:val="none" w:sz="0" w:space="0" w:color="auto"/>
                            <w:right w:val="none" w:sz="0" w:space="0" w:color="auto"/>
                          </w:divBdr>
                          <w:divsChild>
                            <w:div w:id="1220365364">
                              <w:marLeft w:val="0"/>
                              <w:marRight w:val="0"/>
                              <w:marTop w:val="0"/>
                              <w:marBottom w:val="0"/>
                              <w:divBdr>
                                <w:top w:val="none" w:sz="0" w:space="0" w:color="auto"/>
                                <w:left w:val="none" w:sz="0" w:space="0" w:color="auto"/>
                                <w:bottom w:val="none" w:sz="0" w:space="0" w:color="auto"/>
                                <w:right w:val="none" w:sz="0" w:space="0" w:color="auto"/>
                              </w:divBdr>
                            </w:div>
                          </w:divsChild>
                        </w:div>
                        <w:div w:id="107048004">
                          <w:marLeft w:val="0"/>
                          <w:marRight w:val="0"/>
                          <w:marTop w:val="0"/>
                          <w:marBottom w:val="0"/>
                          <w:divBdr>
                            <w:top w:val="none" w:sz="0" w:space="0" w:color="auto"/>
                            <w:left w:val="none" w:sz="0" w:space="0" w:color="auto"/>
                            <w:bottom w:val="none" w:sz="0" w:space="0" w:color="auto"/>
                            <w:right w:val="none" w:sz="0" w:space="0" w:color="auto"/>
                          </w:divBdr>
                        </w:div>
                        <w:div w:id="1205172371">
                          <w:marLeft w:val="0"/>
                          <w:marRight w:val="0"/>
                          <w:marTop w:val="0"/>
                          <w:marBottom w:val="0"/>
                          <w:divBdr>
                            <w:top w:val="none" w:sz="0" w:space="0" w:color="auto"/>
                            <w:left w:val="none" w:sz="0" w:space="0" w:color="auto"/>
                            <w:bottom w:val="none" w:sz="0" w:space="0" w:color="auto"/>
                            <w:right w:val="none" w:sz="0" w:space="0" w:color="auto"/>
                          </w:divBdr>
                          <w:divsChild>
                            <w:div w:id="4317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7726">
                      <w:marLeft w:val="0"/>
                      <w:marRight w:val="0"/>
                      <w:marTop w:val="300"/>
                      <w:marBottom w:val="0"/>
                      <w:divBdr>
                        <w:top w:val="none" w:sz="0" w:space="0" w:color="auto"/>
                        <w:left w:val="none" w:sz="0" w:space="0" w:color="auto"/>
                        <w:bottom w:val="none" w:sz="0" w:space="0" w:color="auto"/>
                        <w:right w:val="none" w:sz="0" w:space="0" w:color="auto"/>
                      </w:divBdr>
                      <w:divsChild>
                        <w:div w:id="2134129458">
                          <w:marLeft w:val="0"/>
                          <w:marRight w:val="0"/>
                          <w:marTop w:val="0"/>
                          <w:marBottom w:val="0"/>
                          <w:divBdr>
                            <w:top w:val="none" w:sz="0" w:space="0" w:color="auto"/>
                            <w:left w:val="none" w:sz="0" w:space="0" w:color="auto"/>
                            <w:bottom w:val="none" w:sz="0" w:space="0" w:color="auto"/>
                            <w:right w:val="none" w:sz="0" w:space="0" w:color="auto"/>
                          </w:divBdr>
                          <w:divsChild>
                            <w:div w:id="1280575795">
                              <w:marLeft w:val="0"/>
                              <w:marRight w:val="0"/>
                              <w:marTop w:val="0"/>
                              <w:marBottom w:val="0"/>
                              <w:divBdr>
                                <w:top w:val="none" w:sz="0" w:space="0" w:color="auto"/>
                                <w:left w:val="none" w:sz="0" w:space="0" w:color="auto"/>
                                <w:bottom w:val="none" w:sz="0" w:space="0" w:color="auto"/>
                                <w:right w:val="none" w:sz="0" w:space="0" w:color="auto"/>
                              </w:divBdr>
                            </w:div>
                          </w:divsChild>
                        </w:div>
                        <w:div w:id="425082856">
                          <w:marLeft w:val="0"/>
                          <w:marRight w:val="0"/>
                          <w:marTop w:val="0"/>
                          <w:marBottom w:val="0"/>
                          <w:divBdr>
                            <w:top w:val="none" w:sz="0" w:space="0" w:color="auto"/>
                            <w:left w:val="none" w:sz="0" w:space="0" w:color="auto"/>
                            <w:bottom w:val="none" w:sz="0" w:space="0" w:color="auto"/>
                            <w:right w:val="none" w:sz="0" w:space="0" w:color="auto"/>
                          </w:divBdr>
                        </w:div>
                        <w:div w:id="316614490">
                          <w:marLeft w:val="0"/>
                          <w:marRight w:val="0"/>
                          <w:marTop w:val="0"/>
                          <w:marBottom w:val="0"/>
                          <w:divBdr>
                            <w:top w:val="none" w:sz="0" w:space="0" w:color="auto"/>
                            <w:left w:val="none" w:sz="0" w:space="0" w:color="auto"/>
                            <w:bottom w:val="none" w:sz="0" w:space="0" w:color="auto"/>
                            <w:right w:val="none" w:sz="0" w:space="0" w:color="auto"/>
                          </w:divBdr>
                          <w:divsChild>
                            <w:div w:id="13176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9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91FF209-87A6-4A89-BB5D-1DC77246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1630</Words>
  <Characters>8527</Characters>
  <Application>Microsoft Office Word</Application>
  <DocSecurity>0</DocSecurity>
  <Lines>167</Lines>
  <Paragraphs>83</Paragraphs>
  <ScaleCrop>false</ScaleCrop>
  <HeadingPairs>
    <vt:vector size="2" baseType="variant">
      <vt:variant>
        <vt:lpstr>Title</vt:lpstr>
      </vt:variant>
      <vt:variant>
        <vt:i4>1</vt:i4>
      </vt:variant>
    </vt:vector>
  </HeadingPairs>
  <TitlesOfParts>
    <vt:vector size="1" baseType="lpstr">
      <vt:lpstr>Report on Resolution 48</vt:lpstr>
    </vt:vector>
  </TitlesOfParts>
  <Manager>General Secretariat - Pool</Manager>
  <Company>International Telecommunication Union (ITU)</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Resolution 48</dc:title>
  <dc:subject>Council 2017</dc:subject>
  <dc:creator>Brouard, Ricarda</dc:creator>
  <cp:keywords>C2017, C17</cp:keywords>
  <cp:lastModifiedBy>Janin</cp:lastModifiedBy>
  <cp:revision>5</cp:revision>
  <cp:lastPrinted>2017-03-27T08:53:00Z</cp:lastPrinted>
  <dcterms:created xsi:type="dcterms:W3CDTF">2017-05-03T07:33:00Z</dcterms:created>
  <dcterms:modified xsi:type="dcterms:W3CDTF">2017-05-03T12:05:00Z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