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4A24CB">
            <w:pPr>
              <w:spacing w:before="0"/>
              <w:rPr>
                <w:b/>
                <w:bCs/>
                <w:szCs w:val="24"/>
              </w:rPr>
            </w:pPr>
            <w:r>
              <w:rPr>
                <w:b/>
                <w:bCs/>
                <w:szCs w:val="24"/>
              </w:rPr>
              <w:t>Documento C17/</w:t>
            </w:r>
            <w:r w:rsidR="004A24CB">
              <w:rPr>
                <w:b/>
                <w:bCs/>
                <w:szCs w:val="24"/>
              </w:rPr>
              <w:t>141</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4A24CB" w:rsidP="00093EEB">
            <w:pPr>
              <w:spacing w:before="0"/>
              <w:rPr>
                <w:b/>
                <w:bCs/>
                <w:szCs w:val="24"/>
              </w:rPr>
            </w:pPr>
            <w:r w:rsidRPr="00E8457B">
              <w:rPr>
                <w:rFonts w:cs="Calibri"/>
                <w:b/>
                <w:bCs/>
                <w:szCs w:val="24"/>
              </w:rPr>
              <w:t>2</w:t>
            </w:r>
            <w:r>
              <w:rPr>
                <w:rFonts w:cs="Calibri"/>
                <w:b/>
                <w:bCs/>
                <w:szCs w:val="24"/>
              </w:rPr>
              <w:t>6</w:t>
            </w:r>
            <w:r w:rsidRPr="00E8457B">
              <w:rPr>
                <w:rFonts w:cs="Calibri"/>
                <w:b/>
                <w:bCs/>
                <w:szCs w:val="24"/>
              </w:rPr>
              <w:t xml:space="preserve"> de </w:t>
            </w:r>
            <w:r>
              <w:rPr>
                <w:rFonts w:cs="Calibri"/>
                <w:b/>
                <w:bCs/>
                <w:szCs w:val="24"/>
              </w:rPr>
              <w:t>mayo</w:t>
            </w:r>
            <w:r w:rsidRPr="00E8457B">
              <w:rPr>
                <w:rFonts w:cs="Calibri"/>
                <w:b/>
                <w:bCs/>
                <w:szCs w:val="24"/>
              </w:rPr>
              <w:t xml:space="preserve"> de 201</w:t>
            </w:r>
            <w:r>
              <w:rPr>
                <w:rFonts w:cs="Calibri"/>
                <w:b/>
                <w:bCs/>
                <w:szCs w:val="24"/>
              </w:rPr>
              <w:t>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4A24CB" w:rsidRPr="00E8457B" w:rsidRDefault="004A24CB" w:rsidP="004A24CB">
      <w:pPr>
        <w:pStyle w:val="ResNo"/>
        <w:rPr>
          <w:rFonts w:asciiTheme="minorHAnsi" w:hAnsiTheme="minorHAnsi" w:cstheme="minorHAnsi"/>
        </w:rPr>
      </w:pPr>
      <w:r w:rsidRPr="00E8457B">
        <w:rPr>
          <w:rFonts w:asciiTheme="minorHAnsi" w:hAnsiTheme="minorHAnsi" w:cstheme="minorHAnsi"/>
        </w:rPr>
        <w:t>RESOLUCIÓN 1380</w:t>
      </w:r>
      <w:r>
        <w:rPr>
          <w:rFonts w:asciiTheme="minorHAnsi" w:hAnsiTheme="minorHAnsi" w:cstheme="minorHAnsi"/>
        </w:rPr>
        <w:t xml:space="preserve"> (MODIFICADA EN 2017)</w:t>
      </w:r>
    </w:p>
    <w:p w:rsidR="004A24CB" w:rsidRPr="00BC18F3" w:rsidRDefault="004A24CB" w:rsidP="004A24CB">
      <w:pPr>
        <w:pStyle w:val="Restitle"/>
        <w:rPr>
          <w:b w:val="0"/>
          <w:bCs/>
        </w:rPr>
      </w:pPr>
      <w:r w:rsidRPr="00BC18F3">
        <w:rPr>
          <w:b w:val="0"/>
          <w:bCs/>
        </w:rPr>
        <w:t xml:space="preserve">(adoptada en la </w:t>
      </w:r>
      <w:r>
        <w:rPr>
          <w:b w:val="0"/>
          <w:bCs/>
        </w:rPr>
        <w:t>octava</w:t>
      </w:r>
      <w:r w:rsidRPr="00BC18F3">
        <w:rPr>
          <w:b w:val="0"/>
          <w:bCs/>
        </w:rPr>
        <w:t xml:space="preserve"> Reunión Plenaria)</w:t>
      </w:r>
    </w:p>
    <w:p w:rsidR="004A24CB" w:rsidRPr="00E8457B" w:rsidRDefault="004A24CB" w:rsidP="004A24CB">
      <w:pPr>
        <w:pStyle w:val="Restitle"/>
        <w:rPr>
          <w:rFonts w:asciiTheme="minorHAnsi" w:hAnsiTheme="minorHAnsi" w:cstheme="minorHAnsi"/>
        </w:rPr>
      </w:pPr>
      <w:r w:rsidRPr="00E8457B">
        <w:rPr>
          <w:rFonts w:asciiTheme="minorHAnsi" w:hAnsiTheme="minorHAnsi" w:cstheme="minorHAnsi"/>
        </w:rPr>
        <w:t>Lugar, fechas y orden del día de la Conferencia Mundial</w:t>
      </w:r>
      <w:r w:rsidRPr="00E8457B">
        <w:rPr>
          <w:rFonts w:asciiTheme="minorHAnsi" w:hAnsiTheme="minorHAnsi" w:cstheme="minorHAnsi"/>
        </w:rPr>
        <w:br/>
        <w:t>de Radiocomunicaciones (CMR-19)</w:t>
      </w:r>
    </w:p>
    <w:p w:rsidR="004A24CB" w:rsidRPr="00E8457B" w:rsidRDefault="004A24CB" w:rsidP="004A24CB">
      <w:pPr>
        <w:pStyle w:val="Normalaftertitle"/>
        <w:rPr>
          <w:rFonts w:asciiTheme="minorHAnsi" w:hAnsiTheme="minorHAnsi" w:cstheme="minorHAnsi"/>
        </w:rPr>
      </w:pPr>
      <w:r w:rsidRPr="00E8457B">
        <w:rPr>
          <w:rFonts w:asciiTheme="minorHAnsi" w:hAnsiTheme="minorHAnsi" w:cstheme="minorHAnsi"/>
        </w:rPr>
        <w:t>El Consejo,</w:t>
      </w:r>
    </w:p>
    <w:p w:rsidR="004A24CB" w:rsidRPr="007B0DB8" w:rsidRDefault="004A24CB" w:rsidP="007B0DB8">
      <w:pPr>
        <w:pStyle w:val="Call"/>
      </w:pPr>
      <w:r w:rsidRPr="007B0DB8">
        <w:t>considerando</w:t>
      </w:r>
    </w:p>
    <w:p w:rsidR="004A24CB" w:rsidRPr="00E8457B" w:rsidRDefault="004A24CB" w:rsidP="004A24CB">
      <w:pPr>
        <w:rPr>
          <w:rFonts w:asciiTheme="minorHAnsi" w:hAnsiTheme="minorHAnsi" w:cstheme="minorHAnsi"/>
        </w:rPr>
      </w:pPr>
      <w:r w:rsidRPr="00E8457B">
        <w:rPr>
          <w:rFonts w:asciiTheme="minorHAnsi" w:hAnsiTheme="minorHAnsi" w:cstheme="minorHAnsi"/>
        </w:rPr>
        <w:t>que en la Resolución 809 de la Conferencia Mundial de Radiocomunicaciones (Ginebra, 2015):</w:t>
      </w:r>
    </w:p>
    <w:p w:rsidR="004A24CB" w:rsidRPr="00E8457B" w:rsidRDefault="004A24CB" w:rsidP="004A24CB">
      <w:r w:rsidRPr="00E8457B">
        <w:rPr>
          <w:i/>
          <w:iCs/>
        </w:rPr>
        <w:t>a)</w:t>
      </w:r>
      <w:r w:rsidRPr="00E8457B">
        <w:tab/>
        <w:t>se resuelve recomendar al Consejo la celebración de una Conferencia Mundial de Radiocomunicaciones en 2019 con una duración de cuatro semanas;</w:t>
      </w:r>
    </w:p>
    <w:p w:rsidR="004A24CB" w:rsidRDefault="004A24CB" w:rsidP="004A24CB">
      <w:r w:rsidRPr="00E8457B">
        <w:rPr>
          <w:i/>
          <w:iCs/>
        </w:rPr>
        <w:t>b)</w:t>
      </w:r>
      <w:r w:rsidRPr="00E8457B">
        <w:tab/>
        <w:t>se formulan recomendaciones sobre el orden del día de dicha Conferencia, y se invita al Consejo a fijar el orden del día definitivo, a tomar las disposiciones oportunas para convocar la CMR-19, y a iniciar lo antes posible las correspondientes consultas con los Estados Miembros,</w:t>
      </w:r>
    </w:p>
    <w:p w:rsidR="004A24CB" w:rsidRPr="007B0DB8" w:rsidRDefault="004A24CB" w:rsidP="007B0DB8">
      <w:pPr>
        <w:pStyle w:val="Call"/>
      </w:pPr>
      <w:r w:rsidRPr="007B0DB8">
        <w:t>considerando además</w:t>
      </w:r>
    </w:p>
    <w:p w:rsidR="004A24CB" w:rsidRPr="00E8457B" w:rsidRDefault="004A24CB" w:rsidP="004A24CB">
      <w:r>
        <w:t xml:space="preserve">que el Gobierno de la República Árabe de Egipto ha invitado a la Unión Internacional de Telecomunicaciones a celebrar la Conferencia Mundial de Radiocomunicaciones de 2019 en la ciudad de Sharm el-Sheikh (Egipto), </w:t>
      </w:r>
    </w:p>
    <w:p w:rsidR="004A24CB" w:rsidRPr="007B0DB8" w:rsidRDefault="004A24CB" w:rsidP="004A24CB">
      <w:pPr>
        <w:pStyle w:val="Call"/>
      </w:pPr>
      <w:r w:rsidRPr="007B0DB8">
        <w:t>resuelve</w:t>
      </w:r>
    </w:p>
    <w:p w:rsidR="004A24CB" w:rsidRPr="00E8457B" w:rsidRDefault="004A24CB" w:rsidP="004A24CB">
      <w:pPr>
        <w:rPr>
          <w:rFonts w:asciiTheme="minorHAnsi" w:hAnsiTheme="minorHAnsi" w:cstheme="minorHAnsi"/>
        </w:rPr>
      </w:pPr>
      <w:r w:rsidRPr="00E8457B">
        <w:rPr>
          <w:rFonts w:asciiTheme="minorHAnsi" w:hAnsiTheme="minorHAnsi" w:cstheme="minorHAnsi"/>
        </w:rPr>
        <w:t>convocar una Conferencia Mundial de Radiocomunicaciones (CMR-19</w:t>
      </w:r>
      <w:r>
        <w:rPr>
          <w:rFonts w:asciiTheme="minorHAnsi" w:hAnsiTheme="minorHAnsi" w:cstheme="minorHAnsi"/>
        </w:rPr>
        <w:t xml:space="preserve">) en </w:t>
      </w:r>
      <w:r w:rsidRPr="00064F04">
        <w:rPr>
          <w:rFonts w:asciiTheme="minorHAnsi" w:hAnsiTheme="minorHAnsi" w:cstheme="minorHAnsi"/>
        </w:rPr>
        <w:t>Sharm el-Sheikh (Egipto)</w:t>
      </w:r>
      <w:r w:rsidRPr="00E8457B">
        <w:rPr>
          <w:rFonts w:asciiTheme="minorHAnsi" w:hAnsiTheme="minorHAnsi" w:cstheme="minorHAnsi"/>
        </w:rPr>
        <w:t xml:space="preserve"> del 28 de octubre al 22 de noviembre de 2019, precedida de una Asamb</w:t>
      </w:r>
      <w:r>
        <w:rPr>
          <w:rFonts w:asciiTheme="minorHAnsi" w:hAnsiTheme="minorHAnsi" w:cstheme="minorHAnsi"/>
        </w:rPr>
        <w:t xml:space="preserve">lea de Radiocomunicaciones del </w:t>
      </w:r>
      <w:r w:rsidRPr="00E8457B">
        <w:rPr>
          <w:rFonts w:asciiTheme="minorHAnsi" w:hAnsiTheme="minorHAnsi" w:cstheme="minorHAnsi"/>
        </w:rPr>
        <w:t>21 al 25 de octubre de 2019 con el siguiente orden del día:</w:t>
      </w:r>
    </w:p>
    <w:p w:rsidR="004A24CB" w:rsidRPr="00E8457B" w:rsidRDefault="004A24CB" w:rsidP="004A24CB">
      <w:r w:rsidRPr="00E8457B">
        <w:t>1</w:t>
      </w:r>
      <w:r w:rsidRPr="00E8457B">
        <w:tab/>
        <w:t>sobre la base de las propuestas de las administraciones, teniendo en cuenta los resultados de la CMR</w:t>
      </w:r>
      <w:r w:rsidRPr="00E8457B">
        <w:noBreakHyphen/>
        <w:t>15 y del Informe de la Reunión Preparatoria de la Conferencia, y con la debida consideración a las necesidades de servicios existentes y futuros en las bandas de frecuencias consideradas, examinar y adoptar las medidas oportunas en relación con los temas siguientes:</w:t>
      </w:r>
    </w:p>
    <w:p w:rsidR="004A24CB" w:rsidRPr="00E8457B" w:rsidRDefault="004A24CB" w:rsidP="004A24CB">
      <w:r w:rsidRPr="00E8457B">
        <w:t>1.1</w:t>
      </w:r>
      <w:r w:rsidRPr="00E8457B">
        <w:tab/>
        <w:t>considerar la posibilidad de efectuar una atribución al servicio de aficionados en la banda de frecuencias 50</w:t>
      </w:r>
      <w:r w:rsidRPr="00E8457B">
        <w:noBreakHyphen/>
        <w:t xml:space="preserve">54 MHz en la Región 1, de conformidad con la Resolución </w:t>
      </w:r>
      <w:r w:rsidRPr="00E8457B">
        <w:rPr>
          <w:b/>
        </w:rPr>
        <w:t>658 (CMR</w:t>
      </w:r>
      <w:r w:rsidRPr="00E8457B">
        <w:rPr>
          <w:b/>
        </w:rPr>
        <w:noBreakHyphen/>
        <w:t>15)</w:t>
      </w:r>
      <w:r w:rsidRPr="00E8457B">
        <w:t>;</w:t>
      </w:r>
    </w:p>
    <w:p w:rsidR="004A24CB" w:rsidRPr="00E8457B" w:rsidRDefault="004A24CB" w:rsidP="004A24CB">
      <w:r w:rsidRPr="00E8457B">
        <w:t>1.2</w:t>
      </w:r>
      <w:r w:rsidRPr="00E8457B">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E8457B">
        <w:noBreakHyphen/>
        <w:t>403 MHz y 399,9</w:t>
      </w:r>
      <w:r w:rsidRPr="00E8457B">
        <w:noBreakHyphen/>
        <w:t xml:space="preserve">400,05 MHz, de conformidad con la Resolución </w:t>
      </w:r>
      <w:r w:rsidRPr="00E8457B">
        <w:rPr>
          <w:b/>
          <w:bCs/>
        </w:rPr>
        <w:t>765 </w:t>
      </w:r>
      <w:r w:rsidRPr="00E8457B">
        <w:rPr>
          <w:b/>
        </w:rPr>
        <w:t>(CMR-15)</w:t>
      </w:r>
      <w:r w:rsidRPr="003A4186">
        <w:rPr>
          <w:bCs/>
        </w:rPr>
        <w:t>;</w:t>
      </w:r>
    </w:p>
    <w:p w:rsidR="004A24CB" w:rsidRPr="00E8457B" w:rsidRDefault="004A24CB" w:rsidP="004A24CB">
      <w:r w:rsidRPr="00E8457B">
        <w:lastRenderedPageBreak/>
        <w:t>1.3</w:t>
      </w:r>
      <w:r w:rsidRPr="00E8457B">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E8457B">
        <w:noBreakHyphen/>
        <w:t>470 MHz, de conformidad con la Resolución </w:t>
      </w:r>
      <w:r w:rsidRPr="00E8457B">
        <w:rPr>
          <w:b/>
          <w:bCs/>
        </w:rPr>
        <w:t>766 (</w:t>
      </w:r>
      <w:r w:rsidRPr="00E8457B">
        <w:rPr>
          <w:b/>
        </w:rPr>
        <w:t>CMR</w:t>
      </w:r>
      <w:r w:rsidRPr="00E8457B">
        <w:rPr>
          <w:b/>
        </w:rPr>
        <w:noBreakHyphen/>
        <w:t>15)</w:t>
      </w:r>
      <w:r w:rsidRPr="00E8457B">
        <w:rPr>
          <w:bCs/>
        </w:rPr>
        <w:t>;</w:t>
      </w:r>
    </w:p>
    <w:p w:rsidR="004A24CB" w:rsidRPr="00E8457B" w:rsidRDefault="004A24CB" w:rsidP="004A24CB">
      <w:r w:rsidRPr="00E8457B">
        <w:t>1.4</w:t>
      </w:r>
      <w:r w:rsidRPr="00E8457B">
        <w:tab/>
        <w:t xml:space="preserve">considerar los resultados de los estudios con arreglo a la Resolución </w:t>
      </w:r>
      <w:r w:rsidRPr="00E8457B">
        <w:rPr>
          <w:b/>
          <w:bCs/>
        </w:rPr>
        <w:t>557</w:t>
      </w:r>
      <w:r w:rsidRPr="00E8457B">
        <w:rPr>
          <w:b/>
        </w:rPr>
        <w:t xml:space="preserve"> (CMR</w:t>
      </w:r>
      <w:r w:rsidRPr="00E8457B">
        <w:rPr>
          <w:b/>
        </w:rPr>
        <w:noBreakHyphen/>
        <w:t>15)</w:t>
      </w:r>
      <w:r w:rsidRPr="00E8457B">
        <w:rPr>
          <w:bCs/>
        </w:rPr>
        <w:t>,</w:t>
      </w:r>
      <w:r w:rsidRPr="00E8457B">
        <w:t xml:space="preserve"> y examinar y, si procede, revisar las restricciones mencionadas en el Anexo 7 del Apéndice </w:t>
      </w:r>
      <w:r w:rsidRPr="00E8457B">
        <w:rPr>
          <w:b/>
        </w:rPr>
        <w:t>30 (Rev.CMR-15</w:t>
      </w:r>
      <w:r w:rsidRPr="00E8457B">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rsidR="004A24CB" w:rsidRPr="00E8457B" w:rsidRDefault="004A24CB" w:rsidP="004A24CB">
      <w:r w:rsidRPr="00E8457B">
        <w:t>1.5</w:t>
      </w:r>
      <w:r w:rsidRPr="00E8457B">
        <w:tab/>
        <w:t>considerar la utilización de las bandas de frecuencias 17,7-19,7 GHz (espacio</w:t>
      </w:r>
      <w:r w:rsidRPr="00E8457B">
        <w:noBreakHyphen/>
        <w:t>Tierra) y 27,5</w:t>
      </w:r>
      <w:r w:rsidRPr="00E8457B">
        <w:noBreakHyphen/>
        <w:t>29,5 GHz (Tierra</w:t>
      </w:r>
      <w:r w:rsidRPr="00E8457B">
        <w:noBreakHyphen/>
        <w:t xml:space="preserve">espacio) utilizadas por estaciones terrenas en movimiento que se comunican con estaciones espaciales geoestacionarias en el servicio fijo por satélite, y tomar las medidas oportunas, de conformidad con la Resolución </w:t>
      </w:r>
      <w:r w:rsidRPr="00E8457B">
        <w:rPr>
          <w:b/>
        </w:rPr>
        <w:t>158 (CMR-15)</w:t>
      </w:r>
      <w:r w:rsidRPr="00E8457B">
        <w:t>;</w:t>
      </w:r>
    </w:p>
    <w:p w:rsidR="004A24CB" w:rsidRPr="00E8457B" w:rsidRDefault="004A24CB" w:rsidP="004A24CB">
      <w:r w:rsidRPr="00E8457B">
        <w:t>1.6</w:t>
      </w:r>
      <w:r w:rsidRPr="00E8457B">
        <w:tab/>
      </w:r>
      <w:r w:rsidRPr="00E8457B">
        <w:rPr>
          <w:bCs/>
          <w:szCs w:val="24"/>
        </w:rPr>
        <w:t>que considere</w:t>
      </w:r>
      <w:r w:rsidRPr="00E8457B">
        <w:rPr>
          <w:lang w:eastAsia="nl-NL"/>
        </w:rPr>
        <w:t xml:space="preserve"> la posibilidad de </w:t>
      </w:r>
      <w:r w:rsidRPr="00E8457B">
        <w:t>formular un marco reglamentario para sistemas de satélite no OSG del SFS que funcionen en las bandas de frecuencias 37,5</w:t>
      </w:r>
      <w:r w:rsidRPr="00E8457B">
        <w:noBreakHyphen/>
        <w:t>39,5 GHz (</w:t>
      </w:r>
      <w:r w:rsidRPr="00E8457B">
        <w:rPr>
          <w:szCs w:val="24"/>
        </w:rPr>
        <w:t>espacio</w:t>
      </w:r>
      <w:r w:rsidRPr="00E8457B">
        <w:rPr>
          <w:szCs w:val="24"/>
        </w:rPr>
        <w:noBreakHyphen/>
        <w:t>Tierra</w:t>
      </w:r>
      <w:r w:rsidRPr="00E8457B">
        <w:t>), 39,5</w:t>
      </w:r>
      <w:r w:rsidRPr="00E8457B">
        <w:noBreakHyphen/>
        <w:t>42,5 GHz (</w:t>
      </w:r>
      <w:r w:rsidRPr="00E8457B">
        <w:rPr>
          <w:szCs w:val="24"/>
        </w:rPr>
        <w:t>espacio</w:t>
      </w:r>
      <w:r w:rsidRPr="00E8457B">
        <w:rPr>
          <w:szCs w:val="24"/>
        </w:rPr>
        <w:noBreakHyphen/>
        <w:t>Tierra</w:t>
      </w:r>
      <w:r w:rsidRPr="00E8457B">
        <w:t>), 47,2</w:t>
      </w:r>
      <w:r w:rsidRPr="00E8457B">
        <w:noBreakHyphen/>
        <w:t>50,2 GHz (Tierra</w:t>
      </w:r>
      <w:r w:rsidRPr="00E8457B">
        <w:noBreakHyphen/>
        <w:t>espacio) y 50,4</w:t>
      </w:r>
      <w:r w:rsidRPr="00E8457B">
        <w:noBreakHyphen/>
        <w:t>51,4 GHz (</w:t>
      </w:r>
      <w:r w:rsidRPr="00E8457B">
        <w:rPr>
          <w:szCs w:val="24"/>
        </w:rPr>
        <w:t>Tierra</w:t>
      </w:r>
      <w:r w:rsidRPr="00E8457B">
        <w:rPr>
          <w:szCs w:val="24"/>
        </w:rPr>
        <w:noBreakHyphen/>
        <w:t>espacio</w:t>
      </w:r>
      <w:r w:rsidRPr="00E8457B">
        <w:t>)</w:t>
      </w:r>
      <w:r w:rsidRPr="00E8457B">
        <w:rPr>
          <w:szCs w:val="24"/>
        </w:rPr>
        <w:t>, de conformidad con la Resolución </w:t>
      </w:r>
      <w:r w:rsidRPr="00E8457B">
        <w:rPr>
          <w:b/>
          <w:bCs/>
          <w:szCs w:val="24"/>
        </w:rPr>
        <w:t>159 (CMR-15)</w:t>
      </w:r>
      <w:r w:rsidRPr="00E8457B">
        <w:rPr>
          <w:szCs w:val="24"/>
        </w:rPr>
        <w:t>;</w:t>
      </w:r>
    </w:p>
    <w:p w:rsidR="004A24CB" w:rsidRPr="00E8457B" w:rsidRDefault="004A24CB" w:rsidP="004A24CB">
      <w:r w:rsidRPr="00E8457B">
        <w:t>1.7</w:t>
      </w:r>
      <w:r w:rsidRPr="00E8457B">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E8457B">
        <w:rPr>
          <w:b/>
          <w:bCs/>
        </w:rPr>
        <w:t>659 (CMR</w:t>
      </w:r>
      <w:r w:rsidRPr="00E8457B">
        <w:rPr>
          <w:b/>
          <w:bCs/>
        </w:rPr>
        <w:noBreakHyphen/>
        <w:t>15)</w:t>
      </w:r>
      <w:r w:rsidRPr="00E8457B">
        <w:t>;</w:t>
      </w:r>
    </w:p>
    <w:p w:rsidR="004A24CB" w:rsidRPr="00E8457B" w:rsidRDefault="004A24CB" w:rsidP="004A24CB">
      <w:pPr>
        <w:rPr>
          <w:lang w:eastAsia="zh-CN"/>
        </w:rPr>
      </w:pPr>
      <w:r w:rsidRPr="00E8457B">
        <w:t>1.8</w:t>
      </w:r>
      <w:r w:rsidRPr="00E8457B">
        <w:tab/>
        <w:t>examinar las posibles medidas reglamentarias para la modernización del sistema mundial de socorro y seguridad marítimos (SMSSM) y dar soporte a la introducción de sistemas de satélites adicionales en el SMSSM, de conformidad con la Resolución </w:t>
      </w:r>
      <w:r w:rsidRPr="00E8457B">
        <w:rPr>
          <w:b/>
          <w:lang w:eastAsia="zh-CN"/>
        </w:rPr>
        <w:t>359</w:t>
      </w:r>
      <w:r w:rsidRPr="00E8457B">
        <w:rPr>
          <w:lang w:eastAsia="zh-CN"/>
        </w:rPr>
        <w:t xml:space="preserve"> (</w:t>
      </w:r>
      <w:r w:rsidRPr="00E8457B">
        <w:rPr>
          <w:b/>
          <w:lang w:eastAsia="zh-CN"/>
        </w:rPr>
        <w:t>Rev.CMR-15</w:t>
      </w:r>
      <w:r w:rsidRPr="00E8457B">
        <w:rPr>
          <w:lang w:eastAsia="zh-CN"/>
        </w:rPr>
        <w:t>);</w:t>
      </w:r>
    </w:p>
    <w:p w:rsidR="004A24CB" w:rsidRPr="00E8457B" w:rsidRDefault="004A24CB" w:rsidP="004A24CB">
      <w:r w:rsidRPr="00E8457B">
        <w:rPr>
          <w:lang w:eastAsia="zh-CN"/>
        </w:rPr>
        <w:t>1.9</w:t>
      </w:r>
      <w:r w:rsidRPr="00E8457B">
        <w:rPr>
          <w:lang w:eastAsia="zh-CN"/>
        </w:rPr>
        <w:tab/>
      </w:r>
      <w:r w:rsidRPr="00E8457B">
        <w:rPr>
          <w:lang w:eastAsia="nl-NL"/>
        </w:rPr>
        <w:t>considerar, basándose en los resultados de los estudios del UIT</w:t>
      </w:r>
      <w:r w:rsidRPr="00E8457B">
        <w:rPr>
          <w:lang w:eastAsia="nl-NL"/>
        </w:rPr>
        <w:noBreakHyphen/>
        <w:t>R:</w:t>
      </w:r>
    </w:p>
    <w:p w:rsidR="004A24CB" w:rsidRPr="00E8457B" w:rsidRDefault="004A24CB" w:rsidP="004A24CB">
      <w:r w:rsidRPr="00E8457B">
        <w:t>1.9.1</w:t>
      </w:r>
      <w:r w:rsidRPr="00E8457B">
        <w:tab/>
        <w:t>la posibilidad de adoptar medidas reglamentarias en la banda de frecuencias 156</w:t>
      </w:r>
      <w:r w:rsidRPr="00E8457B">
        <w:noBreakHyphen/>
        <w:t xml:space="preserve">162,05 MHz, para los dispositivos autónomos de radiocomunicaciones marítimas para proteger el SMSSM y el sistema de identificación automática (SIA) de conformidad con la Resolución </w:t>
      </w:r>
      <w:r w:rsidRPr="00E8457B">
        <w:rPr>
          <w:b/>
          <w:bCs/>
        </w:rPr>
        <w:t>362</w:t>
      </w:r>
      <w:r w:rsidRPr="00E8457B">
        <w:rPr>
          <w:b/>
        </w:rPr>
        <w:t xml:space="preserve"> (CMR-15)</w:t>
      </w:r>
      <w:r w:rsidRPr="00E8457B">
        <w:t>;</w:t>
      </w:r>
    </w:p>
    <w:p w:rsidR="004A24CB" w:rsidRPr="00E8457B" w:rsidRDefault="004A24CB" w:rsidP="004A24CB">
      <w:r w:rsidRPr="00E8457B">
        <w:t>1.9.2</w:t>
      </w:r>
      <w:r w:rsidRPr="00E8457B">
        <w:tab/>
      </w:r>
      <w:r w:rsidRPr="00E8457B">
        <w:rPr>
          <w:lang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E8457B">
        <w:rPr>
          <w:lang w:eastAsia="nl-NL"/>
        </w:rPr>
        <w:noBreakHyphen/>
        <w:t>157,4375 MHz y 160,6125</w:t>
      </w:r>
      <w:r w:rsidRPr="00E8457B">
        <w:rPr>
          <w:lang w:eastAsia="nl-NL"/>
        </w:rPr>
        <w:noBreakHyphen/>
        <w:t>162,0375 MHz del Apéndice </w:t>
      </w:r>
      <w:r w:rsidRPr="00E8457B">
        <w:rPr>
          <w:b/>
          <w:bCs/>
          <w:lang w:eastAsia="nl-NL"/>
        </w:rPr>
        <w:t>18</w:t>
      </w:r>
      <w:r w:rsidRPr="00E8457B">
        <w:rPr>
          <w:lang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E8457B">
        <w:rPr>
          <w:i/>
          <w:iCs/>
          <w:lang w:eastAsia="nl-NL"/>
        </w:rPr>
        <w:t xml:space="preserve">reconociendo d) </w:t>
      </w:r>
      <w:r w:rsidRPr="00E8457B">
        <w:rPr>
          <w:lang w:eastAsia="nl-NL"/>
        </w:rPr>
        <w:t>y </w:t>
      </w:r>
      <w:r w:rsidRPr="00E8457B">
        <w:rPr>
          <w:i/>
          <w:iCs/>
          <w:lang w:eastAsia="nl-NL"/>
        </w:rPr>
        <w:t>e)</w:t>
      </w:r>
      <w:r w:rsidRPr="00E8457B">
        <w:rPr>
          <w:lang w:eastAsia="nl-NL"/>
        </w:rPr>
        <w:t xml:space="preserve"> de la Resolución </w:t>
      </w:r>
      <w:r w:rsidRPr="00E8457B">
        <w:rPr>
          <w:b/>
          <w:bCs/>
          <w:lang w:eastAsia="nl-NL"/>
        </w:rPr>
        <w:t>360 (Rev.CMR-15</w:t>
      </w:r>
      <w:r w:rsidRPr="00E8457B">
        <w:rPr>
          <w:lang w:eastAsia="nl-NL"/>
        </w:rPr>
        <w:t>);</w:t>
      </w:r>
    </w:p>
    <w:p w:rsidR="004A24CB" w:rsidRPr="00E8457B" w:rsidRDefault="004A24CB" w:rsidP="004A24CB">
      <w:r w:rsidRPr="00E8457B">
        <w:t>1.10</w:t>
      </w:r>
      <w:r w:rsidRPr="00E8457B">
        <w:tab/>
        <w:t>las necesidades de espectro y la posibilidad de adoptar disposiciones reglamentarias para la introducción y utilización del Sistema Mundial de Socorro y Seguridad Aeronáuticos (GADSS) de conformidad con la Resolución </w:t>
      </w:r>
      <w:r w:rsidRPr="00E8457B">
        <w:rPr>
          <w:b/>
          <w:bCs/>
        </w:rPr>
        <w:t>426</w:t>
      </w:r>
      <w:r w:rsidRPr="00E8457B">
        <w:rPr>
          <w:b/>
        </w:rPr>
        <w:t xml:space="preserve"> (CMR-15)</w:t>
      </w:r>
      <w:r w:rsidRPr="00E8457B">
        <w:t>;</w:t>
      </w:r>
    </w:p>
    <w:p w:rsidR="004A24CB" w:rsidRPr="00E8457B" w:rsidRDefault="004A24CB" w:rsidP="004A24CB">
      <w:r w:rsidRPr="00E8457B">
        <w:lastRenderedPageBreak/>
        <w:t>1.11</w:t>
      </w:r>
      <w:r w:rsidRPr="00E8457B">
        <w:tab/>
        <w:t xml:space="preserve">adoptar las medidas necesarias, según proceda, para facilitar las bandas de frecuencias armonizadas a escala mundial o regional para dar soporte a los </w:t>
      </w:r>
      <w:r w:rsidRPr="00E8457B">
        <w:rPr>
          <w:rFonts w:eastAsia="SimSun"/>
          <w:lang w:eastAsia="zh-CN"/>
        </w:rPr>
        <w:t>sistemas de radiocomunicaciones entre el tren y las vías</w:t>
      </w:r>
      <w:r w:rsidRPr="00E8457B">
        <w:t xml:space="preserve"> </w:t>
      </w:r>
      <w:r w:rsidRPr="00E8457B">
        <w:rPr>
          <w:rFonts w:eastAsia="SimSun"/>
          <w:lang w:eastAsia="zh-CN"/>
        </w:rPr>
        <w:t>dentro de las atribuciones existentes al servicio móvil, de conformidad con la Resolución </w:t>
      </w:r>
      <w:r w:rsidRPr="00E8457B">
        <w:rPr>
          <w:rFonts w:eastAsia="SimSun"/>
          <w:b/>
          <w:bCs/>
          <w:lang w:eastAsia="zh-CN"/>
        </w:rPr>
        <w:t>236 (CMR</w:t>
      </w:r>
      <w:r w:rsidRPr="00E8457B">
        <w:rPr>
          <w:rFonts w:eastAsia="SimSun"/>
          <w:b/>
          <w:bCs/>
          <w:lang w:eastAsia="zh-CN"/>
        </w:rPr>
        <w:noBreakHyphen/>
        <w:t>15)</w:t>
      </w:r>
      <w:r w:rsidRPr="00E8457B">
        <w:rPr>
          <w:rFonts w:eastAsia="SimSun"/>
          <w:lang w:eastAsia="zh-CN"/>
        </w:rPr>
        <w:t>;</w:t>
      </w:r>
    </w:p>
    <w:p w:rsidR="004A24CB" w:rsidRPr="00E8457B" w:rsidRDefault="004A24CB" w:rsidP="004A24CB">
      <w:r w:rsidRPr="00E8457B">
        <w:t>1.12</w:t>
      </w:r>
      <w:r w:rsidRPr="00E8457B">
        <w:tab/>
      </w:r>
      <w:r w:rsidRPr="00E8457B">
        <w:rPr>
          <w:rFonts w:eastAsia="SimSun"/>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E8457B">
        <w:rPr>
          <w:rFonts w:eastAsia="SimSun"/>
          <w:b/>
          <w:bCs/>
          <w:lang w:eastAsia="zh-CN"/>
        </w:rPr>
        <w:t>237 (CMR</w:t>
      </w:r>
      <w:r w:rsidRPr="00E8457B">
        <w:rPr>
          <w:rFonts w:eastAsia="SimSun"/>
          <w:b/>
          <w:bCs/>
          <w:lang w:eastAsia="zh-CN"/>
        </w:rPr>
        <w:noBreakHyphen/>
        <w:t>15)</w:t>
      </w:r>
      <w:r w:rsidRPr="00E8457B">
        <w:rPr>
          <w:rFonts w:eastAsia="SimSun"/>
          <w:lang w:eastAsia="zh-CN"/>
        </w:rPr>
        <w:t>;</w:t>
      </w:r>
    </w:p>
    <w:p w:rsidR="004A24CB" w:rsidRPr="00E8457B" w:rsidRDefault="004A24CB" w:rsidP="004A24CB">
      <w:r w:rsidRPr="00E8457B">
        <w:t>1.13</w:t>
      </w:r>
      <w:r w:rsidRPr="00E8457B">
        <w:tab/>
        <w:t xml:space="preserve">considerar la identificación de bandas de frecuencias para el futuro despliegue de las Telecomunicaciones Móviles Internacionales </w:t>
      </w:r>
      <w:r w:rsidRPr="00E8457B">
        <w:rPr>
          <w:lang w:eastAsia="ja-JP"/>
        </w:rPr>
        <w:t>(</w:t>
      </w:r>
      <w:r w:rsidRPr="00E8457B">
        <w:t>IMT</w:t>
      </w:r>
      <w:r w:rsidRPr="00E8457B">
        <w:rPr>
          <w:lang w:eastAsia="ko-KR"/>
        </w:rPr>
        <w:t>)</w:t>
      </w:r>
      <w:r w:rsidRPr="00E8457B">
        <w:t>, incluidas posibles atribuciones adicionales al servicio móvil a título primario, de conformidad con la Resolución </w:t>
      </w:r>
      <w:r w:rsidRPr="00E8457B">
        <w:rPr>
          <w:rFonts w:eastAsia="SimSun"/>
          <w:b/>
          <w:szCs w:val="24"/>
          <w:lang w:eastAsia="zh-CN"/>
        </w:rPr>
        <w:t>238 (CMR-15)</w:t>
      </w:r>
      <w:r w:rsidRPr="00E8457B">
        <w:rPr>
          <w:rFonts w:eastAsia="SimSun"/>
          <w:szCs w:val="24"/>
          <w:lang w:eastAsia="zh-CN"/>
        </w:rPr>
        <w:t>;</w:t>
      </w:r>
    </w:p>
    <w:p w:rsidR="004A24CB" w:rsidRPr="00E8457B" w:rsidRDefault="004A24CB" w:rsidP="004A24CB">
      <w:r w:rsidRPr="00E8457B">
        <w:t>1.14</w:t>
      </w:r>
      <w:r w:rsidRPr="00E8457B">
        <w:tab/>
        <w:t>considerar, basándose en los estudios del UIT</w:t>
      </w:r>
      <w:r w:rsidRPr="00E8457B">
        <w:noBreakHyphen/>
        <w:t>R, de conformidad con la Resolución </w:t>
      </w:r>
      <w:r w:rsidRPr="00E8457B">
        <w:rPr>
          <w:b/>
          <w:bCs/>
        </w:rPr>
        <w:t>160 (CMR-15),</w:t>
      </w:r>
      <w:r w:rsidRPr="00E8457B">
        <w:t xml:space="preserve"> medidas reglamentarias apropiadas para las estaciones en plataformas a gran altitud (HAPS), dentro de las atribuciones del servicio fijo existentes;</w:t>
      </w:r>
    </w:p>
    <w:p w:rsidR="004A24CB" w:rsidRPr="00E8457B" w:rsidRDefault="004A24CB" w:rsidP="004A24CB">
      <w:r w:rsidRPr="00E8457B">
        <w:t>1.15</w:t>
      </w:r>
      <w:r w:rsidRPr="00E8457B">
        <w:tab/>
        <w:t>considerar la identificación de bandas de frecuencias para su utilización por las administraciones para las aplicaciones de los servicios móvil terrestre y fijo que funcionan en la gama de frecuencias 275-450 GHz, de conformidad con la Resolución </w:t>
      </w:r>
      <w:r w:rsidRPr="00E8457B">
        <w:rPr>
          <w:b/>
        </w:rPr>
        <w:t>767 (CMR-15)</w:t>
      </w:r>
      <w:r w:rsidRPr="00E8457B">
        <w:t>;</w:t>
      </w:r>
    </w:p>
    <w:p w:rsidR="004A24CB" w:rsidRPr="00E8457B" w:rsidRDefault="004A24CB" w:rsidP="004A24CB">
      <w:r w:rsidRPr="00E8457B">
        <w:t>1.16</w:t>
      </w:r>
      <w:r w:rsidRPr="00E8457B">
        <w:tab/>
      </w:r>
      <w:r w:rsidRPr="00E8457B">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E8457B">
        <w:rPr>
          <w:b/>
          <w:bCs/>
          <w:spacing w:val="-4"/>
        </w:rPr>
        <w:t>239 (CMR</w:t>
      </w:r>
      <w:r w:rsidRPr="00E8457B">
        <w:rPr>
          <w:b/>
          <w:bCs/>
          <w:spacing w:val="-4"/>
        </w:rPr>
        <w:noBreakHyphen/>
        <w:t>15)</w:t>
      </w:r>
      <w:r w:rsidRPr="00E8457B">
        <w:t>;</w:t>
      </w:r>
    </w:p>
    <w:p w:rsidR="004A24CB" w:rsidRPr="00E8457B" w:rsidRDefault="004A24CB" w:rsidP="004A24CB">
      <w:r w:rsidRPr="00E8457B">
        <w:t>2</w:t>
      </w:r>
      <w:r w:rsidRPr="00E8457B">
        <w:tab/>
        <w:t>examinar las Recomendaciones UIT</w:t>
      </w:r>
      <w:r w:rsidRPr="00E8457B">
        <w:noBreakHyphen/>
        <w:t xml:space="preserve">R revisadas e incorporadas por referencia en el Reglamento de Radiocomunicaciones, comunicadas por la Asamblea de Radiocomunicaciones de acuerdo con la Resolución </w:t>
      </w:r>
      <w:r w:rsidRPr="00E8457B">
        <w:rPr>
          <w:b/>
          <w:bCs/>
        </w:rPr>
        <w:t>28 (Rev.CMR-15)</w:t>
      </w:r>
      <w:r w:rsidRPr="00E8457B">
        <w:t>, y decidir si se actualizan o no las referencias correspondientes en el Reglamento de Radiocomunicaciones, con arreglo a los principios contenidos en el Anexo 1 a la Resolución </w:t>
      </w:r>
      <w:r w:rsidRPr="00E8457B">
        <w:rPr>
          <w:b/>
          <w:bCs/>
        </w:rPr>
        <w:t>27 (Rev.CMR-12)</w:t>
      </w:r>
      <w:r w:rsidRPr="00E8457B">
        <w:t xml:space="preserve">; </w:t>
      </w:r>
    </w:p>
    <w:p w:rsidR="004A24CB" w:rsidRPr="00E8457B" w:rsidRDefault="004A24CB" w:rsidP="004A24CB">
      <w:r w:rsidRPr="00E8457B">
        <w:t>3</w:t>
      </w:r>
      <w:r w:rsidRPr="00E8457B">
        <w:tab/>
        <w:t>examinar los cambios y las modificaciones consiguientes en el Reglamento de Radiocomunicaciones que requieran las decisiones de la Conferencia;</w:t>
      </w:r>
    </w:p>
    <w:p w:rsidR="004A24CB" w:rsidRPr="00E8457B" w:rsidRDefault="004A24CB" w:rsidP="004A24CB">
      <w:r w:rsidRPr="00E8457B">
        <w:t>4</w:t>
      </w:r>
      <w:r w:rsidRPr="00E8457B">
        <w:tab/>
        <w:t>de conformidad con la Resolución </w:t>
      </w:r>
      <w:r w:rsidRPr="00E8457B">
        <w:rPr>
          <w:b/>
          <w:bCs/>
        </w:rPr>
        <w:t>95 (Rev.CMR-07</w:t>
      </w:r>
      <w:r w:rsidRPr="00E8457B">
        <w:t>), considerar las Resoluciones y Recomendaciones de las conferencias anteriores para su posible revisión, sustitución o supresión;</w:t>
      </w:r>
    </w:p>
    <w:p w:rsidR="004A24CB" w:rsidRPr="00E8457B" w:rsidRDefault="004A24CB" w:rsidP="004A24CB">
      <w:r w:rsidRPr="00E8457B">
        <w:t>5</w:t>
      </w:r>
      <w:r w:rsidRPr="00E8457B">
        <w:tab/>
        <w:t>examinar el Informe de la Asamblea de Radiocomunicaciones presentado de acuerdo con los números 135 y 136 del Convenio, y tomar las medidas adecuadas al respecto;</w:t>
      </w:r>
    </w:p>
    <w:p w:rsidR="004A24CB" w:rsidRPr="00E8457B" w:rsidRDefault="004A24CB" w:rsidP="004A24CB">
      <w:r w:rsidRPr="00E8457B">
        <w:t>6</w:t>
      </w:r>
      <w:r w:rsidRPr="00E8457B">
        <w:tab/>
        <w:t>identificar los temas que exigen medidas urgentes de las Comisiones de Estudio de Radiocomunicaciones para la preparación de la próxima Conferencia Mundial de Radiocomunicaciones;</w:t>
      </w:r>
    </w:p>
    <w:p w:rsidR="004A24CB" w:rsidRPr="00E8457B" w:rsidRDefault="004A24CB" w:rsidP="004A24CB">
      <w:r w:rsidRPr="00E8457B">
        <w:t>7</w:t>
      </w:r>
      <w:r w:rsidRPr="00E8457B">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rsidR="004A24CB" w:rsidRPr="00E8457B" w:rsidRDefault="004A24CB" w:rsidP="004A24CB">
      <w:r w:rsidRPr="00E8457B">
        <w:lastRenderedPageBreak/>
        <w:t>8</w:t>
      </w:r>
      <w:r w:rsidRPr="00E8457B">
        <w:tab/>
        <w:t xml:space="preserve">examinar las peticiones de las administraciones de suprimir las notas de sus países o de que se suprima el nombre de sus países de las notas, cuando ya no sea necesario, teniendo en cuenta la Resolución </w:t>
      </w:r>
      <w:r w:rsidRPr="00E8457B">
        <w:rPr>
          <w:b/>
          <w:bCs/>
        </w:rPr>
        <w:t>26 (Rev.CMR-07</w:t>
      </w:r>
      <w:r w:rsidRPr="00E8457B">
        <w:t>), y adoptar las medidas oportunas al respecto;</w:t>
      </w:r>
    </w:p>
    <w:p w:rsidR="004A24CB" w:rsidRPr="00E8457B" w:rsidRDefault="004A24CB" w:rsidP="004A24CB">
      <w:r w:rsidRPr="00E8457B">
        <w:t>9</w:t>
      </w:r>
      <w:r w:rsidRPr="00E8457B">
        <w:tab/>
        <w:t>examinar y aprobar el Informe del Director de la Oficina de Radiocomunicaciones, de conformidad con el Artículo 7 del Convenio:</w:t>
      </w:r>
    </w:p>
    <w:p w:rsidR="004A24CB" w:rsidRPr="00E8457B" w:rsidRDefault="004A24CB" w:rsidP="004A24CB">
      <w:r w:rsidRPr="00E8457B">
        <w:t>9.1</w:t>
      </w:r>
      <w:r w:rsidRPr="00E8457B">
        <w:tab/>
        <w:t>sobre las actividades del Sector de Radiocomunicaciones desde la CMR</w:t>
      </w:r>
      <w:r w:rsidRPr="00E8457B">
        <w:noBreakHyphen/>
        <w:t>15;</w:t>
      </w:r>
    </w:p>
    <w:p w:rsidR="004A24CB" w:rsidRPr="00E8457B" w:rsidRDefault="004A24CB" w:rsidP="004A24CB">
      <w:r w:rsidRPr="00E8457B">
        <w:t>9.2</w:t>
      </w:r>
      <w:r w:rsidRPr="00E8457B">
        <w:tab/>
        <w:t>sobre las dificultades o incoherencias observadas en la aplicación del Reglamento de Radiocomunicaciones</w:t>
      </w:r>
      <w:r w:rsidRPr="00E8457B">
        <w:rPr>
          <w:position w:val="6"/>
          <w:sz w:val="18"/>
        </w:rPr>
        <w:footnoteReference w:customMarkFollows="1" w:id="1"/>
        <w:t>*</w:t>
      </w:r>
      <w:r w:rsidRPr="00E8457B">
        <w:t>; y</w:t>
      </w:r>
    </w:p>
    <w:p w:rsidR="004A24CB" w:rsidRPr="00E8457B" w:rsidRDefault="004A24CB" w:rsidP="004A24CB">
      <w:r w:rsidRPr="00E8457B">
        <w:t>9.3</w:t>
      </w:r>
      <w:r w:rsidRPr="00E8457B">
        <w:tab/>
        <w:t xml:space="preserve">sobre acciones en respuesta a la Resolución </w:t>
      </w:r>
      <w:r w:rsidRPr="00E8457B">
        <w:rPr>
          <w:b/>
          <w:bCs/>
        </w:rPr>
        <w:t>80 (Rev.CMR-07</w:t>
      </w:r>
      <w:r w:rsidRPr="00E8457B">
        <w:t>);</w:t>
      </w:r>
    </w:p>
    <w:p w:rsidR="004A24CB" w:rsidRPr="00E8457B" w:rsidRDefault="004A24CB" w:rsidP="004A24CB">
      <w:r w:rsidRPr="00E8457B">
        <w:t>10</w:t>
      </w:r>
      <w:r w:rsidRPr="00E8457B">
        <w:tab/>
        <w:t>recomendar al Consejo los puntos que han de incluirse en el orden del día de la próxima CMR, y formular opiniones sobre el orden del día preliminar de la conferencia subsiguiente y sobre los posibles órdenes del día de futuras conferencias,</w:t>
      </w:r>
      <w:bookmarkStart w:id="7" w:name="_GoBack"/>
      <w:bookmarkEnd w:id="7"/>
    </w:p>
    <w:p w:rsidR="004A24CB" w:rsidRPr="00E8457B" w:rsidRDefault="004A24CB" w:rsidP="004A24CB">
      <w:pPr>
        <w:pStyle w:val="Call"/>
      </w:pPr>
      <w:r w:rsidRPr="00E8457B">
        <w:t>encarga al Director de la Oficina de Radiocomunicaciones</w:t>
      </w:r>
    </w:p>
    <w:p w:rsidR="004A24CB" w:rsidRPr="00E8457B" w:rsidRDefault="004A24CB" w:rsidP="004A24CB">
      <w:pPr>
        <w:tabs>
          <w:tab w:val="clear" w:pos="567"/>
          <w:tab w:val="clear" w:pos="1701"/>
          <w:tab w:val="clear" w:pos="2835"/>
          <w:tab w:val="left" w:pos="1871"/>
        </w:tabs>
        <w:rPr>
          <w:rFonts w:asciiTheme="minorHAnsi" w:hAnsiTheme="minorHAnsi" w:cstheme="minorHAnsi"/>
        </w:rPr>
      </w:pPr>
      <w:r w:rsidRPr="00E8457B">
        <w:rPr>
          <w:rFonts w:asciiTheme="minorHAnsi" w:hAnsiTheme="minorHAnsi" w:cstheme="minorHAnsi"/>
        </w:rPr>
        <w:t>que tome las medidas necesarias para convocar las sesiones de la Reunión Preparatoria de la Conferencia y elabore un Informe a la CMR</w:t>
      </w:r>
      <w:r w:rsidRPr="00E8457B">
        <w:rPr>
          <w:rFonts w:asciiTheme="minorHAnsi" w:hAnsiTheme="minorHAnsi" w:cstheme="minorHAnsi"/>
        </w:rPr>
        <w:noBreakHyphen/>
        <w:t>19,</w:t>
      </w:r>
    </w:p>
    <w:p w:rsidR="004A24CB" w:rsidRPr="00E8457B" w:rsidRDefault="004A24CB" w:rsidP="004A24CB">
      <w:pPr>
        <w:pStyle w:val="Call"/>
      </w:pPr>
      <w:r w:rsidRPr="00E8457B">
        <w:t>encarga al Secretario General</w:t>
      </w:r>
    </w:p>
    <w:p w:rsidR="004A24CB" w:rsidRDefault="004A24CB" w:rsidP="004A24CB">
      <w:pPr>
        <w:tabs>
          <w:tab w:val="clear" w:pos="567"/>
          <w:tab w:val="clear" w:pos="1701"/>
          <w:tab w:val="clear" w:pos="2835"/>
          <w:tab w:val="left" w:pos="1871"/>
        </w:tabs>
        <w:rPr>
          <w:rFonts w:asciiTheme="minorHAnsi" w:hAnsiTheme="minorHAnsi" w:cstheme="minorHAnsi"/>
        </w:rPr>
      </w:pPr>
      <w:r w:rsidRPr="00E8457B">
        <w:rPr>
          <w:rFonts w:asciiTheme="minorHAnsi" w:hAnsiTheme="minorHAnsi" w:cstheme="minorHAnsi"/>
        </w:rPr>
        <w:t>1</w:t>
      </w:r>
      <w:r w:rsidRPr="00E8457B">
        <w:rPr>
          <w:rFonts w:asciiTheme="minorHAnsi" w:hAnsiTheme="minorHAnsi" w:cstheme="minorHAnsi"/>
        </w:rPr>
        <w:tab/>
      </w:r>
      <w:r w:rsidR="005A1144">
        <w:rPr>
          <w:rFonts w:asciiTheme="minorHAnsi" w:hAnsiTheme="minorHAnsi" w:cstheme="minorHAnsi"/>
        </w:rPr>
        <w:t xml:space="preserve">consultar </w:t>
      </w:r>
      <w:r>
        <w:rPr>
          <w:rFonts w:asciiTheme="minorHAnsi" w:hAnsiTheme="minorHAnsi" w:cstheme="minorHAnsi"/>
        </w:rPr>
        <w:t xml:space="preserve">a los Estados Miembros sobre el lugar concreto y las fechas exactas de la Conferencia </w:t>
      </w:r>
      <w:r w:rsidRPr="005A1144">
        <w:t>Mundial</w:t>
      </w:r>
      <w:r>
        <w:rPr>
          <w:rFonts w:asciiTheme="minorHAnsi" w:hAnsiTheme="minorHAnsi" w:cstheme="minorHAnsi"/>
        </w:rPr>
        <w:t xml:space="preserve"> de Radiocomunicaciones y la Asamblea de Radiocomunicaciones de 2019, así como sobre el orden del día de la Conferencia Mundial de Radiocomunicaciones de 2019;</w:t>
      </w:r>
    </w:p>
    <w:p w:rsidR="004A24CB" w:rsidRPr="00E8457B" w:rsidRDefault="004A24CB" w:rsidP="004A24CB">
      <w:pPr>
        <w:tabs>
          <w:tab w:val="clear" w:pos="567"/>
          <w:tab w:val="clear" w:pos="1701"/>
          <w:tab w:val="clear" w:pos="2835"/>
          <w:tab w:val="left" w:pos="1871"/>
        </w:tabs>
      </w:pPr>
      <w:r>
        <w:t>2</w:t>
      </w:r>
      <w:r>
        <w:tab/>
      </w:r>
      <w:r w:rsidR="005A1144" w:rsidRPr="00E8457B">
        <w:t xml:space="preserve">adoptar </w:t>
      </w:r>
      <w:r w:rsidRPr="00E8457B">
        <w:t>todas las disposiciones necesarias, de acuerdo con el Director de la Oficina de Radiocomunicaciones, para la convocatoria de la Conferencia;</w:t>
      </w:r>
    </w:p>
    <w:p w:rsidR="004A24CB" w:rsidRPr="00E8457B" w:rsidRDefault="004A24CB" w:rsidP="004A24CB">
      <w:pPr>
        <w:tabs>
          <w:tab w:val="clear" w:pos="567"/>
          <w:tab w:val="clear" w:pos="1701"/>
          <w:tab w:val="clear" w:pos="2835"/>
          <w:tab w:val="left" w:pos="1871"/>
        </w:tabs>
        <w:rPr>
          <w:rFonts w:asciiTheme="minorHAnsi" w:hAnsiTheme="minorHAnsi" w:cstheme="minorHAnsi"/>
        </w:rPr>
      </w:pPr>
      <w:r>
        <w:t>3</w:t>
      </w:r>
      <w:r w:rsidRPr="00E8457B">
        <w:tab/>
      </w:r>
      <w:r w:rsidRPr="005A1144">
        <w:t>que</w:t>
      </w:r>
      <w:r w:rsidRPr="00E8457B">
        <w:rPr>
          <w:rFonts w:asciiTheme="minorHAnsi" w:hAnsiTheme="minorHAnsi" w:cstheme="minorHAnsi"/>
        </w:rPr>
        <w:t xml:space="preserve"> comunique la presente Resolución a las organizaciones internacionales y regionales interesadas.</w:t>
      </w:r>
    </w:p>
    <w:p w:rsidR="007B0DB8" w:rsidRDefault="007B0DB8" w:rsidP="0032202E">
      <w:pPr>
        <w:pStyle w:val="Reasons"/>
      </w:pPr>
    </w:p>
    <w:p w:rsidR="007B0DB8" w:rsidRDefault="007B0DB8">
      <w:pPr>
        <w:jc w:val="center"/>
      </w:pPr>
      <w:r>
        <w:t>______________</w:t>
      </w:r>
    </w:p>
    <w:sectPr w:rsidR="007B0DB8"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CB" w:rsidRDefault="004A24CB">
      <w:r>
        <w:separator/>
      </w:r>
    </w:p>
  </w:endnote>
  <w:endnote w:type="continuationSeparator" w:id="0">
    <w:p w:rsidR="004A24CB" w:rsidRDefault="004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02613" w:rsidRDefault="0077252D" w:rsidP="00302613">
    <w:pPr>
      <w:pStyle w:val="Footer"/>
      <w:rPr>
        <w:lang w:val="fr-CH"/>
      </w:rPr>
    </w:pPr>
    <w:r>
      <w:fldChar w:fldCharType="begin"/>
    </w:r>
    <w:r w:rsidRPr="00302613">
      <w:rPr>
        <w:lang w:val="fr-CH"/>
      </w:rPr>
      <w:instrText xml:space="preserve"> FILENAME \p \* MERGEFORMAT </w:instrText>
    </w:r>
    <w:r>
      <w:fldChar w:fldCharType="separate"/>
    </w:r>
    <w:r w:rsidR="005A1144">
      <w:rPr>
        <w:lang w:val="fr-CH"/>
      </w:rPr>
      <w:t>P:\ESP\SG\CONSEIL\C17\100\141S.docx</w:t>
    </w:r>
    <w:r>
      <w:rPr>
        <w:lang w:val="en-US"/>
      </w:rPr>
      <w:fldChar w:fldCharType="end"/>
    </w:r>
    <w:r w:rsidR="00302613" w:rsidRPr="00302613">
      <w:rPr>
        <w:lang w:val="fr-CH"/>
      </w:rPr>
      <w:t xml:space="preserve"> (419470)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CB" w:rsidRDefault="004A24CB">
      <w:r>
        <w:t>____________________</w:t>
      </w:r>
    </w:p>
  </w:footnote>
  <w:footnote w:type="continuationSeparator" w:id="0">
    <w:p w:rsidR="004A24CB" w:rsidRDefault="004A24CB">
      <w:r>
        <w:continuationSeparator/>
      </w:r>
    </w:p>
  </w:footnote>
  <w:footnote w:id="1">
    <w:p w:rsidR="004A24CB" w:rsidRDefault="004A24CB" w:rsidP="004A24CB">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A1144">
      <w:rPr>
        <w:noProof/>
      </w:rPr>
      <w:t>4</w:t>
    </w:r>
    <w:r>
      <w:rPr>
        <w:noProof/>
      </w:rPr>
      <w:fldChar w:fldCharType="end"/>
    </w:r>
  </w:p>
  <w:p w:rsidR="00760F1C" w:rsidRDefault="00760F1C" w:rsidP="00B8298E">
    <w:pPr>
      <w:pStyle w:val="Header"/>
    </w:pPr>
    <w:r>
      <w:t>C</w:t>
    </w:r>
    <w:r w:rsidR="007F350B">
      <w:t>1</w:t>
    </w:r>
    <w:r w:rsidR="00B8298E">
      <w:t>7</w:t>
    </w:r>
    <w:r w:rsidR="004A24CB">
      <w:t>/141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CB"/>
    <w:rsid w:val="00093EEB"/>
    <w:rsid w:val="000B0D00"/>
    <w:rsid w:val="000B7C15"/>
    <w:rsid w:val="000D1D0F"/>
    <w:rsid w:val="000F5290"/>
    <w:rsid w:val="0010165C"/>
    <w:rsid w:val="00146BFB"/>
    <w:rsid w:val="001F14A2"/>
    <w:rsid w:val="002801AA"/>
    <w:rsid w:val="002C4676"/>
    <w:rsid w:val="002C70B0"/>
    <w:rsid w:val="002F3CC4"/>
    <w:rsid w:val="00302613"/>
    <w:rsid w:val="00390BB3"/>
    <w:rsid w:val="004A24CB"/>
    <w:rsid w:val="00513630"/>
    <w:rsid w:val="00560125"/>
    <w:rsid w:val="00585553"/>
    <w:rsid w:val="005A1144"/>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B0DB8"/>
    <w:rsid w:val="007E5DD3"/>
    <w:rsid w:val="007F350B"/>
    <w:rsid w:val="00820BE4"/>
    <w:rsid w:val="008451E8"/>
    <w:rsid w:val="00913B9C"/>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7A51E9-45E4-4F7D-9B36-2E40BDC2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5</TotalTime>
  <Pages>4</Pages>
  <Words>1593</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10721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5</cp:revision>
  <cp:lastPrinted>2017-06-12T07:59:00Z</cp:lastPrinted>
  <dcterms:created xsi:type="dcterms:W3CDTF">2017-06-12T07:54:00Z</dcterms:created>
  <dcterms:modified xsi:type="dcterms:W3CDTF">2017-06-12T08:00:00Z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