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9513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495135">
              <w:rPr>
                <w:rFonts w:eastAsiaTheme="minorEastAsia"/>
                <w:b/>
                <w:bCs/>
                <w:lang w:eastAsia="zh-CN" w:bidi="ar-SY"/>
              </w:rPr>
              <w:t>138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Default="00653AFC" w:rsidP="00495135">
      <w:pPr>
        <w:pStyle w:val="ResNo"/>
        <w:spacing w:before="720"/>
        <w:rPr>
          <w:rtl/>
          <w:lang w:bidi="ar-SA"/>
        </w:rPr>
      </w:pPr>
      <w:r>
        <w:rPr>
          <w:rtl/>
        </w:rPr>
        <w:t xml:space="preserve">القرار </w:t>
      </w:r>
      <w:r>
        <w:rPr>
          <w:lang w:val="fr-FR"/>
        </w:rPr>
        <w:t>138</w:t>
      </w:r>
      <w:r w:rsidR="00495135">
        <w:rPr>
          <w:lang w:val="fr-FR"/>
        </w:rPr>
        <w:t>9</w:t>
      </w:r>
    </w:p>
    <w:p w:rsidR="00653AFC" w:rsidRPr="003D1347" w:rsidRDefault="00653AFC" w:rsidP="00495135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495135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495135" w:rsidRDefault="00495135" w:rsidP="00022A8C">
      <w:pPr>
        <w:pStyle w:val="Resolutiontitle"/>
        <w:rPr>
          <w:rtl/>
          <w:lang w:bidi="ar-EG"/>
        </w:rPr>
      </w:pPr>
      <w:bookmarkStart w:id="1" w:name="_Toc364435673"/>
      <w:r>
        <w:rPr>
          <w:rtl/>
        </w:rPr>
        <w:t xml:space="preserve">تقرير الإدارة المالية للسنة المالية </w:t>
      </w:r>
      <w:bookmarkEnd w:id="1"/>
      <w:r>
        <w:rPr>
          <w:lang w:val="en-GB" w:bidi="ar-EG"/>
        </w:rPr>
        <w:t>2016</w:t>
      </w:r>
    </w:p>
    <w:p w:rsidR="00495135" w:rsidRDefault="00495135" w:rsidP="00495135">
      <w:pPr>
        <w:pStyle w:val="Normalaftertitle"/>
        <w:rPr>
          <w:rtl/>
          <w:lang w:bidi="ar-EG"/>
        </w:rPr>
      </w:pPr>
      <w:r>
        <w:rPr>
          <w:rtl/>
          <w:lang w:bidi="ar-SY"/>
        </w:rPr>
        <w:t>إن المجلس،</w:t>
      </w:r>
    </w:p>
    <w:p w:rsidR="00495135" w:rsidRDefault="00495135" w:rsidP="00495135">
      <w:pPr>
        <w:pStyle w:val="Call"/>
        <w:rPr>
          <w:rtl/>
        </w:rPr>
      </w:pPr>
      <w:r>
        <w:rPr>
          <w:rtl/>
        </w:rPr>
        <w:t>إذ يأخذ بعين الاعتبار</w:t>
      </w:r>
    </w:p>
    <w:p w:rsidR="00495135" w:rsidRPr="00C74EEA" w:rsidRDefault="00495135" w:rsidP="00495135">
      <w:pPr>
        <w:rPr>
          <w:rtl/>
        </w:rPr>
      </w:pPr>
      <w:r w:rsidRPr="00C74EEA">
        <w:rPr>
          <w:rtl/>
        </w:rPr>
        <w:t xml:space="preserve">أحكام </w:t>
      </w:r>
      <w:hyperlink r:id="rId11" w:history="1">
        <w:r w:rsidRPr="00C74EEA">
          <w:rPr>
            <w:rStyle w:val="Hyperlink"/>
            <w:rtl/>
          </w:rPr>
          <w:t>الرقم </w:t>
        </w:r>
        <w:r w:rsidRPr="00C74EEA">
          <w:rPr>
            <w:rStyle w:val="Hyperlink"/>
            <w:lang w:bidi="ar-EG"/>
          </w:rPr>
          <w:t>101</w:t>
        </w:r>
      </w:hyperlink>
      <w:r w:rsidRPr="00C74EEA">
        <w:rPr>
          <w:rtl/>
        </w:rPr>
        <w:t xml:space="preserve"> من اتفاقية الاتحاد الدولي للاتصالات و</w:t>
      </w:r>
      <w:hyperlink r:id="rId12" w:history="1">
        <w:r w:rsidRPr="00C74EEA">
          <w:rPr>
            <w:rStyle w:val="Hyperlink"/>
            <w:rtl/>
          </w:rPr>
          <w:t xml:space="preserve">المادة </w:t>
        </w:r>
        <w:r w:rsidRPr="00C74EEA">
          <w:rPr>
            <w:rStyle w:val="Hyperlink"/>
            <w:lang w:bidi="ar-EG"/>
          </w:rPr>
          <w:t>30</w:t>
        </w:r>
      </w:hyperlink>
      <w:r w:rsidRPr="00C74EEA">
        <w:rPr>
          <w:rtl/>
        </w:rPr>
        <w:t xml:space="preserve"> من اللوائح المالية للاتحاد،</w:t>
      </w:r>
    </w:p>
    <w:p w:rsidR="00495135" w:rsidRDefault="00495135" w:rsidP="00495135">
      <w:pPr>
        <w:pStyle w:val="Call"/>
        <w:rPr>
          <w:rtl/>
        </w:rPr>
      </w:pPr>
      <w:r>
        <w:rPr>
          <w:rtl/>
        </w:rPr>
        <w:t>وقد اطّلع على</w:t>
      </w:r>
    </w:p>
    <w:p w:rsidR="00495135" w:rsidRPr="00C74EEA" w:rsidRDefault="00495135" w:rsidP="0035689A">
      <w:pPr>
        <w:rPr>
          <w:rtl/>
        </w:rPr>
      </w:pPr>
      <w:r w:rsidRPr="00C74EEA">
        <w:rPr>
          <w:rtl/>
        </w:rPr>
        <w:t>تقرير الإدارة المالية للسنة المالية</w:t>
      </w:r>
      <w:r w:rsidR="00ED10E4">
        <w:rPr>
          <w:rFonts w:hint="cs"/>
          <w:rtl/>
        </w:rPr>
        <w:t xml:space="preserve"> </w:t>
      </w:r>
      <w:r w:rsidRPr="00C74EEA">
        <w:rPr>
          <w:lang w:val="fr-CH" w:bidi="ar-EG"/>
        </w:rPr>
        <w:t>2016</w:t>
      </w:r>
      <w:r w:rsidRPr="00C74EEA">
        <w:rPr>
          <w:rtl/>
          <w:lang w:val="fr-CH"/>
        </w:rPr>
        <w:t xml:space="preserve"> </w:t>
      </w:r>
      <w:r w:rsidRPr="00C74EEA">
        <w:rPr>
          <w:rtl/>
        </w:rPr>
        <w:t>(</w:t>
      </w:r>
      <w:hyperlink r:id="rId13" w:history="1">
        <w:r w:rsidRPr="00C74EEA">
          <w:rPr>
            <w:rStyle w:val="Hyperlink"/>
            <w:rtl/>
          </w:rPr>
          <w:t xml:space="preserve">الوثيقة </w:t>
        </w:r>
        <w:r w:rsidRPr="00C74EEA">
          <w:rPr>
            <w:rStyle w:val="Hyperlink"/>
            <w:lang w:bidi="ar-EG"/>
          </w:rPr>
          <w:t>C17/42</w:t>
        </w:r>
      </w:hyperlink>
      <w:r w:rsidRPr="00C74EEA">
        <w:rPr>
          <w:rtl/>
        </w:rPr>
        <w:t xml:space="preserve">) </w:t>
      </w:r>
      <w:r w:rsidR="0063559F">
        <w:rPr>
          <w:rFonts w:hint="cs"/>
          <w:rtl/>
        </w:rPr>
        <w:t>عن</w:t>
      </w:r>
      <w:r w:rsidRPr="00C74EEA">
        <w:rPr>
          <w:rtl/>
        </w:rPr>
        <w:t xml:space="preserve"> الحسابات المراج</w:t>
      </w:r>
      <w:r w:rsidR="00CE1D8D">
        <w:rPr>
          <w:rFonts w:hint="cs"/>
          <w:rtl/>
        </w:rPr>
        <w:t>َ</w:t>
      </w:r>
      <w:r w:rsidRPr="00C74EEA">
        <w:rPr>
          <w:rtl/>
        </w:rPr>
        <w:t xml:space="preserve">عة للسنة المالية </w:t>
      </w:r>
      <w:r w:rsidRPr="00C74EEA">
        <w:rPr>
          <w:lang w:val="fr-CH" w:bidi="ar-EG"/>
        </w:rPr>
        <w:t>2016</w:t>
      </w:r>
      <w:r w:rsidRPr="00C74EEA">
        <w:rPr>
          <w:rtl/>
        </w:rPr>
        <w:t xml:space="preserve"> لميزانية الاتحاد</w:t>
      </w:r>
      <w:r w:rsidR="00F72E2E">
        <w:rPr>
          <w:rFonts w:hint="cs"/>
          <w:rtl/>
          <w:lang w:bidi="ar-EG"/>
        </w:rPr>
        <w:t>،</w:t>
      </w:r>
      <w:r w:rsidRPr="00C74EEA">
        <w:rPr>
          <w:rtl/>
        </w:rPr>
        <w:t xml:space="preserve"> وكذلك حالة حسابات معارض تليكوم</w:t>
      </w:r>
      <w:r w:rsidR="0063559F">
        <w:rPr>
          <w:rFonts w:hint="cs"/>
          <w:rtl/>
          <w:lang w:bidi="ar-EG"/>
        </w:rPr>
        <w:t xml:space="preserve"> الاتحاد</w:t>
      </w:r>
      <w:r w:rsidRPr="00C74EEA">
        <w:rPr>
          <w:rtl/>
        </w:rPr>
        <w:t xml:space="preserve"> لعام </w:t>
      </w:r>
      <w:r w:rsidRPr="00C74EEA">
        <w:rPr>
          <w:lang w:val="fr-CH" w:bidi="ar-EG"/>
        </w:rPr>
        <w:t>2016</w:t>
      </w:r>
      <w:r w:rsidRPr="00C74EEA">
        <w:rPr>
          <w:rtl/>
        </w:rPr>
        <w:t xml:space="preserve"> والحسابات المراج</w:t>
      </w:r>
      <w:r w:rsidR="009260A9">
        <w:rPr>
          <w:rFonts w:hint="cs"/>
          <w:rtl/>
        </w:rPr>
        <w:t>َ</w:t>
      </w:r>
      <w:r w:rsidRPr="00C74EEA">
        <w:rPr>
          <w:rtl/>
        </w:rPr>
        <w:t xml:space="preserve">عة لعام </w:t>
      </w:r>
      <w:r w:rsidRPr="00C74EEA">
        <w:rPr>
          <w:lang w:val="fr-CH" w:bidi="ar-EG"/>
        </w:rPr>
        <w:t>2016</w:t>
      </w:r>
      <w:r w:rsidRPr="00C74EEA">
        <w:rPr>
          <w:rtl/>
        </w:rPr>
        <w:t xml:space="preserve"> لمشاريع التعاون التقني</w:t>
      </w:r>
      <w:r w:rsidR="003B0054">
        <w:rPr>
          <w:rFonts w:hint="cs"/>
          <w:rtl/>
        </w:rPr>
        <w:t>،</w:t>
      </w:r>
      <w:r w:rsidRPr="00C74EEA">
        <w:rPr>
          <w:rtl/>
        </w:rPr>
        <w:t xml:space="preserve"> والمساهمات الطوعية وصندوق التأمينات لموظفي الاتحاد،</w:t>
      </w:r>
    </w:p>
    <w:p w:rsidR="00495135" w:rsidRDefault="00495135" w:rsidP="00495135">
      <w:pPr>
        <w:pStyle w:val="Call"/>
        <w:rPr>
          <w:rtl/>
        </w:rPr>
      </w:pPr>
      <w:r>
        <w:rPr>
          <w:rtl/>
        </w:rPr>
        <w:t>وقد أخذ علماً</w:t>
      </w:r>
    </w:p>
    <w:p w:rsidR="00495135" w:rsidRPr="00C74EEA" w:rsidRDefault="00495135" w:rsidP="0049517B">
      <w:pPr>
        <w:rPr>
          <w:rFonts w:hint="cs"/>
          <w:rtl/>
          <w:lang w:bidi="ar-EG"/>
        </w:rPr>
      </w:pPr>
      <w:r w:rsidRPr="00C74EEA">
        <w:rPr>
          <w:rtl/>
        </w:rPr>
        <w:t xml:space="preserve">بتقارير المراجع الخارجي </w:t>
      </w:r>
      <w:r w:rsidR="0049517B">
        <w:rPr>
          <w:rFonts w:hint="cs"/>
          <w:rtl/>
        </w:rPr>
        <w:t>للحسابات</w:t>
      </w:r>
      <w:r w:rsidRPr="00C74EEA">
        <w:rPr>
          <w:rtl/>
        </w:rPr>
        <w:t xml:space="preserve"> المعروضة في </w:t>
      </w:r>
      <w:hyperlink r:id="rId14" w:history="1">
        <w:r w:rsidRPr="00C74EEA">
          <w:rPr>
            <w:rStyle w:val="Hyperlink"/>
            <w:rtl/>
          </w:rPr>
          <w:t xml:space="preserve">الوثيقة </w:t>
        </w:r>
        <w:r w:rsidRPr="00C74EEA">
          <w:rPr>
            <w:rStyle w:val="Hyperlink"/>
            <w:lang w:bidi="ar-EG"/>
          </w:rPr>
          <w:t>C17/40</w:t>
        </w:r>
      </w:hyperlink>
      <w:r w:rsidRPr="00C74EEA">
        <w:rPr>
          <w:rtl/>
          <w:lang w:bidi="ar-EG"/>
        </w:rPr>
        <w:t>،</w:t>
      </w:r>
    </w:p>
    <w:p w:rsidR="00495135" w:rsidRDefault="00495135" w:rsidP="00495135">
      <w:pPr>
        <w:pStyle w:val="Call"/>
        <w:rPr>
          <w:rtl/>
        </w:rPr>
      </w:pPr>
      <w:r>
        <w:rPr>
          <w:rtl/>
        </w:rPr>
        <w:t>يقـرر</w:t>
      </w:r>
    </w:p>
    <w:p w:rsidR="00495135" w:rsidRPr="00C74EEA" w:rsidRDefault="00495135" w:rsidP="007226B6">
      <w:pPr>
        <w:rPr>
          <w:rtl/>
        </w:rPr>
      </w:pPr>
      <w:r w:rsidRPr="00C74EEA">
        <w:rPr>
          <w:rtl/>
        </w:rPr>
        <w:t xml:space="preserve">أن يوافق على تقرير الإدارة المالية للسنة المالية </w:t>
      </w:r>
      <w:r w:rsidRPr="00C74EEA">
        <w:rPr>
          <w:lang w:val="fr-CH" w:bidi="ar-EG"/>
        </w:rPr>
        <w:t>2016</w:t>
      </w:r>
      <w:r w:rsidRPr="00C74EEA">
        <w:rPr>
          <w:rtl/>
          <w:lang w:val="fr-CH"/>
        </w:rPr>
        <w:t xml:space="preserve"> </w:t>
      </w:r>
      <w:r w:rsidRPr="00C74EEA">
        <w:rPr>
          <w:rtl/>
        </w:rPr>
        <w:t>(</w:t>
      </w:r>
      <w:hyperlink r:id="rId15" w:history="1">
        <w:r w:rsidRPr="00C74EEA">
          <w:rPr>
            <w:rStyle w:val="Hyperlink"/>
            <w:rtl/>
          </w:rPr>
          <w:t xml:space="preserve">الوثيقة </w:t>
        </w:r>
        <w:r w:rsidRPr="00C74EEA">
          <w:rPr>
            <w:rStyle w:val="Hyperlink"/>
            <w:lang w:bidi="ar-EG"/>
          </w:rPr>
          <w:t>C17/42</w:t>
        </w:r>
      </w:hyperlink>
      <w:r w:rsidRPr="00C74EEA">
        <w:rPr>
          <w:rtl/>
        </w:rPr>
        <w:t xml:space="preserve">) </w:t>
      </w:r>
      <w:r w:rsidR="007226B6">
        <w:rPr>
          <w:rFonts w:hint="cs"/>
          <w:rtl/>
        </w:rPr>
        <w:t>عن</w:t>
      </w:r>
      <w:r w:rsidR="007226B6">
        <w:rPr>
          <w:rtl/>
        </w:rPr>
        <w:t xml:space="preserve"> </w:t>
      </w:r>
      <w:r w:rsidRPr="00C74EEA">
        <w:rPr>
          <w:rtl/>
        </w:rPr>
        <w:t>الحسابات المراج</w:t>
      </w:r>
      <w:r w:rsidR="0091118C">
        <w:rPr>
          <w:rFonts w:hint="cs"/>
          <w:rtl/>
        </w:rPr>
        <w:t>َ</w:t>
      </w:r>
      <w:r w:rsidRPr="00C74EEA">
        <w:rPr>
          <w:rtl/>
        </w:rPr>
        <w:t>عة للاتحاد</w:t>
      </w:r>
      <w:r w:rsidR="009F5E8C">
        <w:rPr>
          <w:rFonts w:hint="cs"/>
          <w:rtl/>
        </w:rPr>
        <w:t>،</w:t>
      </w:r>
      <w:r w:rsidRPr="00C74EEA">
        <w:rPr>
          <w:rtl/>
        </w:rPr>
        <w:t xml:space="preserve"> وحالة حسابات معارض</w:t>
      </w:r>
      <w:r w:rsidRPr="00C74EEA">
        <w:rPr>
          <w:rtl/>
          <w:lang w:bidi="ar-EG"/>
        </w:rPr>
        <w:t> </w:t>
      </w:r>
      <w:r w:rsidRPr="00C74EEA">
        <w:rPr>
          <w:rtl/>
        </w:rPr>
        <w:t>تليكوم</w:t>
      </w:r>
      <w:r w:rsidR="006B73A5">
        <w:rPr>
          <w:rFonts w:hint="cs"/>
          <w:rtl/>
        </w:rPr>
        <w:t xml:space="preserve"> الاتحاد</w:t>
      </w:r>
      <w:r w:rsidRPr="00C74EEA">
        <w:rPr>
          <w:rtl/>
        </w:rPr>
        <w:t xml:space="preserve"> لعام </w:t>
      </w:r>
      <w:r w:rsidRPr="00C74EEA">
        <w:rPr>
          <w:lang w:bidi="ar-EG"/>
        </w:rPr>
        <w:t>2016</w:t>
      </w:r>
      <w:r w:rsidRPr="00C74EEA">
        <w:rPr>
          <w:rtl/>
        </w:rPr>
        <w:t xml:space="preserve"> والحسابات المراجعة لعام </w:t>
      </w:r>
      <w:r w:rsidRPr="00C74EEA">
        <w:rPr>
          <w:lang w:bidi="ar-EG"/>
        </w:rPr>
        <w:t>2016</w:t>
      </w:r>
      <w:r w:rsidRPr="00C74EEA">
        <w:rPr>
          <w:rtl/>
        </w:rPr>
        <w:t xml:space="preserve"> المتعلقة بمشاريع التعاون التقني</w:t>
      </w:r>
      <w:r w:rsidR="009F5E8C">
        <w:rPr>
          <w:rFonts w:hint="cs"/>
          <w:rtl/>
        </w:rPr>
        <w:t>،</w:t>
      </w:r>
      <w:r w:rsidRPr="00C74EEA">
        <w:rPr>
          <w:rtl/>
        </w:rPr>
        <w:t xml:space="preserve"> والمساهمات الطوعية وصندوق التأمينات لموظفي</w:t>
      </w:r>
      <w:r w:rsidRPr="00C74EEA">
        <w:rPr>
          <w:rtl/>
          <w:lang w:bidi="ar-SY"/>
        </w:rPr>
        <w:t> </w:t>
      </w:r>
      <w:r w:rsidRPr="00C74EEA">
        <w:rPr>
          <w:rtl/>
        </w:rPr>
        <w:t>الاتحاد.</w:t>
      </w:r>
    </w:p>
    <w:p w:rsidR="00653AFC" w:rsidRDefault="00653AFC" w:rsidP="00653AFC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  <w:bookmarkStart w:id="2" w:name="_GoBack"/>
      <w:bookmarkEnd w:id="2"/>
    </w:p>
    <w:sectPr w:rsidR="00653AFC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495135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495135">
      <w:rPr>
        <w:noProof/>
        <w:lang w:val="fr-CH"/>
      </w:rPr>
      <w:t>P:\ARA\SG\CONSEIL\C17\100\138A.docx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495135">
      <w:rPr>
        <w:lang w:val="fr-CH"/>
      </w:rPr>
      <w:t>419353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95135">
      <w:rPr>
        <w:noProof/>
      </w:rPr>
      <w:t>07.06.17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495135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495135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495135">
      <w:rPr>
        <w:rFonts w:cs="Calibri"/>
        <w:noProof/>
        <w:vanish/>
        <w:lang w:val="fr-FR"/>
      </w:rPr>
      <w:t>P:\ARA\SG\CONSEIL\C17\100\138A.docx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495135">
      <w:rPr>
        <w:rFonts w:cs="Calibri"/>
        <w:vanish/>
        <w:lang w:val="fr-FR"/>
      </w:rPr>
      <w:t>419353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495135">
      <w:rPr>
        <w:rFonts w:cs="Calibri"/>
        <w:noProof/>
        <w:vanish/>
        <w:lang w:val="fr-FR"/>
      </w:rPr>
      <w:t>07.06.17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495135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15E29" w:rsidP="00495135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495135">
          <w:rPr>
            <w:rFonts w:eastAsiaTheme="minorEastAsia" w:cs="Calibri"/>
            <w:noProof/>
            <w:sz w:val="20"/>
            <w:szCs w:val="20"/>
            <w:lang w:eastAsia="zh-CN"/>
          </w:rPr>
          <w:t>138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22A8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0477"/>
    <w:rsid w:val="00173915"/>
    <w:rsid w:val="0022345D"/>
    <w:rsid w:val="00225854"/>
    <w:rsid w:val="0023283D"/>
    <w:rsid w:val="00252E0C"/>
    <w:rsid w:val="00276881"/>
    <w:rsid w:val="00277D76"/>
    <w:rsid w:val="002916BE"/>
    <w:rsid w:val="002978F4"/>
    <w:rsid w:val="002B028D"/>
    <w:rsid w:val="002B435E"/>
    <w:rsid w:val="002C4DAE"/>
    <w:rsid w:val="002D2E77"/>
    <w:rsid w:val="002D6669"/>
    <w:rsid w:val="002E6541"/>
    <w:rsid w:val="002F5560"/>
    <w:rsid w:val="0030486B"/>
    <w:rsid w:val="003231B9"/>
    <w:rsid w:val="003275AC"/>
    <w:rsid w:val="00333D29"/>
    <w:rsid w:val="003409F4"/>
    <w:rsid w:val="0035689A"/>
    <w:rsid w:val="00357185"/>
    <w:rsid w:val="003B0054"/>
    <w:rsid w:val="003C106D"/>
    <w:rsid w:val="003C475F"/>
    <w:rsid w:val="003D1347"/>
    <w:rsid w:val="003E4132"/>
    <w:rsid w:val="003F678F"/>
    <w:rsid w:val="0042686F"/>
    <w:rsid w:val="004367CE"/>
    <w:rsid w:val="00443869"/>
    <w:rsid w:val="004712C6"/>
    <w:rsid w:val="00495135"/>
    <w:rsid w:val="0049517B"/>
    <w:rsid w:val="00497703"/>
    <w:rsid w:val="004F0F06"/>
    <w:rsid w:val="004F7615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3559F"/>
    <w:rsid w:val="00653AFC"/>
    <w:rsid w:val="0065591D"/>
    <w:rsid w:val="00662C5A"/>
    <w:rsid w:val="00670AF5"/>
    <w:rsid w:val="006B73A5"/>
    <w:rsid w:val="006C1556"/>
    <w:rsid w:val="006F267F"/>
    <w:rsid w:val="006F63F7"/>
    <w:rsid w:val="006F6F03"/>
    <w:rsid w:val="00706D7A"/>
    <w:rsid w:val="007226B6"/>
    <w:rsid w:val="00726AEC"/>
    <w:rsid w:val="007530CA"/>
    <w:rsid w:val="0079553D"/>
    <w:rsid w:val="007B01CC"/>
    <w:rsid w:val="007C1D2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0203A"/>
    <w:rsid w:val="0091118C"/>
    <w:rsid w:val="00917694"/>
    <w:rsid w:val="009260A9"/>
    <w:rsid w:val="009263CD"/>
    <w:rsid w:val="00930E6D"/>
    <w:rsid w:val="00972CA2"/>
    <w:rsid w:val="00982B28"/>
    <w:rsid w:val="00984EA5"/>
    <w:rsid w:val="00992593"/>
    <w:rsid w:val="009C17E1"/>
    <w:rsid w:val="009C35ED"/>
    <w:rsid w:val="009F1A79"/>
    <w:rsid w:val="009F1C12"/>
    <w:rsid w:val="009F5E8C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C3CD2"/>
    <w:rsid w:val="00CC43BE"/>
    <w:rsid w:val="00CD123C"/>
    <w:rsid w:val="00CD2085"/>
    <w:rsid w:val="00CE1D8D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5E29"/>
    <w:rsid w:val="00E17033"/>
    <w:rsid w:val="00E22744"/>
    <w:rsid w:val="00E32189"/>
    <w:rsid w:val="00E45211"/>
    <w:rsid w:val="00E7380C"/>
    <w:rsid w:val="00E74BE7"/>
    <w:rsid w:val="00E86CC9"/>
    <w:rsid w:val="00E96624"/>
    <w:rsid w:val="00ED10E4"/>
    <w:rsid w:val="00EE4318"/>
    <w:rsid w:val="00F126F1"/>
    <w:rsid w:val="00F2106A"/>
    <w:rsid w:val="00F36D8B"/>
    <w:rsid w:val="00F401D0"/>
    <w:rsid w:val="00F45F2B"/>
    <w:rsid w:val="00F57AE4"/>
    <w:rsid w:val="00F67150"/>
    <w:rsid w:val="00F72E2E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3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title">
    <w:name w:val="Resolution title"/>
    <w:basedOn w:val="Normal"/>
    <w:qFormat/>
    <w:rsid w:val="00022A8C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-C-004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council/ties/Documents/cwg-fhr/Regl-fin-2010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-C-0042/e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7-CL-C-004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purl.org/dc/dcmitype/"/>
    <ds:schemaRef ds:uri="http://schemas.openxmlformats.org/package/2006/metadata/core-properties"/>
    <ds:schemaRef ds:uri="de10a323-94a9-4e93-88b4-ea964576960d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E614C3-DD51-403B-B648-6F46FA3E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18</cp:revision>
  <cp:lastPrinted>2016-06-07T13:25:00Z</cp:lastPrinted>
  <dcterms:created xsi:type="dcterms:W3CDTF">2017-06-07T15:02:00Z</dcterms:created>
  <dcterms:modified xsi:type="dcterms:W3CDTF">2017-06-07T15:35:00Z</dcterms:modified>
  <cp:category>Conference document</cp:category>
</cp:coreProperties>
</file>