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C6380" w:rsidRPr="0092392D">
        <w:trPr>
          <w:cantSplit/>
        </w:trPr>
        <w:tc>
          <w:tcPr>
            <w:tcW w:w="6912" w:type="dxa"/>
          </w:tcPr>
          <w:p w:rsidR="00BC6380" w:rsidRPr="0092392D" w:rsidRDefault="00BC6380" w:rsidP="00BC6380">
            <w:pPr>
              <w:spacing w:before="360"/>
              <w:rPr>
                <w:lang w:val="fr-CH"/>
              </w:rPr>
            </w:pPr>
            <w:bookmarkStart w:id="0" w:name="dc06"/>
            <w:bookmarkEnd w:id="0"/>
            <w:r w:rsidRPr="00BC6380">
              <w:rPr>
                <w:b/>
                <w:bCs/>
                <w:sz w:val="30"/>
                <w:szCs w:val="30"/>
                <w:lang w:val="fr-CH"/>
              </w:rPr>
              <w:t>Conseil 2017</w:t>
            </w:r>
            <w:r w:rsidRPr="00BC6380">
              <w:rPr>
                <w:rFonts w:ascii="Verdana" w:hAnsi="Verdana"/>
                <w:b/>
                <w:bCs/>
                <w:sz w:val="26"/>
                <w:szCs w:val="26"/>
                <w:lang w:val="fr-CH"/>
              </w:rPr>
              <w:br/>
            </w:r>
            <w:r w:rsidRPr="00BC6380">
              <w:rPr>
                <w:b/>
                <w:bCs/>
                <w:szCs w:val="24"/>
                <w:lang w:val="fr-CH"/>
              </w:rPr>
              <w:t>Gen</w:t>
            </w:r>
            <w:proofErr w:type="spellStart"/>
            <w:r w:rsidRPr="00BC6380">
              <w:rPr>
                <w:b/>
                <w:bCs/>
                <w:szCs w:val="24"/>
                <w:lang w:val="en-US"/>
              </w:rPr>
              <w:t>ève</w:t>
            </w:r>
            <w:proofErr w:type="spellEnd"/>
            <w:r w:rsidRPr="00BC6380">
              <w:rPr>
                <w:b/>
                <w:bCs/>
                <w:szCs w:val="24"/>
                <w:lang w:val="fr-CH"/>
              </w:rPr>
              <w:t>, 15-25 mai 2017</w:t>
            </w:r>
          </w:p>
        </w:tc>
        <w:tc>
          <w:tcPr>
            <w:tcW w:w="3261" w:type="dxa"/>
          </w:tcPr>
          <w:p w:rsidR="00BC6380" w:rsidRPr="0092392D" w:rsidRDefault="00BC6380" w:rsidP="00BC6380">
            <w:pPr>
              <w:spacing w:before="0"/>
              <w:jc w:val="right"/>
              <w:rPr>
                <w:lang w:val="fr-CH"/>
              </w:rPr>
            </w:pPr>
            <w:bookmarkStart w:id="1" w:name="ditulogo"/>
            <w:bookmarkEnd w:id="1"/>
            <w:r w:rsidRPr="00BC6380">
              <w:rPr>
                <w:rFonts w:cstheme="minorHAnsi"/>
                <w:b/>
                <w:bCs/>
                <w:noProof/>
                <w:lang w:val="en-US" w:eastAsia="zh-CN"/>
              </w:rPr>
              <w:drawing>
                <wp:inline distT="0" distB="0" distL="0" distR="0" wp14:anchorId="24DC5521" wp14:editId="33BAA67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C6380" w:rsidRPr="0092392D" w:rsidTr="00EF41DD">
        <w:trPr>
          <w:cantSplit/>
          <w:trHeight w:val="20"/>
        </w:trPr>
        <w:tc>
          <w:tcPr>
            <w:tcW w:w="6912" w:type="dxa"/>
            <w:tcBorders>
              <w:bottom w:val="single" w:sz="12" w:space="0" w:color="auto"/>
            </w:tcBorders>
            <w:vAlign w:val="center"/>
          </w:tcPr>
          <w:p w:rsidR="00BC6380" w:rsidRPr="00361350" w:rsidRDefault="00BC6380" w:rsidP="004C37A9">
            <w:pPr>
              <w:spacing w:before="0"/>
              <w:rPr>
                <w:b/>
                <w:bCs/>
                <w:sz w:val="26"/>
                <w:szCs w:val="26"/>
                <w:lang w:val="fr-CH"/>
              </w:rPr>
            </w:pPr>
          </w:p>
        </w:tc>
        <w:tc>
          <w:tcPr>
            <w:tcW w:w="3261" w:type="dxa"/>
            <w:tcBorders>
              <w:bottom w:val="single" w:sz="12" w:space="0" w:color="auto"/>
            </w:tcBorders>
          </w:tcPr>
          <w:p w:rsidR="00BC6380" w:rsidRPr="0092392D" w:rsidRDefault="00BC6380" w:rsidP="00DF74DD">
            <w:pPr>
              <w:spacing w:before="0"/>
              <w:rPr>
                <w:b/>
                <w:bCs/>
              </w:rPr>
            </w:pPr>
          </w:p>
        </w:tc>
      </w:tr>
      <w:tr w:rsidR="00BC6380" w:rsidRPr="0092392D">
        <w:trPr>
          <w:cantSplit/>
          <w:trHeight w:val="20"/>
        </w:trPr>
        <w:tc>
          <w:tcPr>
            <w:tcW w:w="6912" w:type="dxa"/>
            <w:tcBorders>
              <w:top w:val="single" w:sz="12" w:space="0" w:color="auto"/>
            </w:tcBorders>
          </w:tcPr>
          <w:p w:rsidR="00BC6380" w:rsidRPr="0092392D" w:rsidRDefault="00BC6380" w:rsidP="00DF74DD">
            <w:pPr>
              <w:spacing w:before="0"/>
              <w:rPr>
                <w:smallCaps/>
                <w:sz w:val="22"/>
                <w:lang w:val="fr-CH"/>
              </w:rPr>
            </w:pPr>
          </w:p>
        </w:tc>
        <w:tc>
          <w:tcPr>
            <w:tcW w:w="3261" w:type="dxa"/>
            <w:tcBorders>
              <w:top w:val="single" w:sz="12" w:space="0" w:color="auto"/>
            </w:tcBorders>
          </w:tcPr>
          <w:p w:rsidR="00BC6380" w:rsidRPr="0092392D" w:rsidRDefault="00BC6380" w:rsidP="00DF74DD">
            <w:pPr>
              <w:spacing w:before="0"/>
              <w:rPr>
                <w:b/>
                <w:bCs/>
              </w:rPr>
            </w:pPr>
          </w:p>
        </w:tc>
      </w:tr>
      <w:tr w:rsidR="00BC6380" w:rsidRPr="0092392D">
        <w:trPr>
          <w:cantSplit/>
          <w:trHeight w:val="20"/>
        </w:trPr>
        <w:tc>
          <w:tcPr>
            <w:tcW w:w="6912" w:type="dxa"/>
            <w:vMerge w:val="restart"/>
          </w:tcPr>
          <w:p w:rsidR="00BC6380" w:rsidRPr="00BC6380" w:rsidRDefault="00BC6380" w:rsidP="00DF74DD">
            <w:pPr>
              <w:spacing w:before="0"/>
              <w:rPr>
                <w:rFonts w:cs="Times"/>
                <w:b/>
                <w:bCs/>
                <w:szCs w:val="24"/>
                <w:lang w:val="fr-CH"/>
              </w:rPr>
            </w:pPr>
            <w:bookmarkStart w:id="2" w:name="dnum" w:colFirst="1" w:colLast="1"/>
            <w:bookmarkStart w:id="3" w:name="dmeeting" w:colFirst="0" w:colLast="0"/>
          </w:p>
        </w:tc>
        <w:tc>
          <w:tcPr>
            <w:tcW w:w="3261" w:type="dxa"/>
          </w:tcPr>
          <w:p w:rsidR="00BC6380" w:rsidRPr="00BC6380" w:rsidRDefault="00BC6380" w:rsidP="00BC6380">
            <w:pPr>
              <w:spacing w:before="0"/>
              <w:rPr>
                <w:b/>
                <w:bCs/>
              </w:rPr>
            </w:pPr>
            <w:r>
              <w:rPr>
                <w:b/>
                <w:bCs/>
              </w:rPr>
              <w:t>Document C17/130-F</w:t>
            </w:r>
          </w:p>
        </w:tc>
      </w:tr>
      <w:tr w:rsidR="00BC6380" w:rsidRPr="0092392D">
        <w:trPr>
          <w:cantSplit/>
          <w:trHeight w:val="20"/>
        </w:trPr>
        <w:tc>
          <w:tcPr>
            <w:tcW w:w="6912" w:type="dxa"/>
            <w:vMerge/>
          </w:tcPr>
          <w:p w:rsidR="00BC6380" w:rsidRPr="0092392D" w:rsidRDefault="00BC6380" w:rsidP="00DF74DD">
            <w:pPr>
              <w:shd w:val="solid" w:color="FFFFFF" w:fill="FFFFFF"/>
              <w:spacing w:before="180"/>
              <w:rPr>
                <w:smallCaps/>
                <w:lang w:val="fr-CH"/>
              </w:rPr>
            </w:pPr>
            <w:bookmarkStart w:id="4" w:name="ddate" w:colFirst="1" w:colLast="1"/>
            <w:bookmarkEnd w:id="2"/>
            <w:bookmarkEnd w:id="3"/>
          </w:p>
        </w:tc>
        <w:tc>
          <w:tcPr>
            <w:tcW w:w="3261" w:type="dxa"/>
          </w:tcPr>
          <w:p w:rsidR="00BC6380" w:rsidRPr="00BC6380" w:rsidRDefault="00BC6380" w:rsidP="00BC6380">
            <w:pPr>
              <w:spacing w:before="0"/>
              <w:rPr>
                <w:b/>
                <w:bCs/>
              </w:rPr>
            </w:pPr>
            <w:r>
              <w:rPr>
                <w:b/>
                <w:bCs/>
              </w:rPr>
              <w:t>1 juin 2017</w:t>
            </w:r>
          </w:p>
        </w:tc>
      </w:tr>
      <w:tr w:rsidR="00BC6380" w:rsidRPr="0092392D">
        <w:trPr>
          <w:cantSplit/>
          <w:trHeight w:val="20"/>
        </w:trPr>
        <w:tc>
          <w:tcPr>
            <w:tcW w:w="6912" w:type="dxa"/>
            <w:vMerge/>
          </w:tcPr>
          <w:p w:rsidR="00BC6380" w:rsidRPr="0092392D" w:rsidRDefault="00BC6380" w:rsidP="00DF74DD">
            <w:pPr>
              <w:shd w:val="solid" w:color="FFFFFF" w:fill="FFFFFF"/>
              <w:spacing w:before="180"/>
              <w:rPr>
                <w:smallCaps/>
                <w:lang w:val="fr-CH"/>
              </w:rPr>
            </w:pPr>
            <w:bookmarkStart w:id="5" w:name="dorlang" w:colFirst="1" w:colLast="1"/>
            <w:bookmarkEnd w:id="4"/>
          </w:p>
        </w:tc>
        <w:tc>
          <w:tcPr>
            <w:tcW w:w="3261" w:type="dxa"/>
          </w:tcPr>
          <w:p w:rsidR="00BC6380" w:rsidRPr="00BC6380" w:rsidRDefault="00BC6380" w:rsidP="00BC6380">
            <w:pPr>
              <w:spacing w:before="0"/>
              <w:rPr>
                <w:b/>
                <w:bCs/>
              </w:rPr>
            </w:pPr>
            <w:r>
              <w:rPr>
                <w:b/>
                <w:bCs/>
              </w:rPr>
              <w:t>Original: français</w:t>
            </w:r>
          </w:p>
        </w:tc>
      </w:tr>
      <w:tr w:rsidR="00BC6380" w:rsidRPr="0092392D">
        <w:trPr>
          <w:cantSplit/>
        </w:trPr>
        <w:tc>
          <w:tcPr>
            <w:tcW w:w="10173" w:type="dxa"/>
            <w:gridSpan w:val="2"/>
          </w:tcPr>
          <w:p w:rsidR="00BC6380" w:rsidRPr="00D10A78" w:rsidRDefault="00BC6380" w:rsidP="00BC6380">
            <w:pPr>
              <w:pStyle w:val="Title1"/>
              <w:spacing w:before="720"/>
              <w:rPr>
                <w:rFonts w:asciiTheme="minorHAnsi" w:hAnsiTheme="minorHAnsi"/>
                <w:szCs w:val="28"/>
              </w:rPr>
            </w:pPr>
            <w:bookmarkStart w:id="6" w:name="dtitle1" w:colFirst="0" w:colLast="0"/>
            <w:bookmarkEnd w:id="5"/>
            <w:r w:rsidRPr="00D10A78">
              <w:rPr>
                <w:rFonts w:asciiTheme="minorHAnsi" w:hAnsiTheme="minorHAnsi"/>
                <w:szCs w:val="28"/>
              </w:rPr>
              <w:t>COMPTE RENDU</w:t>
            </w:r>
          </w:p>
          <w:p w:rsidR="00BC6380" w:rsidRDefault="00BC6380" w:rsidP="00BC6380">
            <w:pPr>
              <w:pStyle w:val="Title1"/>
              <w:rPr>
                <w:rFonts w:asciiTheme="minorHAnsi" w:hAnsiTheme="minorHAnsi"/>
                <w:szCs w:val="28"/>
              </w:rPr>
            </w:pPr>
            <w:r w:rsidRPr="00D10A78">
              <w:rPr>
                <w:rFonts w:asciiTheme="minorHAnsi" w:hAnsiTheme="minorHAnsi"/>
                <w:szCs w:val="28"/>
              </w:rPr>
              <w:t>de la</w:t>
            </w:r>
            <w:r>
              <w:rPr>
                <w:rFonts w:asciiTheme="minorHAnsi" w:hAnsiTheme="minorHAnsi"/>
                <w:szCs w:val="28"/>
              </w:rPr>
              <w:t xml:space="preserve"> </w:t>
            </w:r>
          </w:p>
          <w:p w:rsidR="00BC6380" w:rsidRPr="0092392D" w:rsidRDefault="00BC6380" w:rsidP="00BC6380">
            <w:pPr>
              <w:pStyle w:val="Title1"/>
            </w:pPr>
            <w:r>
              <w:rPr>
                <w:szCs w:val="28"/>
              </w:rPr>
              <w:t>HUITI</w:t>
            </w:r>
            <w:r w:rsidRPr="00D10A78">
              <w:rPr>
                <w:szCs w:val="28"/>
              </w:rPr>
              <w:t>È</w:t>
            </w:r>
            <w:r>
              <w:rPr>
                <w:szCs w:val="28"/>
              </w:rPr>
              <w:t>ME S</w:t>
            </w:r>
            <w:r w:rsidRPr="00D10A78">
              <w:rPr>
                <w:szCs w:val="28"/>
              </w:rPr>
              <w:t>É</w:t>
            </w:r>
            <w:r>
              <w:rPr>
                <w:szCs w:val="28"/>
              </w:rPr>
              <w:t>ANCE</w:t>
            </w:r>
            <w:r w:rsidRPr="00D10A78">
              <w:rPr>
                <w:szCs w:val="28"/>
              </w:rPr>
              <w:t xml:space="preserve"> PLÉNIÈRE</w:t>
            </w:r>
          </w:p>
        </w:tc>
      </w:tr>
      <w:tr w:rsidR="00BC6380" w:rsidRPr="0092392D">
        <w:trPr>
          <w:cantSplit/>
        </w:trPr>
        <w:tc>
          <w:tcPr>
            <w:tcW w:w="10173" w:type="dxa"/>
            <w:gridSpan w:val="2"/>
          </w:tcPr>
          <w:p w:rsidR="00BC6380" w:rsidRPr="00D10A78" w:rsidRDefault="00BC6380" w:rsidP="00BC6380">
            <w:pPr>
              <w:pStyle w:val="Title1"/>
              <w:rPr>
                <w:rFonts w:asciiTheme="minorHAnsi" w:hAnsiTheme="minorHAnsi"/>
                <w:szCs w:val="28"/>
              </w:rPr>
            </w:pPr>
            <w:r>
              <w:rPr>
                <w:rFonts w:asciiTheme="minorHAnsi" w:hAnsiTheme="minorHAnsi"/>
                <w:caps w:val="0"/>
                <w:sz w:val="24"/>
                <w:szCs w:val="24"/>
              </w:rPr>
              <w:t>Mercredi 24 mai</w:t>
            </w:r>
            <w:r w:rsidRPr="00562F5A">
              <w:rPr>
                <w:rFonts w:asciiTheme="minorHAnsi" w:hAnsiTheme="minorHAnsi"/>
                <w:caps w:val="0"/>
                <w:sz w:val="24"/>
                <w:szCs w:val="24"/>
              </w:rPr>
              <w:t xml:space="preserve"> </w:t>
            </w:r>
            <w:r w:rsidRPr="00562F5A">
              <w:rPr>
                <w:rFonts w:asciiTheme="minorHAnsi" w:hAnsiTheme="minorHAnsi"/>
                <w:sz w:val="24"/>
                <w:szCs w:val="24"/>
              </w:rPr>
              <w:t>201</w:t>
            </w:r>
            <w:r>
              <w:rPr>
                <w:rFonts w:asciiTheme="minorHAnsi" w:hAnsiTheme="minorHAnsi"/>
                <w:sz w:val="24"/>
                <w:szCs w:val="24"/>
              </w:rPr>
              <w:t>7</w:t>
            </w:r>
            <w:r w:rsidRPr="00562F5A">
              <w:rPr>
                <w:rFonts w:asciiTheme="minorHAnsi" w:hAnsiTheme="minorHAnsi"/>
                <w:sz w:val="24"/>
                <w:szCs w:val="24"/>
              </w:rPr>
              <w:t xml:space="preserve">, </w:t>
            </w:r>
            <w:r>
              <w:rPr>
                <w:rFonts w:asciiTheme="minorHAnsi" w:hAnsiTheme="minorHAnsi"/>
                <w:caps w:val="0"/>
                <w:sz w:val="24"/>
                <w:szCs w:val="24"/>
              </w:rPr>
              <w:t>de 14</w:t>
            </w:r>
            <w:r w:rsidRPr="00562F5A">
              <w:rPr>
                <w:rFonts w:asciiTheme="minorHAnsi" w:hAnsiTheme="minorHAnsi"/>
                <w:caps w:val="0"/>
                <w:sz w:val="24"/>
                <w:szCs w:val="24"/>
              </w:rPr>
              <w:t> h </w:t>
            </w:r>
            <w:r>
              <w:rPr>
                <w:rFonts w:asciiTheme="minorHAnsi" w:hAnsiTheme="minorHAnsi"/>
                <w:caps w:val="0"/>
                <w:sz w:val="24"/>
                <w:szCs w:val="24"/>
              </w:rPr>
              <w:t>35 à 17 h 30</w:t>
            </w:r>
          </w:p>
        </w:tc>
      </w:tr>
      <w:tr w:rsidR="00BC6380" w:rsidRPr="0092392D">
        <w:trPr>
          <w:cantSplit/>
        </w:trPr>
        <w:tc>
          <w:tcPr>
            <w:tcW w:w="10173" w:type="dxa"/>
            <w:gridSpan w:val="2"/>
          </w:tcPr>
          <w:p w:rsidR="00BC6380" w:rsidRPr="00D10A78" w:rsidRDefault="00BC6380" w:rsidP="00BC6380">
            <w:pPr>
              <w:pStyle w:val="Title1"/>
              <w:rPr>
                <w:rFonts w:asciiTheme="minorHAnsi" w:hAnsiTheme="minorHAnsi"/>
                <w:szCs w:val="28"/>
              </w:rPr>
            </w:pPr>
            <w:r w:rsidRPr="00D10A78">
              <w:rPr>
                <w:rFonts w:asciiTheme="minorHAnsi" w:hAnsiTheme="minorHAnsi"/>
                <w:b/>
                <w:bCs/>
                <w:caps w:val="0"/>
                <w:sz w:val="24"/>
                <w:szCs w:val="24"/>
              </w:rPr>
              <w:t>Président</w:t>
            </w:r>
            <w:r>
              <w:rPr>
                <w:rFonts w:asciiTheme="minorHAnsi" w:hAnsiTheme="minorHAnsi"/>
                <w:b/>
                <w:bCs/>
                <w:caps w:val="0"/>
                <w:sz w:val="24"/>
                <w:szCs w:val="24"/>
              </w:rPr>
              <w:t>e</w:t>
            </w:r>
            <w:r w:rsidRPr="00D10A78">
              <w:rPr>
                <w:rFonts w:asciiTheme="minorHAnsi" w:hAnsiTheme="minorHAnsi"/>
                <w:b/>
                <w:bCs/>
                <w:caps w:val="0"/>
                <w:sz w:val="24"/>
                <w:szCs w:val="24"/>
              </w:rPr>
              <w:t>:</w:t>
            </w:r>
            <w:r>
              <w:rPr>
                <w:rFonts w:asciiTheme="minorHAnsi" w:hAnsiTheme="minorHAnsi"/>
                <w:caps w:val="0"/>
                <w:sz w:val="24"/>
                <w:szCs w:val="24"/>
              </w:rPr>
              <w:t xml:space="preserve"> Dr</w:t>
            </w:r>
            <w:r w:rsidRPr="004F7B1B">
              <w:rPr>
                <w:rFonts w:asciiTheme="minorHAnsi" w:hAnsiTheme="minorHAnsi"/>
                <w:caps w:val="0"/>
                <w:sz w:val="24"/>
                <w:szCs w:val="24"/>
              </w:rPr>
              <w:t xml:space="preserve"> </w:t>
            </w:r>
            <w:r>
              <w:rPr>
                <w:rFonts w:asciiTheme="minorHAnsi" w:hAnsiTheme="minorHAnsi"/>
                <w:caps w:val="0"/>
                <w:sz w:val="24"/>
                <w:szCs w:val="24"/>
              </w:rPr>
              <w:t>E. SPINA (Italie)</w:t>
            </w:r>
          </w:p>
        </w:tc>
      </w:tr>
      <w:bookmarkEnd w:id="6"/>
    </w:tbl>
    <w:p w:rsidR="00BC6380" w:rsidRPr="0092392D" w:rsidRDefault="00BC6380" w:rsidP="00A96746">
      <w:pPr>
        <w:spacing w:before="840"/>
        <w:rPr>
          <w:lang w:val="fr-CH"/>
        </w:rPr>
      </w:pPr>
    </w:p>
    <w:tbl>
      <w:tblPr>
        <w:tblW w:w="5233" w:type="pct"/>
        <w:tblLook w:val="0000" w:firstRow="0" w:lastRow="0" w:firstColumn="0" w:lastColumn="0" w:noHBand="0" w:noVBand="0"/>
      </w:tblPr>
      <w:tblGrid>
        <w:gridCol w:w="573"/>
        <w:gridCol w:w="7364"/>
        <w:gridCol w:w="2151"/>
      </w:tblGrid>
      <w:tr w:rsidR="00BC6380" w:rsidRPr="00562F5A" w:rsidTr="005666BA">
        <w:tc>
          <w:tcPr>
            <w:tcW w:w="284" w:type="pct"/>
          </w:tcPr>
          <w:p w:rsidR="00BC6380" w:rsidRPr="00562F5A" w:rsidRDefault="00BC6380" w:rsidP="005666BA">
            <w:pPr>
              <w:pStyle w:val="toc0"/>
              <w:tabs>
                <w:tab w:val="clear" w:pos="9781"/>
              </w:tabs>
              <w:snapToGrid w:val="0"/>
              <w:spacing w:before="40" w:after="120"/>
              <w:rPr>
                <w:rFonts w:asciiTheme="minorHAnsi" w:hAnsiTheme="minorHAnsi"/>
              </w:rPr>
            </w:pPr>
          </w:p>
        </w:tc>
        <w:tc>
          <w:tcPr>
            <w:tcW w:w="3650" w:type="pct"/>
          </w:tcPr>
          <w:p w:rsidR="00BC6380" w:rsidRPr="00F41B9B" w:rsidRDefault="00BC6380" w:rsidP="005666BA">
            <w:pPr>
              <w:pStyle w:val="toc0"/>
              <w:tabs>
                <w:tab w:val="clear" w:pos="9781"/>
              </w:tabs>
              <w:snapToGrid w:val="0"/>
              <w:spacing w:before="40" w:after="120"/>
              <w:rPr>
                <w:rFonts w:asciiTheme="minorHAnsi" w:hAnsiTheme="minorHAnsi"/>
                <w:lang w:val="fr-CH"/>
              </w:rPr>
            </w:pPr>
            <w:r>
              <w:rPr>
                <w:rFonts w:asciiTheme="minorHAnsi" w:hAnsiTheme="minorHAnsi"/>
              </w:rPr>
              <w:t>Sujets trait</w:t>
            </w:r>
            <w:proofErr w:type="spellStart"/>
            <w:r>
              <w:rPr>
                <w:rFonts w:asciiTheme="minorHAnsi" w:hAnsiTheme="minorHAnsi"/>
                <w:lang w:val="fr-CH"/>
              </w:rPr>
              <w:t>és</w:t>
            </w:r>
            <w:proofErr w:type="spellEnd"/>
          </w:p>
        </w:tc>
        <w:tc>
          <w:tcPr>
            <w:tcW w:w="1066" w:type="pct"/>
          </w:tcPr>
          <w:p w:rsidR="00BC6380" w:rsidRPr="00562F5A" w:rsidRDefault="00BC6380" w:rsidP="005666BA">
            <w:pPr>
              <w:pStyle w:val="toc0"/>
              <w:tabs>
                <w:tab w:val="clear" w:pos="9781"/>
              </w:tabs>
              <w:snapToGrid w:val="0"/>
              <w:spacing w:before="40" w:after="120"/>
              <w:jc w:val="center"/>
              <w:rPr>
                <w:rFonts w:asciiTheme="minorHAnsi" w:hAnsiTheme="minorHAnsi"/>
              </w:rPr>
            </w:pPr>
            <w:r>
              <w:rPr>
                <w:rFonts w:asciiTheme="minorHAnsi" w:hAnsiTheme="minorHAnsi"/>
              </w:rPr>
              <w:t>Documents</w:t>
            </w:r>
          </w:p>
        </w:tc>
      </w:tr>
      <w:tr w:rsidR="00BC6380" w:rsidRPr="00562F5A" w:rsidTr="005666BA">
        <w:tc>
          <w:tcPr>
            <w:tcW w:w="284" w:type="pct"/>
          </w:tcPr>
          <w:p w:rsidR="00BC6380" w:rsidRPr="001815CB" w:rsidRDefault="00BC6380" w:rsidP="005666BA">
            <w:r w:rsidRPr="001815CB">
              <w:t>1</w:t>
            </w:r>
          </w:p>
        </w:tc>
        <w:tc>
          <w:tcPr>
            <w:tcW w:w="3650" w:type="pct"/>
          </w:tcPr>
          <w:p w:rsidR="00BC6380" w:rsidRPr="00A32498" w:rsidRDefault="00BC6380" w:rsidP="005666BA">
            <w:r>
              <w:t xml:space="preserve">Renforcement de la présence régionale (suite) </w:t>
            </w:r>
          </w:p>
        </w:tc>
        <w:tc>
          <w:tcPr>
            <w:tcW w:w="1066" w:type="pct"/>
          </w:tcPr>
          <w:p w:rsidR="00BC6380" w:rsidRPr="00C159B9" w:rsidRDefault="00F60A16" w:rsidP="005666BA">
            <w:pPr>
              <w:jc w:val="center"/>
            </w:pPr>
            <w:hyperlink r:id="rId7" w:history="1">
              <w:r w:rsidR="00BC6380" w:rsidRPr="00A96746">
                <w:rPr>
                  <w:rStyle w:val="Hyperlink"/>
                </w:rPr>
                <w:t>C17/98</w:t>
              </w:r>
            </w:hyperlink>
            <w:r w:rsidR="00BC6380">
              <w:t>(Rév.1)</w:t>
            </w:r>
          </w:p>
        </w:tc>
      </w:tr>
      <w:tr w:rsidR="00BC6380" w:rsidRPr="00562F5A" w:rsidTr="005666BA">
        <w:tc>
          <w:tcPr>
            <w:tcW w:w="284" w:type="pct"/>
          </w:tcPr>
          <w:p w:rsidR="00BC6380" w:rsidRPr="001815CB" w:rsidRDefault="00BC6380" w:rsidP="005666BA">
            <w:r>
              <w:t>2</w:t>
            </w:r>
          </w:p>
        </w:tc>
        <w:tc>
          <w:tcPr>
            <w:tcW w:w="3650" w:type="pct"/>
          </w:tcPr>
          <w:p w:rsidR="00BC6380" w:rsidRDefault="00BC6380" w:rsidP="005666BA">
            <w:r>
              <w:t>Travaux préparatoires en vue de la Conférence de plénipotentiaires de 2018 (suite)</w:t>
            </w:r>
          </w:p>
        </w:tc>
        <w:tc>
          <w:tcPr>
            <w:tcW w:w="1066" w:type="pct"/>
          </w:tcPr>
          <w:p w:rsidR="00BC6380" w:rsidRPr="00C159B9" w:rsidRDefault="00F60A16" w:rsidP="005666BA">
            <w:pPr>
              <w:jc w:val="center"/>
            </w:pPr>
            <w:hyperlink r:id="rId8" w:history="1">
              <w:r w:rsidR="00BC6380" w:rsidRPr="00A96746">
                <w:rPr>
                  <w:rStyle w:val="Hyperlink"/>
                </w:rPr>
                <w:t>C17/5</w:t>
              </w:r>
            </w:hyperlink>
          </w:p>
        </w:tc>
      </w:tr>
      <w:tr w:rsidR="00BC6380" w:rsidRPr="00562F5A" w:rsidTr="005666BA">
        <w:tc>
          <w:tcPr>
            <w:tcW w:w="284" w:type="pct"/>
          </w:tcPr>
          <w:p w:rsidR="00BC6380" w:rsidRPr="001815CB" w:rsidRDefault="00BC6380" w:rsidP="005666BA">
            <w:r>
              <w:t>3</w:t>
            </w:r>
          </w:p>
        </w:tc>
        <w:tc>
          <w:tcPr>
            <w:tcW w:w="3650" w:type="pct"/>
          </w:tcPr>
          <w:p w:rsidR="00BC6380" w:rsidRDefault="00BC6380" w:rsidP="005666BA">
            <w:r>
              <w:t>Dates et durée proposées pour les sessions de 2018, 2019 et 2020 du Conseil</w:t>
            </w:r>
          </w:p>
        </w:tc>
        <w:tc>
          <w:tcPr>
            <w:tcW w:w="1066" w:type="pct"/>
          </w:tcPr>
          <w:p w:rsidR="00BC6380" w:rsidRPr="00C159B9" w:rsidRDefault="00F60A16" w:rsidP="005666BA">
            <w:pPr>
              <w:jc w:val="center"/>
            </w:pPr>
            <w:hyperlink r:id="rId9" w:history="1">
              <w:r w:rsidR="00BC6380" w:rsidRPr="00A96746">
                <w:rPr>
                  <w:rStyle w:val="Hyperlink"/>
                </w:rPr>
                <w:t>C17/2</w:t>
              </w:r>
            </w:hyperlink>
          </w:p>
        </w:tc>
      </w:tr>
      <w:tr w:rsidR="00BC6380" w:rsidRPr="00562F5A" w:rsidTr="005666BA">
        <w:tc>
          <w:tcPr>
            <w:tcW w:w="284" w:type="pct"/>
          </w:tcPr>
          <w:p w:rsidR="00BC6380" w:rsidRPr="001815CB" w:rsidRDefault="00BC6380" w:rsidP="005666BA">
            <w:r>
              <w:t>4</w:t>
            </w:r>
          </w:p>
        </w:tc>
        <w:tc>
          <w:tcPr>
            <w:tcW w:w="3650" w:type="pct"/>
          </w:tcPr>
          <w:p w:rsidR="00BC6380" w:rsidRDefault="00BC6380" w:rsidP="005666BA">
            <w:r>
              <w:t>Conférence mondiale des radiocommunications (CMR-19)</w:t>
            </w:r>
          </w:p>
        </w:tc>
        <w:tc>
          <w:tcPr>
            <w:tcW w:w="1066" w:type="pct"/>
          </w:tcPr>
          <w:p w:rsidR="00BC6380" w:rsidRPr="00C159B9" w:rsidRDefault="00F60A16" w:rsidP="005666BA">
            <w:pPr>
              <w:jc w:val="center"/>
            </w:pPr>
            <w:hyperlink r:id="rId10" w:history="1">
              <w:r w:rsidR="00BC6380" w:rsidRPr="00A96746">
                <w:rPr>
                  <w:rStyle w:val="Hyperlink"/>
                </w:rPr>
                <w:t>C17/27</w:t>
              </w:r>
            </w:hyperlink>
          </w:p>
        </w:tc>
      </w:tr>
      <w:tr w:rsidR="00BC6380" w:rsidRPr="00562F5A" w:rsidTr="005666BA">
        <w:tc>
          <w:tcPr>
            <w:tcW w:w="284" w:type="pct"/>
          </w:tcPr>
          <w:p w:rsidR="00BC6380" w:rsidRPr="001815CB" w:rsidRDefault="00BC6380" w:rsidP="005666BA">
            <w:r>
              <w:t>5</w:t>
            </w:r>
          </w:p>
        </w:tc>
        <w:tc>
          <w:tcPr>
            <w:tcW w:w="3650" w:type="pct"/>
          </w:tcPr>
          <w:p w:rsidR="00BC6380" w:rsidRDefault="00BC6380" w:rsidP="005666BA">
            <w:r>
              <w:t xml:space="preserve">Calendrier des futures conférences, </w:t>
            </w:r>
            <w:proofErr w:type="spellStart"/>
            <w:r>
              <w:t>assembl</w:t>
            </w:r>
            <w:r w:rsidRPr="00D04705">
              <w:rPr>
                <w:lang w:val="fr-CH"/>
              </w:rPr>
              <w:t>ée</w:t>
            </w:r>
            <w:proofErr w:type="spellEnd"/>
            <w:r>
              <w:t>s et réunions de l'Union pour la période 2017-2020</w:t>
            </w:r>
          </w:p>
        </w:tc>
        <w:tc>
          <w:tcPr>
            <w:tcW w:w="1066" w:type="pct"/>
          </w:tcPr>
          <w:p w:rsidR="00BC6380" w:rsidRPr="00C159B9" w:rsidRDefault="00F60A16" w:rsidP="005666BA">
            <w:pPr>
              <w:jc w:val="center"/>
            </w:pPr>
            <w:hyperlink r:id="rId11" w:history="1">
              <w:r w:rsidR="00BC6380" w:rsidRPr="00A96746">
                <w:rPr>
                  <w:rStyle w:val="Hyperlink"/>
                </w:rPr>
                <w:t>C17/37</w:t>
              </w:r>
            </w:hyperlink>
            <w:r w:rsidR="00BC6380">
              <w:t>(Rév.1)</w:t>
            </w:r>
          </w:p>
        </w:tc>
      </w:tr>
      <w:tr w:rsidR="00BC6380" w:rsidRPr="00562F5A" w:rsidTr="005666BA">
        <w:tc>
          <w:tcPr>
            <w:tcW w:w="284" w:type="pct"/>
          </w:tcPr>
          <w:p w:rsidR="00BC6380" w:rsidRDefault="00BC6380" w:rsidP="005666BA">
            <w:r>
              <w:t>6</w:t>
            </w:r>
          </w:p>
        </w:tc>
        <w:tc>
          <w:tcPr>
            <w:tcW w:w="3650" w:type="pct"/>
          </w:tcPr>
          <w:p w:rsidR="00BC6380" w:rsidRDefault="00BC6380" w:rsidP="005666BA">
            <w:r>
              <w:t>Activités de l</w:t>
            </w:r>
            <w:r w:rsidR="00496CE5">
              <w:t>'</w:t>
            </w:r>
            <w:r>
              <w:t>UIT relatives à l</w:t>
            </w:r>
            <w:r w:rsidR="00496CE5">
              <w:t>'</w:t>
            </w:r>
            <w:r>
              <w:t>Internet (suite)</w:t>
            </w:r>
          </w:p>
        </w:tc>
        <w:tc>
          <w:tcPr>
            <w:tcW w:w="1066" w:type="pct"/>
          </w:tcPr>
          <w:p w:rsidR="00BC6380" w:rsidRPr="00C159B9" w:rsidRDefault="00F60A16" w:rsidP="005666BA">
            <w:pPr>
              <w:jc w:val="center"/>
            </w:pPr>
            <w:hyperlink r:id="rId12" w:history="1">
              <w:r w:rsidR="00BC6380" w:rsidRPr="00A96746">
                <w:rPr>
                  <w:rStyle w:val="Hyperlink"/>
                </w:rPr>
                <w:t>C17/DT/5</w:t>
              </w:r>
            </w:hyperlink>
          </w:p>
        </w:tc>
      </w:tr>
      <w:tr w:rsidR="00BC6380" w:rsidRPr="00562F5A" w:rsidTr="005666BA">
        <w:tc>
          <w:tcPr>
            <w:tcW w:w="284" w:type="pct"/>
          </w:tcPr>
          <w:p w:rsidR="00BC6380" w:rsidRDefault="00BC6380" w:rsidP="005666BA">
            <w:r>
              <w:t>7</w:t>
            </w:r>
          </w:p>
        </w:tc>
        <w:tc>
          <w:tcPr>
            <w:tcW w:w="3650" w:type="pct"/>
          </w:tcPr>
          <w:p w:rsidR="00BC6380" w:rsidRDefault="00BC6380" w:rsidP="00A96746">
            <w:r w:rsidRPr="00F72483">
              <w:rPr>
                <w:szCs w:val="24"/>
              </w:rPr>
              <w:t>Rapport du Président du Groupe de travail du Conseil sur les questions de politique publique internationale relative à l</w:t>
            </w:r>
            <w:r w:rsidR="00496CE5">
              <w:rPr>
                <w:szCs w:val="24"/>
              </w:rPr>
              <w:t>'</w:t>
            </w:r>
            <w:r w:rsidRPr="00F72483">
              <w:rPr>
                <w:szCs w:val="24"/>
              </w:rPr>
              <w:t>Internet (suite)</w:t>
            </w:r>
          </w:p>
        </w:tc>
        <w:tc>
          <w:tcPr>
            <w:tcW w:w="1066" w:type="pct"/>
          </w:tcPr>
          <w:p w:rsidR="00BC6380" w:rsidRPr="00C159B9" w:rsidRDefault="00F60A16" w:rsidP="005666BA">
            <w:pPr>
              <w:jc w:val="center"/>
            </w:pPr>
            <w:hyperlink r:id="rId13" w:history="1">
              <w:r w:rsidR="00BC6380" w:rsidRPr="00A96746">
                <w:rPr>
                  <w:rStyle w:val="Hyperlink"/>
                  <w:szCs w:val="24"/>
                </w:rPr>
                <w:t>C17/102</w:t>
              </w:r>
            </w:hyperlink>
            <w:r w:rsidR="00BC6380">
              <w:rPr>
                <w:szCs w:val="24"/>
              </w:rPr>
              <w:t xml:space="preserve">, </w:t>
            </w:r>
            <w:hyperlink r:id="rId14" w:history="1">
              <w:r w:rsidR="00BC6380" w:rsidRPr="00A96746">
                <w:rPr>
                  <w:rStyle w:val="Hyperlink"/>
                  <w:szCs w:val="24"/>
                </w:rPr>
                <w:t>C17/103</w:t>
              </w:r>
            </w:hyperlink>
            <w:r w:rsidR="00BC6380">
              <w:rPr>
                <w:szCs w:val="24"/>
              </w:rPr>
              <w:t xml:space="preserve">, </w:t>
            </w:r>
            <w:hyperlink r:id="rId15" w:history="1">
              <w:r w:rsidR="00BC6380" w:rsidRPr="00A96746">
                <w:rPr>
                  <w:rStyle w:val="Hyperlink"/>
                  <w:szCs w:val="24"/>
                </w:rPr>
                <w:t>C17/DL/7</w:t>
              </w:r>
            </w:hyperlink>
          </w:p>
        </w:tc>
      </w:tr>
      <w:tr w:rsidR="00BC6380" w:rsidRPr="00562F5A" w:rsidTr="005666BA">
        <w:tc>
          <w:tcPr>
            <w:tcW w:w="284" w:type="pct"/>
          </w:tcPr>
          <w:p w:rsidR="00BC6380" w:rsidRDefault="00BC6380" w:rsidP="005666BA">
            <w:r>
              <w:t>8</w:t>
            </w:r>
          </w:p>
        </w:tc>
        <w:tc>
          <w:tcPr>
            <w:tcW w:w="3650" w:type="pct"/>
          </w:tcPr>
          <w:p w:rsidR="00BC6380" w:rsidRPr="00F72483" w:rsidRDefault="00BC6380" w:rsidP="005666BA">
            <w:pPr>
              <w:rPr>
                <w:szCs w:val="24"/>
              </w:rPr>
            </w:pPr>
            <w:r w:rsidRPr="00625DFD">
              <w:rPr>
                <w:szCs w:val="24"/>
              </w:rPr>
              <w:t>Rapport sur le suivi des améliorations susceptibles d</w:t>
            </w:r>
            <w:r w:rsidR="00496CE5">
              <w:rPr>
                <w:szCs w:val="24"/>
              </w:rPr>
              <w:t>'</w:t>
            </w:r>
            <w:r w:rsidRPr="00625DFD">
              <w:rPr>
                <w:szCs w:val="24"/>
              </w:rPr>
              <w:t>être apportées au déroulement de la Conférenc</w:t>
            </w:r>
            <w:r>
              <w:rPr>
                <w:szCs w:val="24"/>
              </w:rPr>
              <w:t>e de plénipotentiaires (suite)</w:t>
            </w:r>
          </w:p>
        </w:tc>
        <w:tc>
          <w:tcPr>
            <w:tcW w:w="1066" w:type="pct"/>
          </w:tcPr>
          <w:p w:rsidR="00BC6380" w:rsidRDefault="00F60A16" w:rsidP="005666BA">
            <w:pPr>
              <w:jc w:val="center"/>
              <w:rPr>
                <w:szCs w:val="24"/>
              </w:rPr>
            </w:pPr>
            <w:hyperlink r:id="rId16" w:history="1">
              <w:r w:rsidR="00BC6380" w:rsidRPr="00A96746">
                <w:rPr>
                  <w:rStyle w:val="Hyperlink"/>
                  <w:szCs w:val="24"/>
                </w:rPr>
                <w:t>C17/70</w:t>
              </w:r>
            </w:hyperlink>
            <w:r w:rsidR="00BC6380">
              <w:rPr>
                <w:szCs w:val="24"/>
              </w:rPr>
              <w:t xml:space="preserve">, </w:t>
            </w:r>
            <w:hyperlink r:id="rId17" w:history="1">
              <w:r w:rsidR="00BC6380" w:rsidRPr="00A96746">
                <w:rPr>
                  <w:rStyle w:val="Hyperlink"/>
                  <w:szCs w:val="24"/>
                </w:rPr>
                <w:t>C17/DL/8</w:t>
              </w:r>
            </w:hyperlink>
          </w:p>
        </w:tc>
      </w:tr>
      <w:tr w:rsidR="00BC6380" w:rsidRPr="00562F5A" w:rsidTr="005666BA">
        <w:tc>
          <w:tcPr>
            <w:tcW w:w="284" w:type="pct"/>
          </w:tcPr>
          <w:p w:rsidR="00BC6380" w:rsidRDefault="00BC6380" w:rsidP="005666BA">
            <w:r>
              <w:t>9</w:t>
            </w:r>
          </w:p>
        </w:tc>
        <w:tc>
          <w:tcPr>
            <w:tcW w:w="3650" w:type="pct"/>
          </w:tcPr>
          <w:p w:rsidR="00BC6380" w:rsidRPr="00625DFD" w:rsidRDefault="00BC6380" w:rsidP="005666BA">
            <w:pPr>
              <w:rPr>
                <w:szCs w:val="24"/>
              </w:rPr>
            </w:pPr>
            <w:r w:rsidRPr="00625DFD">
              <w:rPr>
                <w:szCs w:val="24"/>
              </w:rPr>
              <w:t>Liste des candidats aux fonctions de président et vice-président des Groupes de travail du</w:t>
            </w:r>
            <w:r>
              <w:rPr>
                <w:szCs w:val="24"/>
              </w:rPr>
              <w:t xml:space="preserve"> Conseil (GTC) (suite)</w:t>
            </w:r>
          </w:p>
        </w:tc>
        <w:tc>
          <w:tcPr>
            <w:tcW w:w="1066" w:type="pct"/>
          </w:tcPr>
          <w:p w:rsidR="00BC6380" w:rsidRDefault="00F60A16" w:rsidP="005666BA">
            <w:pPr>
              <w:jc w:val="center"/>
              <w:rPr>
                <w:szCs w:val="24"/>
              </w:rPr>
            </w:pPr>
            <w:hyperlink r:id="rId18" w:history="1">
              <w:r w:rsidR="00BC6380" w:rsidRPr="00A96746">
                <w:rPr>
                  <w:rStyle w:val="Hyperlink"/>
                  <w:szCs w:val="24"/>
                </w:rPr>
                <w:t>C17/55</w:t>
              </w:r>
            </w:hyperlink>
            <w:r w:rsidR="00BC6380" w:rsidRPr="00625DFD">
              <w:rPr>
                <w:szCs w:val="24"/>
              </w:rPr>
              <w:t>(Rév</w:t>
            </w:r>
            <w:r w:rsidR="00BC6380">
              <w:rPr>
                <w:szCs w:val="24"/>
              </w:rPr>
              <w:t>.</w:t>
            </w:r>
            <w:r w:rsidR="00BC6380" w:rsidRPr="00625DFD">
              <w:rPr>
                <w:szCs w:val="24"/>
              </w:rPr>
              <w:t>2)</w:t>
            </w:r>
          </w:p>
        </w:tc>
      </w:tr>
    </w:tbl>
    <w:p w:rsidR="00BC6380" w:rsidRDefault="00BC6380">
      <w:pPr>
        <w:tabs>
          <w:tab w:val="clear" w:pos="567"/>
          <w:tab w:val="clear" w:pos="1134"/>
          <w:tab w:val="clear" w:pos="1701"/>
          <w:tab w:val="clear" w:pos="2268"/>
          <w:tab w:val="clear" w:pos="2835"/>
        </w:tabs>
        <w:overflowPunct/>
        <w:autoSpaceDE/>
        <w:autoSpaceDN/>
        <w:adjustRightInd/>
        <w:spacing w:before="0"/>
        <w:textAlignment w:val="auto"/>
      </w:pPr>
      <w:r>
        <w:br w:type="page"/>
      </w:r>
    </w:p>
    <w:p w:rsidR="00BC6380" w:rsidRPr="006F480D" w:rsidRDefault="00BC6380" w:rsidP="00BC6380">
      <w:pPr>
        <w:pStyle w:val="Heading1"/>
        <w:keepNext w:val="0"/>
        <w:keepLines w:val="0"/>
        <w:tabs>
          <w:tab w:val="clear" w:pos="567"/>
          <w:tab w:val="clear" w:pos="1134"/>
          <w:tab w:val="clear" w:pos="1701"/>
          <w:tab w:val="clear" w:pos="2268"/>
          <w:tab w:val="clear" w:pos="2835"/>
        </w:tabs>
        <w:snapToGrid w:val="0"/>
        <w:spacing w:before="120" w:after="120"/>
        <w:ind w:left="0" w:firstLine="0"/>
        <w:rPr>
          <w:b w:val="0"/>
          <w:bCs/>
          <w:sz w:val="24"/>
          <w:szCs w:val="24"/>
        </w:rPr>
      </w:pPr>
      <w:r w:rsidRPr="006F480D">
        <w:rPr>
          <w:sz w:val="24"/>
          <w:szCs w:val="24"/>
        </w:rPr>
        <w:lastRenderedPageBreak/>
        <w:t>1</w:t>
      </w:r>
      <w:r w:rsidRPr="006F480D">
        <w:rPr>
          <w:sz w:val="24"/>
          <w:szCs w:val="24"/>
        </w:rPr>
        <w:tab/>
        <w:t xml:space="preserve">Renforcement de la présence régionale (suite) (Document </w:t>
      </w:r>
      <w:hyperlink r:id="rId19" w:history="1">
        <w:r w:rsidRPr="00A96746">
          <w:rPr>
            <w:rStyle w:val="Hyperlink"/>
            <w:sz w:val="24"/>
            <w:szCs w:val="24"/>
          </w:rPr>
          <w:t>C17/98</w:t>
        </w:r>
      </w:hyperlink>
      <w:r w:rsidRPr="006F480D">
        <w:rPr>
          <w:sz w:val="24"/>
          <w:szCs w:val="24"/>
        </w:rPr>
        <w:t>(Rév.1))</w:t>
      </w:r>
    </w:p>
    <w:p w:rsidR="00BC6380" w:rsidRPr="006F480D" w:rsidRDefault="00BC6380" w:rsidP="006F480D">
      <w:pPr>
        <w:tabs>
          <w:tab w:val="clear" w:pos="567"/>
          <w:tab w:val="clear" w:pos="1134"/>
          <w:tab w:val="clear" w:pos="1701"/>
          <w:tab w:val="clear" w:pos="2268"/>
          <w:tab w:val="clear" w:pos="2835"/>
        </w:tabs>
        <w:snapToGrid w:val="0"/>
        <w:spacing w:after="120"/>
        <w:rPr>
          <w:szCs w:val="24"/>
        </w:rPr>
      </w:pPr>
      <w:r w:rsidRPr="006F480D">
        <w:rPr>
          <w:szCs w:val="24"/>
        </w:rPr>
        <w:t>1.1</w:t>
      </w:r>
      <w:r w:rsidRPr="006F480D">
        <w:rPr>
          <w:szCs w:val="24"/>
        </w:rPr>
        <w:tab/>
        <w:t xml:space="preserve">La Conseillère du </w:t>
      </w:r>
      <w:proofErr w:type="spellStart"/>
      <w:r w:rsidRPr="006F480D">
        <w:rPr>
          <w:szCs w:val="24"/>
        </w:rPr>
        <w:t>Bélarus</w:t>
      </w:r>
      <w:proofErr w:type="spellEnd"/>
      <w:r w:rsidRPr="006F480D">
        <w:rPr>
          <w:szCs w:val="24"/>
        </w:rPr>
        <w:t xml:space="preserve"> présente le Document C17/98(Rév.1) contenant la contribution de son pays ainsi que de l</w:t>
      </w:r>
      <w:r w:rsidR="00496CE5">
        <w:rPr>
          <w:szCs w:val="24"/>
        </w:rPr>
        <w:t>'</w:t>
      </w:r>
      <w:r w:rsidRPr="006F480D">
        <w:rPr>
          <w:szCs w:val="24"/>
        </w:rPr>
        <w:t>Arménie, de l</w:t>
      </w:r>
      <w:r w:rsidR="00496CE5">
        <w:rPr>
          <w:szCs w:val="24"/>
        </w:rPr>
        <w:t>'</w:t>
      </w:r>
      <w:r w:rsidRPr="006F480D">
        <w:rPr>
          <w:szCs w:val="24"/>
        </w:rPr>
        <w:t>Azerbaïdjan, du Kazakhstan, du Kirghizistan, de la Fédération de Russie, du Tadjikistan, du Turkménistan et de l</w:t>
      </w:r>
      <w:r w:rsidR="00496CE5">
        <w:rPr>
          <w:szCs w:val="24"/>
        </w:rPr>
        <w:t>'</w:t>
      </w:r>
      <w:r w:rsidRPr="006F480D">
        <w:rPr>
          <w:szCs w:val="24"/>
        </w:rPr>
        <w:t>Ouzbékistan, qui demandent au Conseil d</w:t>
      </w:r>
      <w:r w:rsidR="00496CE5">
        <w:rPr>
          <w:szCs w:val="24"/>
        </w:rPr>
        <w:t>'</w:t>
      </w:r>
      <w:r w:rsidRPr="006F480D">
        <w:rPr>
          <w:szCs w:val="24"/>
        </w:rPr>
        <w:t>approuver la proposition visant à donner le statut de Bureau régional à l</w:t>
      </w:r>
      <w:r w:rsidR="00496CE5">
        <w:rPr>
          <w:szCs w:val="24"/>
        </w:rPr>
        <w:t>'</w:t>
      </w:r>
      <w:r w:rsidRPr="006F480D">
        <w:rPr>
          <w:szCs w:val="24"/>
        </w:rPr>
        <w:t>actuel Bureau de zone de l</w:t>
      </w:r>
      <w:r w:rsidR="00496CE5">
        <w:rPr>
          <w:szCs w:val="24"/>
        </w:rPr>
        <w:t>'</w:t>
      </w:r>
      <w:r w:rsidRPr="006F480D">
        <w:rPr>
          <w:szCs w:val="24"/>
        </w:rPr>
        <w:t>UIT pour la CEI à Moscou. Les auteurs de la contribution demandent en outre qu</w:t>
      </w:r>
      <w:r w:rsidR="00496CE5">
        <w:rPr>
          <w:szCs w:val="24"/>
        </w:rPr>
        <w:t>'</w:t>
      </w:r>
      <w:r w:rsidRPr="006F480D">
        <w:rPr>
          <w:szCs w:val="24"/>
        </w:rPr>
        <w:t>un mandat spécifique soit établi à l</w:t>
      </w:r>
      <w:r w:rsidR="00496CE5">
        <w:rPr>
          <w:szCs w:val="24"/>
        </w:rPr>
        <w:t>'</w:t>
      </w:r>
      <w:r w:rsidRPr="006F480D">
        <w:rPr>
          <w:szCs w:val="24"/>
        </w:rPr>
        <w:t>intention de ce Bureau régional compte tenu des particularités de la région et des initiatives, priorités et conditions régionales. L</w:t>
      </w:r>
      <w:r w:rsidR="00496CE5">
        <w:rPr>
          <w:szCs w:val="24"/>
        </w:rPr>
        <w:t>'</w:t>
      </w:r>
      <w:r w:rsidRPr="006F480D">
        <w:rPr>
          <w:szCs w:val="24"/>
        </w:rPr>
        <w:t>approbation de ces propositions mettrait fin à la singularité de la CEI en tant que seule région non dotée d</w:t>
      </w:r>
      <w:r w:rsidR="00496CE5">
        <w:rPr>
          <w:szCs w:val="24"/>
        </w:rPr>
        <w:t>'</w:t>
      </w:r>
      <w:r w:rsidRPr="006F480D">
        <w:rPr>
          <w:szCs w:val="24"/>
        </w:rPr>
        <w:t>un Bureau régional.</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1.2</w:t>
      </w:r>
      <w:r w:rsidRPr="006F480D">
        <w:rPr>
          <w:szCs w:val="24"/>
        </w:rPr>
        <w:tab/>
        <w:t>De nombreux conseillers appuient ces propositions. Un conseiller estime que la création d</w:t>
      </w:r>
      <w:r w:rsidR="00496CE5">
        <w:rPr>
          <w:szCs w:val="24"/>
        </w:rPr>
        <w:t>'</w:t>
      </w:r>
      <w:r w:rsidRPr="006F480D">
        <w:rPr>
          <w:szCs w:val="24"/>
        </w:rPr>
        <w:t>un poste D1 pour le nouveau Bureau régional proposé doit être compensée par la suppression d</w:t>
      </w:r>
      <w:r w:rsidR="00496CE5">
        <w:rPr>
          <w:szCs w:val="24"/>
        </w:rPr>
        <w:t>'</w:t>
      </w:r>
      <w:r w:rsidRPr="006F480D">
        <w:rPr>
          <w:szCs w:val="24"/>
        </w:rPr>
        <w:t>un poste de même rang au Secrétariat à Genève.</w:t>
      </w:r>
    </w:p>
    <w:p w:rsidR="00BC6380" w:rsidRPr="006F480D" w:rsidRDefault="00BC6380" w:rsidP="00F60A16">
      <w:pPr>
        <w:tabs>
          <w:tab w:val="clear" w:pos="567"/>
          <w:tab w:val="clear" w:pos="1134"/>
          <w:tab w:val="clear" w:pos="1701"/>
          <w:tab w:val="clear" w:pos="2268"/>
          <w:tab w:val="clear" w:pos="2835"/>
        </w:tabs>
        <w:snapToGrid w:val="0"/>
        <w:spacing w:after="120"/>
        <w:rPr>
          <w:szCs w:val="24"/>
        </w:rPr>
      </w:pPr>
      <w:r w:rsidRPr="006F480D">
        <w:rPr>
          <w:szCs w:val="24"/>
        </w:rPr>
        <w:t>1.3</w:t>
      </w:r>
      <w:r w:rsidRPr="006F480D">
        <w:rPr>
          <w:szCs w:val="24"/>
        </w:rPr>
        <w:tab/>
        <w:t>L</w:t>
      </w:r>
      <w:r w:rsidR="00496CE5">
        <w:rPr>
          <w:szCs w:val="24"/>
        </w:rPr>
        <w:t>'</w:t>
      </w:r>
      <w:r w:rsidRPr="006F480D">
        <w:rPr>
          <w:szCs w:val="24"/>
        </w:rPr>
        <w:t>Observateur de l</w:t>
      </w:r>
      <w:r w:rsidR="00496CE5">
        <w:rPr>
          <w:szCs w:val="24"/>
        </w:rPr>
        <w:t>'</w:t>
      </w:r>
      <w:r w:rsidRPr="006F480D">
        <w:rPr>
          <w:szCs w:val="24"/>
        </w:rPr>
        <w:t xml:space="preserve">Ukraine dit que son pays, bien que membre </w:t>
      </w:r>
      <w:r w:rsidR="00C36984">
        <w:rPr>
          <w:szCs w:val="24"/>
        </w:rPr>
        <w:t>de la Région de</w:t>
      </w:r>
      <w:r w:rsidRPr="006F480D">
        <w:rPr>
          <w:szCs w:val="24"/>
        </w:rPr>
        <w:t xml:space="preserve"> la CEI, n</w:t>
      </w:r>
      <w:r w:rsidR="00496CE5">
        <w:rPr>
          <w:szCs w:val="24"/>
        </w:rPr>
        <w:t>'</w:t>
      </w:r>
      <w:r w:rsidRPr="006F480D">
        <w:rPr>
          <w:szCs w:val="24"/>
        </w:rPr>
        <w:t>a pas été associé à l</w:t>
      </w:r>
      <w:r w:rsidR="00496CE5">
        <w:rPr>
          <w:szCs w:val="24"/>
        </w:rPr>
        <w:t>'</w:t>
      </w:r>
      <w:r w:rsidRPr="006F480D">
        <w:rPr>
          <w:szCs w:val="24"/>
        </w:rPr>
        <w:t xml:space="preserve">élaboration de la contribution présentée. Il demande au Secrétariat de fournir au </w:t>
      </w:r>
      <w:r w:rsidR="00F60A16">
        <w:rPr>
          <w:szCs w:val="24"/>
        </w:rPr>
        <w:t>pr</w:t>
      </w:r>
      <w:bookmarkStart w:id="7" w:name="_GoBack"/>
      <w:bookmarkEnd w:id="7"/>
      <w:r w:rsidR="00F60A16">
        <w:rPr>
          <w:szCs w:val="24"/>
        </w:rPr>
        <w:t xml:space="preserve">ochain </w:t>
      </w:r>
      <w:r w:rsidRPr="006F480D">
        <w:rPr>
          <w:szCs w:val="24"/>
        </w:rPr>
        <w:t>Conseil des précisions sur la différence entre les statuts de bureau de zone et de bureau régional, sur les règles d</w:t>
      </w:r>
      <w:r w:rsidR="00496CE5">
        <w:rPr>
          <w:szCs w:val="24"/>
        </w:rPr>
        <w:t>'</w:t>
      </w:r>
      <w:r w:rsidRPr="006F480D">
        <w:rPr>
          <w:szCs w:val="24"/>
        </w:rPr>
        <w:t>affectation des pays à telle ou telle région et sur la procédure à suivre pour un pays qui voudrait passer d</w:t>
      </w:r>
      <w:r w:rsidR="00496CE5">
        <w:rPr>
          <w:szCs w:val="24"/>
        </w:rPr>
        <w:t>'</w:t>
      </w:r>
      <w:r w:rsidRPr="006F480D">
        <w:rPr>
          <w:szCs w:val="24"/>
        </w:rPr>
        <w:t>une région à une autre. L</w:t>
      </w:r>
      <w:r w:rsidR="00496CE5">
        <w:rPr>
          <w:szCs w:val="24"/>
        </w:rPr>
        <w:t>'</w:t>
      </w:r>
      <w:r w:rsidRPr="006F480D">
        <w:rPr>
          <w:szCs w:val="24"/>
        </w:rPr>
        <w:t>Observateur de la Géorgie dit que son Administration n</w:t>
      </w:r>
      <w:r w:rsidR="00496CE5">
        <w:rPr>
          <w:szCs w:val="24"/>
        </w:rPr>
        <w:t>'</w:t>
      </w:r>
      <w:r w:rsidRPr="006F480D">
        <w:rPr>
          <w:szCs w:val="24"/>
        </w:rPr>
        <w:t>a pas été consultée sur cette initiative ni sur le document qui en est issu, et réserve donc sa position sur cette proposition qui ne bénéficie pas du soutien de tous les pays membres de la Région et dont il convient d</w:t>
      </w:r>
      <w:r w:rsidR="00496CE5">
        <w:rPr>
          <w:szCs w:val="24"/>
        </w:rPr>
        <w:t>'</w:t>
      </w:r>
      <w:r w:rsidRPr="006F480D">
        <w:rPr>
          <w:szCs w:val="24"/>
        </w:rPr>
        <w:t>étudier d</w:t>
      </w:r>
      <w:r w:rsidR="00496CE5">
        <w:rPr>
          <w:szCs w:val="24"/>
        </w:rPr>
        <w:t>'</w:t>
      </w:r>
      <w:r w:rsidRPr="006F480D">
        <w:rPr>
          <w:szCs w:val="24"/>
        </w:rPr>
        <w:t>abord les incidences financières, logistiques et autres. L</w:t>
      </w:r>
      <w:r w:rsidR="00496CE5">
        <w:rPr>
          <w:szCs w:val="24"/>
        </w:rPr>
        <w:t>'</w:t>
      </w:r>
      <w:r w:rsidRPr="006F480D">
        <w:rPr>
          <w:szCs w:val="24"/>
        </w:rPr>
        <w:t>Observateur de Moldova partage les vues des deux orateurs précédents.</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1.4</w:t>
      </w:r>
      <w:r w:rsidRPr="006F480D">
        <w:rPr>
          <w:szCs w:val="24"/>
        </w:rPr>
        <w:tab/>
        <w:t>Le Secrétaire général dit que le Conseiller juridique apportera ultérieurement une réponse précise aux questions posées par l</w:t>
      </w:r>
      <w:r w:rsidR="00496CE5">
        <w:rPr>
          <w:szCs w:val="24"/>
        </w:rPr>
        <w:t>'</w:t>
      </w:r>
      <w:r w:rsidRPr="006F480D">
        <w:rPr>
          <w:szCs w:val="24"/>
        </w:rPr>
        <w:t>Observateur de l</w:t>
      </w:r>
      <w:r w:rsidR="00496CE5">
        <w:rPr>
          <w:szCs w:val="24"/>
        </w:rPr>
        <w:t>'</w:t>
      </w:r>
      <w:r w:rsidRPr="006F480D">
        <w:rPr>
          <w:szCs w:val="24"/>
        </w:rPr>
        <w:t>Ukraine.</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1.5</w:t>
      </w:r>
      <w:r w:rsidRPr="006F480D">
        <w:rPr>
          <w:szCs w:val="24"/>
        </w:rPr>
        <w:tab/>
        <w:t xml:space="preserve">Le Conseil </w:t>
      </w:r>
      <w:r w:rsidRPr="006F480D">
        <w:rPr>
          <w:b/>
          <w:bCs/>
          <w:szCs w:val="24"/>
        </w:rPr>
        <w:t>décide</w:t>
      </w:r>
      <w:r w:rsidRPr="006F480D">
        <w:rPr>
          <w:szCs w:val="24"/>
        </w:rPr>
        <w:t xml:space="preserve"> d</w:t>
      </w:r>
      <w:r w:rsidR="00496CE5">
        <w:rPr>
          <w:szCs w:val="24"/>
        </w:rPr>
        <w:t>'</w:t>
      </w:r>
      <w:r w:rsidRPr="006F480D">
        <w:rPr>
          <w:szCs w:val="24"/>
        </w:rPr>
        <w:t>approuver en principe le passage du Bureau de zone de l</w:t>
      </w:r>
      <w:r w:rsidR="00496CE5">
        <w:rPr>
          <w:szCs w:val="24"/>
        </w:rPr>
        <w:t>'</w:t>
      </w:r>
      <w:r w:rsidRPr="006F480D">
        <w:rPr>
          <w:szCs w:val="24"/>
        </w:rPr>
        <w:t>UIT pour la CEI à Moscou au statut de Bureau régional et de demander au Secrétaire général, en collaboration avec le Directeur du BDT et avec la participation des Directeurs du BR et du TSB, de soumettre au Conseil à sa session de 2018 un mandat spécifique pour un Bureau régional de l</w:t>
      </w:r>
      <w:r w:rsidR="00496CE5">
        <w:rPr>
          <w:szCs w:val="24"/>
        </w:rPr>
        <w:t>'</w:t>
      </w:r>
      <w:r w:rsidRPr="006F480D">
        <w:rPr>
          <w:szCs w:val="24"/>
        </w:rPr>
        <w:t xml:space="preserve">UIT pour la CEI, définissant sa structure et son budget afin </w:t>
      </w:r>
      <w:r w:rsidR="00C36984">
        <w:rPr>
          <w:szCs w:val="24"/>
        </w:rPr>
        <w:t xml:space="preserve">de parvenir à un accord final et </w:t>
      </w:r>
      <w:r w:rsidRPr="006F480D">
        <w:rPr>
          <w:szCs w:val="24"/>
        </w:rPr>
        <w:t>d</w:t>
      </w:r>
      <w:r w:rsidR="00496CE5">
        <w:rPr>
          <w:szCs w:val="24"/>
        </w:rPr>
        <w:t>'</w:t>
      </w:r>
      <w:r w:rsidRPr="006F480D">
        <w:rPr>
          <w:szCs w:val="24"/>
        </w:rPr>
        <w:t xml:space="preserve">achever la transition dudit bureau en un Bureau régional pour la CEI pleinement opérationnel. </w:t>
      </w:r>
    </w:p>
    <w:p w:rsidR="00BC6380" w:rsidRPr="006F480D" w:rsidRDefault="00BC6380" w:rsidP="006F480D">
      <w:pPr>
        <w:pStyle w:val="Heading1"/>
        <w:keepNext w:val="0"/>
        <w:keepLines w:val="0"/>
        <w:tabs>
          <w:tab w:val="clear" w:pos="567"/>
          <w:tab w:val="clear" w:pos="1134"/>
          <w:tab w:val="clear" w:pos="1701"/>
          <w:tab w:val="clear" w:pos="2268"/>
          <w:tab w:val="clear" w:pos="2835"/>
        </w:tabs>
        <w:snapToGrid w:val="0"/>
        <w:spacing w:before="360" w:after="120"/>
        <w:ind w:left="709" w:hanging="709"/>
        <w:rPr>
          <w:b w:val="0"/>
          <w:bCs/>
          <w:sz w:val="24"/>
          <w:szCs w:val="24"/>
        </w:rPr>
      </w:pPr>
      <w:r w:rsidRPr="006F480D">
        <w:rPr>
          <w:sz w:val="24"/>
          <w:szCs w:val="24"/>
        </w:rPr>
        <w:t>2</w:t>
      </w:r>
      <w:r w:rsidRPr="006F480D">
        <w:rPr>
          <w:sz w:val="24"/>
          <w:szCs w:val="24"/>
        </w:rPr>
        <w:tab/>
        <w:t xml:space="preserve">Travaux préparatoires en vue de la Conférence de plénipotentiaires de 2018 (suite) (Document </w:t>
      </w:r>
      <w:hyperlink r:id="rId20" w:history="1">
        <w:r w:rsidRPr="00A96746">
          <w:rPr>
            <w:rStyle w:val="Hyperlink"/>
            <w:sz w:val="24"/>
            <w:szCs w:val="24"/>
          </w:rPr>
          <w:t>C17/5</w:t>
        </w:r>
      </w:hyperlink>
      <w:r w:rsidRPr="006F480D">
        <w:rPr>
          <w:sz w:val="24"/>
          <w:szCs w:val="24"/>
        </w:rPr>
        <w:t>)</w:t>
      </w:r>
    </w:p>
    <w:p w:rsidR="00BC6380" w:rsidRPr="006F480D" w:rsidRDefault="00BC6380" w:rsidP="00BC6380">
      <w:pPr>
        <w:tabs>
          <w:tab w:val="clear" w:pos="567"/>
          <w:tab w:val="clear" w:pos="1134"/>
          <w:tab w:val="clear" w:pos="1701"/>
          <w:tab w:val="clear" w:pos="2268"/>
          <w:tab w:val="clear" w:pos="2835"/>
        </w:tabs>
        <w:snapToGrid w:val="0"/>
        <w:spacing w:after="120"/>
        <w:rPr>
          <w:b/>
          <w:szCs w:val="24"/>
        </w:rPr>
      </w:pPr>
      <w:r w:rsidRPr="006F480D">
        <w:rPr>
          <w:szCs w:val="24"/>
        </w:rPr>
        <w:t>2.1</w:t>
      </w:r>
      <w:r w:rsidRPr="006F480D">
        <w:rPr>
          <w:szCs w:val="24"/>
        </w:rPr>
        <w:tab/>
        <w:t>Le Conseiller des Émirats arabes unis dit que, suite aux observations du Secrétariat et de plusieurs délégations et après avoir consulté son Administration, il retire sa demande d</w:t>
      </w:r>
      <w:r w:rsidR="006F480D">
        <w:rPr>
          <w:szCs w:val="24"/>
        </w:rPr>
        <w:t xml:space="preserve">e modification des dates de la </w:t>
      </w:r>
      <w:r w:rsidRPr="006F480D">
        <w:rPr>
          <w:szCs w:val="24"/>
        </w:rPr>
        <w:t>PP-18. Le Secrétaire général remercie les Émirats arabes unis de leur esprit accommodant.</w:t>
      </w:r>
    </w:p>
    <w:p w:rsidR="00BC6380" w:rsidRPr="006F480D" w:rsidRDefault="00BC6380" w:rsidP="00BC6380">
      <w:pPr>
        <w:tabs>
          <w:tab w:val="clear" w:pos="567"/>
          <w:tab w:val="clear" w:pos="1134"/>
          <w:tab w:val="clear" w:pos="1701"/>
          <w:tab w:val="clear" w:pos="2268"/>
          <w:tab w:val="clear" w:pos="2835"/>
        </w:tabs>
        <w:snapToGrid w:val="0"/>
        <w:spacing w:after="120"/>
        <w:rPr>
          <w:b/>
          <w:szCs w:val="24"/>
        </w:rPr>
      </w:pPr>
      <w:r w:rsidRPr="006F480D">
        <w:rPr>
          <w:szCs w:val="24"/>
        </w:rPr>
        <w:t>2.2</w:t>
      </w:r>
      <w:r w:rsidRPr="006F480D">
        <w:rPr>
          <w:szCs w:val="24"/>
        </w:rPr>
        <w:tab/>
        <w:t xml:space="preserve">Il est </w:t>
      </w:r>
      <w:r w:rsidRPr="006F480D">
        <w:rPr>
          <w:b/>
          <w:bCs/>
          <w:szCs w:val="24"/>
        </w:rPr>
        <w:t>pris note</w:t>
      </w:r>
      <w:r w:rsidRPr="006F480D">
        <w:rPr>
          <w:szCs w:val="24"/>
        </w:rPr>
        <w:t xml:space="preserve"> du Document C17/5.</w:t>
      </w:r>
    </w:p>
    <w:p w:rsidR="00BC6380" w:rsidRPr="006F480D" w:rsidRDefault="00BC6380" w:rsidP="00286EAE">
      <w:pPr>
        <w:pStyle w:val="Heading1"/>
        <w:keepNext w:val="0"/>
        <w:keepLines w:val="0"/>
        <w:tabs>
          <w:tab w:val="clear" w:pos="567"/>
          <w:tab w:val="clear" w:pos="1134"/>
          <w:tab w:val="clear" w:pos="1701"/>
          <w:tab w:val="clear" w:pos="2268"/>
          <w:tab w:val="clear" w:pos="2835"/>
        </w:tabs>
        <w:snapToGrid w:val="0"/>
        <w:spacing w:before="360" w:after="120"/>
        <w:ind w:left="709" w:hanging="709"/>
        <w:rPr>
          <w:sz w:val="24"/>
          <w:szCs w:val="24"/>
        </w:rPr>
      </w:pPr>
      <w:r w:rsidRPr="006F480D">
        <w:rPr>
          <w:sz w:val="24"/>
          <w:szCs w:val="24"/>
        </w:rPr>
        <w:t>3</w:t>
      </w:r>
      <w:r w:rsidRPr="006F480D">
        <w:rPr>
          <w:sz w:val="24"/>
          <w:szCs w:val="24"/>
        </w:rPr>
        <w:tab/>
      </w:r>
      <w:bookmarkStart w:id="8" w:name="lt_pId020"/>
      <w:r w:rsidRPr="006F480D">
        <w:rPr>
          <w:sz w:val="24"/>
          <w:szCs w:val="24"/>
        </w:rPr>
        <w:t>Dates et durée proposées pour les sessions d</w:t>
      </w:r>
      <w:r w:rsidR="006F480D">
        <w:rPr>
          <w:sz w:val="24"/>
          <w:szCs w:val="24"/>
        </w:rPr>
        <w:t xml:space="preserve">e 2018, 2019 et 2020 du </w:t>
      </w:r>
      <w:proofErr w:type="gramStart"/>
      <w:r w:rsidR="006F480D">
        <w:rPr>
          <w:sz w:val="24"/>
          <w:szCs w:val="24"/>
        </w:rPr>
        <w:t>Conseil</w:t>
      </w:r>
      <w:proofErr w:type="gramEnd"/>
      <w:r w:rsidR="006F480D">
        <w:rPr>
          <w:sz w:val="24"/>
          <w:szCs w:val="24"/>
        </w:rPr>
        <w:br/>
      </w:r>
      <w:r w:rsidRPr="006F480D">
        <w:rPr>
          <w:sz w:val="24"/>
          <w:szCs w:val="24"/>
        </w:rPr>
        <w:t xml:space="preserve">(Document </w:t>
      </w:r>
      <w:hyperlink r:id="rId21" w:history="1">
        <w:r w:rsidRPr="00A96746">
          <w:rPr>
            <w:rStyle w:val="Hyperlink"/>
            <w:sz w:val="24"/>
            <w:szCs w:val="24"/>
          </w:rPr>
          <w:t>C17/2</w:t>
        </w:r>
      </w:hyperlink>
      <w:r w:rsidRPr="006F480D">
        <w:rPr>
          <w:sz w:val="24"/>
          <w:szCs w:val="24"/>
        </w:rPr>
        <w:t>)</w:t>
      </w:r>
      <w:bookmarkEnd w:id="8"/>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3.1</w:t>
      </w:r>
      <w:r w:rsidRPr="006F480D">
        <w:rPr>
          <w:szCs w:val="24"/>
        </w:rPr>
        <w:tab/>
      </w:r>
      <w:bookmarkStart w:id="9" w:name="lt_pId022"/>
      <w:r w:rsidRPr="006F480D">
        <w:rPr>
          <w:szCs w:val="24"/>
        </w:rPr>
        <w:t>La représentante du Secrétariat dit que les dates proposées pour les sessions de 2018 et 2019 ayant été déjà approuvées à la session précédente du Conseil, il reste à statuer sur les dates proposées pour la session de 2020, à savoir du mercredi 27 mai au vendredi 5 juin.</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3.2</w:t>
      </w:r>
      <w:r w:rsidRPr="006F480D">
        <w:rPr>
          <w:szCs w:val="24"/>
        </w:rPr>
        <w:tab/>
        <w:t>Un conseiller estime que la session de 2018 devrait durer neuf jours au lieu de huit, et donc commencer le mardi 17 avril. Cette proposition est appuyée par tous les autres conseillers qui prennent la parole. Deux d</w:t>
      </w:r>
      <w:r w:rsidR="00496CE5">
        <w:rPr>
          <w:szCs w:val="24"/>
        </w:rPr>
        <w:t>'</w:t>
      </w:r>
      <w:r w:rsidRPr="006F480D">
        <w:rPr>
          <w:szCs w:val="24"/>
        </w:rPr>
        <w:t>entre eux posent néanmoins la question du délai nécessaire au traitement des documents entre la fin des réunions des GTC et l</w:t>
      </w:r>
      <w:r w:rsidR="00496CE5">
        <w:rPr>
          <w:szCs w:val="24"/>
        </w:rPr>
        <w:t>'</w:t>
      </w:r>
      <w:r w:rsidRPr="006F480D">
        <w:rPr>
          <w:szCs w:val="24"/>
        </w:rPr>
        <w:t>ouverture de la session du Conseil. Une conseillère dit que la session de 2020 devrait également durer neuf jours, et commencer donc le 26 mai.</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3.3</w:t>
      </w:r>
      <w:r w:rsidRPr="006F480D">
        <w:rPr>
          <w:szCs w:val="24"/>
        </w:rPr>
        <w:tab/>
        <w:t xml:space="preserve">Les changements de dates proposés sont </w:t>
      </w:r>
      <w:r w:rsidRPr="006F480D">
        <w:rPr>
          <w:b/>
          <w:bCs/>
          <w:szCs w:val="24"/>
        </w:rPr>
        <w:t>approuvés</w:t>
      </w:r>
      <w:r w:rsidRPr="006F480D">
        <w:rPr>
          <w:szCs w:val="24"/>
        </w:rPr>
        <w:t>.</w:t>
      </w:r>
    </w:p>
    <w:p w:rsidR="00BC6380" w:rsidRPr="006F480D" w:rsidRDefault="00BC6380" w:rsidP="00286EAE">
      <w:pPr>
        <w:pStyle w:val="Heading1"/>
        <w:keepNext w:val="0"/>
        <w:keepLines w:val="0"/>
        <w:tabs>
          <w:tab w:val="clear" w:pos="567"/>
          <w:tab w:val="clear" w:pos="1134"/>
          <w:tab w:val="clear" w:pos="1701"/>
          <w:tab w:val="clear" w:pos="2268"/>
          <w:tab w:val="clear" w:pos="2835"/>
        </w:tabs>
        <w:snapToGrid w:val="0"/>
        <w:spacing w:before="360" w:after="120"/>
        <w:ind w:left="0" w:firstLine="0"/>
        <w:rPr>
          <w:sz w:val="24"/>
          <w:szCs w:val="24"/>
        </w:rPr>
      </w:pPr>
      <w:r w:rsidRPr="006F480D">
        <w:rPr>
          <w:sz w:val="24"/>
          <w:szCs w:val="24"/>
        </w:rPr>
        <w:t>4</w:t>
      </w:r>
      <w:r w:rsidRPr="006F480D">
        <w:rPr>
          <w:sz w:val="24"/>
          <w:szCs w:val="24"/>
        </w:rPr>
        <w:tab/>
        <w:t xml:space="preserve">Conférence mondiale des radiocommunications (CMR-19) (Document </w:t>
      </w:r>
      <w:hyperlink r:id="rId22" w:history="1">
        <w:r w:rsidRPr="00A96746">
          <w:rPr>
            <w:rStyle w:val="Hyperlink"/>
            <w:sz w:val="24"/>
            <w:szCs w:val="24"/>
          </w:rPr>
          <w:t>C17/27</w:t>
        </w:r>
      </w:hyperlink>
      <w:r w:rsidRPr="006F480D">
        <w:rPr>
          <w:sz w:val="24"/>
          <w:szCs w:val="24"/>
        </w:rPr>
        <w:t>)</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4.1</w:t>
      </w:r>
      <w:r w:rsidRPr="006F480D">
        <w:rPr>
          <w:szCs w:val="24"/>
        </w:rPr>
        <w:tab/>
        <w:t>Le Directeur adjoint du BR, présentant le Document C17/27, rappelle que par sa Résolution 1380, le Conseil de 2016 a approuvé les dates de la CMR-19, mais a laissé en suspens la question du lieu de la Conférence en attendant l</w:t>
      </w:r>
      <w:r w:rsidR="00496CE5">
        <w:rPr>
          <w:szCs w:val="24"/>
        </w:rPr>
        <w:t>'</w:t>
      </w:r>
      <w:r w:rsidRPr="006F480D">
        <w:rPr>
          <w:szCs w:val="24"/>
        </w:rPr>
        <w:t>issue des consultations menées avec le Gouvernement de l</w:t>
      </w:r>
      <w:r w:rsidR="00496CE5">
        <w:rPr>
          <w:szCs w:val="24"/>
        </w:rPr>
        <w:t>'</w:t>
      </w:r>
      <w:r w:rsidRPr="006F480D">
        <w:rPr>
          <w:szCs w:val="24"/>
        </w:rPr>
        <w:t>Égypte, qui offre d</w:t>
      </w:r>
      <w:r w:rsidR="00496CE5">
        <w:rPr>
          <w:szCs w:val="24"/>
        </w:rPr>
        <w:t>'</w:t>
      </w:r>
      <w:r w:rsidRPr="006F480D">
        <w:rPr>
          <w:szCs w:val="24"/>
        </w:rPr>
        <w:t xml:space="preserve">accueillir cette manifestation à </w:t>
      </w:r>
      <w:proofErr w:type="spellStart"/>
      <w:r w:rsidRPr="006F480D">
        <w:rPr>
          <w:szCs w:val="24"/>
        </w:rPr>
        <w:t>Charm</w:t>
      </w:r>
      <w:proofErr w:type="spellEnd"/>
      <w:r w:rsidRPr="006F480D">
        <w:rPr>
          <w:szCs w:val="24"/>
        </w:rPr>
        <w:t>-El-Cheikh. Depuis, le BR a adressé à l</w:t>
      </w:r>
      <w:r w:rsidR="00496CE5">
        <w:rPr>
          <w:szCs w:val="24"/>
        </w:rPr>
        <w:t>'</w:t>
      </w:r>
      <w:r w:rsidRPr="006F480D">
        <w:rPr>
          <w:szCs w:val="24"/>
        </w:rPr>
        <w:t>Administration de l</w:t>
      </w:r>
      <w:r w:rsidR="00496CE5">
        <w:rPr>
          <w:szCs w:val="24"/>
        </w:rPr>
        <w:t>'</w:t>
      </w:r>
      <w:r w:rsidRPr="006F480D">
        <w:rPr>
          <w:szCs w:val="24"/>
        </w:rPr>
        <w:t>Égypte les exigences minimales de l</w:t>
      </w:r>
      <w:r w:rsidR="00496CE5">
        <w:rPr>
          <w:szCs w:val="24"/>
        </w:rPr>
        <w:t>'</w:t>
      </w:r>
      <w:r w:rsidRPr="006F480D">
        <w:rPr>
          <w:szCs w:val="24"/>
        </w:rPr>
        <w:t>UIT relatives à l</w:t>
      </w:r>
      <w:r w:rsidR="00496CE5">
        <w:rPr>
          <w:szCs w:val="24"/>
        </w:rPr>
        <w:t>'</w:t>
      </w:r>
      <w:r w:rsidRPr="006F480D">
        <w:rPr>
          <w:szCs w:val="24"/>
        </w:rPr>
        <w:t>organisation de l</w:t>
      </w:r>
      <w:r w:rsidR="00496CE5">
        <w:rPr>
          <w:szCs w:val="24"/>
        </w:rPr>
        <w:t>'</w:t>
      </w:r>
      <w:r w:rsidRPr="006F480D">
        <w:rPr>
          <w:szCs w:val="24"/>
        </w:rPr>
        <w:t>AR-19 et de la CMR-19 et cette Administration s</w:t>
      </w:r>
      <w:r w:rsidR="00496CE5">
        <w:rPr>
          <w:szCs w:val="24"/>
        </w:rPr>
        <w:t>'</w:t>
      </w:r>
      <w:r w:rsidRPr="006F480D">
        <w:rPr>
          <w:szCs w:val="24"/>
        </w:rPr>
        <w:t>est engagée à se conformer auxdites exigences. Il appartient donc au Conseil de réexaminer cet aspect de la Résolution 1380.</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4.2</w:t>
      </w:r>
      <w:r w:rsidRPr="006F480D">
        <w:rPr>
          <w:szCs w:val="24"/>
        </w:rPr>
        <w:tab/>
        <w:t>Le Conseiller de l</w:t>
      </w:r>
      <w:r w:rsidR="00496CE5">
        <w:rPr>
          <w:szCs w:val="24"/>
        </w:rPr>
        <w:t>'</w:t>
      </w:r>
      <w:r w:rsidRPr="006F480D">
        <w:rPr>
          <w:szCs w:val="24"/>
        </w:rPr>
        <w:t>Égypte confirme l</w:t>
      </w:r>
      <w:r w:rsidR="00496CE5">
        <w:rPr>
          <w:szCs w:val="24"/>
        </w:rPr>
        <w:t>'</w:t>
      </w:r>
      <w:r w:rsidRPr="006F480D">
        <w:rPr>
          <w:szCs w:val="24"/>
        </w:rPr>
        <w:t>acceptation par son Administration des exigences minimales de l</w:t>
      </w:r>
      <w:r w:rsidR="00496CE5">
        <w:rPr>
          <w:szCs w:val="24"/>
        </w:rPr>
        <w:t>'</w:t>
      </w:r>
      <w:r w:rsidRPr="006F480D">
        <w:rPr>
          <w:szCs w:val="24"/>
        </w:rPr>
        <w:t>UIT. Plusieurs conseillers appuient l</w:t>
      </w:r>
      <w:r w:rsidR="00496CE5">
        <w:rPr>
          <w:szCs w:val="24"/>
        </w:rPr>
        <w:t>'</w:t>
      </w:r>
      <w:r w:rsidRPr="006F480D">
        <w:rPr>
          <w:szCs w:val="24"/>
        </w:rPr>
        <w:t xml:space="preserve">adoption de </w:t>
      </w:r>
      <w:proofErr w:type="spellStart"/>
      <w:r w:rsidRPr="006F480D">
        <w:rPr>
          <w:szCs w:val="24"/>
        </w:rPr>
        <w:t>Charm</w:t>
      </w:r>
      <w:proofErr w:type="spellEnd"/>
      <w:r w:rsidRPr="006F480D">
        <w:rPr>
          <w:szCs w:val="24"/>
        </w:rPr>
        <w:t>-El-Cheikh comme lieu de tenue de l</w:t>
      </w:r>
      <w:r w:rsidR="00496CE5">
        <w:rPr>
          <w:szCs w:val="24"/>
        </w:rPr>
        <w:t>'</w:t>
      </w:r>
      <w:r w:rsidRPr="006F480D">
        <w:rPr>
          <w:szCs w:val="24"/>
        </w:rPr>
        <w:t>AR-19 et de la CMR-19 et la révision en conséquence de la Résolution 1380. Un conseiller demande si le Secrétariat peut garantir que ces exigences minimales seront satisfaites.</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4.3</w:t>
      </w:r>
      <w:r w:rsidRPr="006F480D">
        <w:rPr>
          <w:szCs w:val="24"/>
        </w:rPr>
        <w:tab/>
        <w:t>Le Directeur du BR dit que l</w:t>
      </w:r>
      <w:r w:rsidR="00496CE5">
        <w:rPr>
          <w:szCs w:val="24"/>
        </w:rPr>
        <w:t>'</w:t>
      </w:r>
      <w:r w:rsidRPr="006F480D">
        <w:rPr>
          <w:szCs w:val="24"/>
        </w:rPr>
        <w:t>engagement de l</w:t>
      </w:r>
      <w:r w:rsidR="00496CE5">
        <w:rPr>
          <w:szCs w:val="24"/>
        </w:rPr>
        <w:t>'</w:t>
      </w:r>
      <w:r w:rsidRPr="006F480D">
        <w:rPr>
          <w:szCs w:val="24"/>
        </w:rPr>
        <w:t>Égypte a été confirmé par une lettre du Ministre des télécommunications, si bien que, si le Conseil décide de revoir la Résolution 1380, le processus de sollicitation de l</w:t>
      </w:r>
      <w:r w:rsidR="00496CE5">
        <w:rPr>
          <w:szCs w:val="24"/>
        </w:rPr>
        <w:t>'</w:t>
      </w:r>
      <w:r w:rsidRPr="006F480D">
        <w:rPr>
          <w:szCs w:val="24"/>
        </w:rPr>
        <w:t>assentiment de la majorité des États Membres de l</w:t>
      </w:r>
      <w:r w:rsidR="00496CE5">
        <w:rPr>
          <w:szCs w:val="24"/>
        </w:rPr>
        <w:t>'</w:t>
      </w:r>
      <w:r w:rsidRPr="006F480D">
        <w:rPr>
          <w:szCs w:val="24"/>
        </w:rPr>
        <w:t>UIT pourra être engagé et s</w:t>
      </w:r>
      <w:r w:rsidR="00496CE5">
        <w:rPr>
          <w:szCs w:val="24"/>
        </w:rPr>
        <w:t>'</w:t>
      </w:r>
      <w:r w:rsidRPr="006F480D">
        <w:rPr>
          <w:szCs w:val="24"/>
        </w:rPr>
        <w:t>achever dans un délai de trois mois. L</w:t>
      </w:r>
      <w:r w:rsidR="00496CE5">
        <w:rPr>
          <w:szCs w:val="24"/>
        </w:rPr>
        <w:t>'</w:t>
      </w:r>
      <w:r w:rsidRPr="006F480D">
        <w:rPr>
          <w:szCs w:val="24"/>
        </w:rPr>
        <w:t>accord avec le pays hôte serait signé avant ou, au plus tard, pendant la session du Conseil de 2018. Le délai séparant ce dernier de la CMR-19 sera suffisant pour qu</w:t>
      </w:r>
      <w:r w:rsidR="00496CE5">
        <w:rPr>
          <w:szCs w:val="24"/>
        </w:rPr>
        <w:t>'</w:t>
      </w:r>
      <w:r w:rsidRPr="006F480D">
        <w:rPr>
          <w:szCs w:val="24"/>
        </w:rPr>
        <w:t>en cas d</w:t>
      </w:r>
      <w:r w:rsidR="00496CE5">
        <w:rPr>
          <w:szCs w:val="24"/>
        </w:rPr>
        <w:t>'</w:t>
      </w:r>
      <w:r w:rsidRPr="006F480D">
        <w:rPr>
          <w:szCs w:val="24"/>
        </w:rPr>
        <w:t>imprévu l</w:t>
      </w:r>
      <w:r w:rsidR="00496CE5">
        <w:rPr>
          <w:szCs w:val="24"/>
        </w:rPr>
        <w:t>'</w:t>
      </w:r>
      <w:r w:rsidRPr="006F480D">
        <w:rPr>
          <w:szCs w:val="24"/>
        </w:rPr>
        <w:t>on puisse revenir à la solution du CICG.</w:t>
      </w:r>
    </w:p>
    <w:p w:rsidR="00BC6380" w:rsidRPr="006F480D" w:rsidRDefault="00BC6380" w:rsidP="00BC6380">
      <w:pPr>
        <w:tabs>
          <w:tab w:val="clear" w:pos="567"/>
          <w:tab w:val="clear" w:pos="1134"/>
          <w:tab w:val="clear" w:pos="1701"/>
          <w:tab w:val="clear" w:pos="2268"/>
          <w:tab w:val="clear" w:pos="2835"/>
        </w:tabs>
        <w:snapToGrid w:val="0"/>
        <w:spacing w:after="120"/>
        <w:rPr>
          <w:b/>
          <w:szCs w:val="24"/>
        </w:rPr>
      </w:pPr>
      <w:r w:rsidRPr="006F480D">
        <w:rPr>
          <w:szCs w:val="24"/>
        </w:rPr>
        <w:t>4.4</w:t>
      </w:r>
      <w:r w:rsidRPr="006F480D">
        <w:rPr>
          <w:szCs w:val="24"/>
        </w:rPr>
        <w:tab/>
        <w:t xml:space="preserve">Le Conseil </w:t>
      </w:r>
      <w:r w:rsidRPr="006F480D">
        <w:rPr>
          <w:b/>
          <w:bCs/>
          <w:szCs w:val="24"/>
        </w:rPr>
        <w:t>décide</w:t>
      </w:r>
      <w:r w:rsidRPr="006F480D">
        <w:rPr>
          <w:szCs w:val="24"/>
        </w:rPr>
        <w:t xml:space="preserve"> de modifier la Résolution 1380 de manière à désigner </w:t>
      </w:r>
      <w:proofErr w:type="spellStart"/>
      <w:r w:rsidRPr="006F480D">
        <w:rPr>
          <w:szCs w:val="24"/>
        </w:rPr>
        <w:t>Charm</w:t>
      </w:r>
      <w:proofErr w:type="spellEnd"/>
      <w:r w:rsidRPr="006F480D">
        <w:rPr>
          <w:szCs w:val="24"/>
        </w:rPr>
        <w:t>-el-Cheikh comme lieu de tenue de l</w:t>
      </w:r>
      <w:r w:rsidR="00496CE5">
        <w:rPr>
          <w:szCs w:val="24"/>
        </w:rPr>
        <w:t>'</w:t>
      </w:r>
      <w:r w:rsidRPr="006F480D">
        <w:rPr>
          <w:szCs w:val="24"/>
        </w:rPr>
        <w:t>AR-19 et de la CMR-19.</w:t>
      </w:r>
      <w:bookmarkEnd w:id="9"/>
      <w:r w:rsidRPr="006F480D">
        <w:rPr>
          <w:szCs w:val="24"/>
        </w:rPr>
        <w:t xml:space="preserve"> </w:t>
      </w:r>
    </w:p>
    <w:p w:rsidR="00BC6380" w:rsidRPr="006F480D" w:rsidRDefault="00BC6380" w:rsidP="00286EAE">
      <w:pPr>
        <w:pStyle w:val="Heading1"/>
        <w:keepNext w:val="0"/>
        <w:keepLines w:val="0"/>
        <w:tabs>
          <w:tab w:val="clear" w:pos="567"/>
          <w:tab w:val="clear" w:pos="1134"/>
          <w:tab w:val="clear" w:pos="1701"/>
          <w:tab w:val="clear" w:pos="2268"/>
          <w:tab w:val="clear" w:pos="2835"/>
        </w:tabs>
        <w:snapToGrid w:val="0"/>
        <w:spacing w:before="360" w:after="120"/>
        <w:ind w:left="709" w:hanging="709"/>
        <w:rPr>
          <w:sz w:val="24"/>
          <w:szCs w:val="24"/>
        </w:rPr>
      </w:pPr>
      <w:r w:rsidRPr="006F480D">
        <w:rPr>
          <w:sz w:val="24"/>
          <w:szCs w:val="24"/>
        </w:rPr>
        <w:t>5</w:t>
      </w:r>
      <w:r w:rsidRPr="006F480D">
        <w:rPr>
          <w:sz w:val="24"/>
          <w:szCs w:val="24"/>
        </w:rPr>
        <w:tab/>
        <w:t>Calendrier des futures conférences, assemblées et réunions de l</w:t>
      </w:r>
      <w:r w:rsidR="00496CE5">
        <w:rPr>
          <w:sz w:val="24"/>
          <w:szCs w:val="24"/>
        </w:rPr>
        <w:t>'</w:t>
      </w:r>
      <w:r w:rsidRPr="006F480D">
        <w:rPr>
          <w:sz w:val="24"/>
          <w:szCs w:val="24"/>
        </w:rPr>
        <w:t>Union pour la période 2017-2020</w:t>
      </w:r>
      <w:r w:rsidR="00286EAE">
        <w:rPr>
          <w:sz w:val="24"/>
          <w:szCs w:val="24"/>
        </w:rPr>
        <w:t xml:space="preserve"> </w:t>
      </w:r>
      <w:r w:rsidRPr="006F480D">
        <w:rPr>
          <w:sz w:val="24"/>
          <w:szCs w:val="24"/>
        </w:rPr>
        <w:t xml:space="preserve">(Document </w:t>
      </w:r>
      <w:hyperlink r:id="rId23" w:history="1">
        <w:r w:rsidRPr="00A96746">
          <w:rPr>
            <w:rStyle w:val="Hyperlink"/>
            <w:sz w:val="24"/>
            <w:szCs w:val="24"/>
          </w:rPr>
          <w:t>C17/37</w:t>
        </w:r>
      </w:hyperlink>
      <w:r w:rsidRPr="006F480D">
        <w:rPr>
          <w:sz w:val="24"/>
          <w:szCs w:val="24"/>
        </w:rPr>
        <w:t>(Rév.1))</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5.1</w:t>
      </w:r>
      <w:r w:rsidRPr="006F480D">
        <w:rPr>
          <w:szCs w:val="24"/>
        </w:rPr>
        <w:tab/>
        <w:t>Le Chef du Département des conférences et publications, présentant le Document C17/37(Rév.1), signale que les dates du Forum du SMSI ont été modifiées de manière à ce que cette manifestation ne tombe pas pendant la période du ramadan. Une conseillère ayant demandé de repousser d</w:t>
      </w:r>
      <w:r w:rsidR="00496CE5">
        <w:rPr>
          <w:szCs w:val="24"/>
        </w:rPr>
        <w:t>'</w:t>
      </w:r>
      <w:r w:rsidRPr="006F480D">
        <w:rPr>
          <w:szCs w:val="24"/>
        </w:rPr>
        <w:t>une semaine les dates dudit forum, il explique que cela dépendra des périodes de disponibilité du CICG. Le calendrier sera en outre complété par les dates de réunion des GTC décidées par le Conseil à sa session en cours.</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5.2</w:t>
      </w:r>
      <w:r w:rsidRPr="006F480D">
        <w:rPr>
          <w:szCs w:val="24"/>
        </w:rPr>
        <w:tab/>
        <w:t xml:space="preserve">Il est </w:t>
      </w:r>
      <w:r w:rsidRPr="006F480D">
        <w:rPr>
          <w:b/>
          <w:bCs/>
          <w:szCs w:val="24"/>
        </w:rPr>
        <w:t>pris note</w:t>
      </w:r>
      <w:r w:rsidRPr="006F480D">
        <w:rPr>
          <w:szCs w:val="24"/>
        </w:rPr>
        <w:t xml:space="preserve"> du Document C17/37(Rév.1), compte tenu des précisions apportées par le Chef du Département des conférences et publications.</w:t>
      </w:r>
    </w:p>
    <w:p w:rsidR="00BC6380" w:rsidRPr="006F480D" w:rsidRDefault="00BC6380" w:rsidP="00286EAE">
      <w:pPr>
        <w:pStyle w:val="Heading1"/>
        <w:keepNext w:val="0"/>
        <w:keepLines w:val="0"/>
        <w:tabs>
          <w:tab w:val="clear" w:pos="567"/>
          <w:tab w:val="clear" w:pos="1134"/>
          <w:tab w:val="clear" w:pos="1701"/>
          <w:tab w:val="clear" w:pos="2268"/>
          <w:tab w:val="clear" w:pos="2835"/>
        </w:tabs>
        <w:snapToGrid w:val="0"/>
        <w:spacing w:before="360" w:after="120"/>
        <w:ind w:left="0" w:firstLine="0"/>
        <w:rPr>
          <w:sz w:val="24"/>
          <w:szCs w:val="24"/>
        </w:rPr>
      </w:pPr>
      <w:r w:rsidRPr="006F480D">
        <w:rPr>
          <w:sz w:val="24"/>
          <w:szCs w:val="24"/>
        </w:rPr>
        <w:t>6</w:t>
      </w:r>
      <w:r w:rsidRPr="006F480D">
        <w:rPr>
          <w:sz w:val="24"/>
          <w:szCs w:val="24"/>
        </w:rPr>
        <w:tab/>
        <w:t>Activités de l</w:t>
      </w:r>
      <w:r w:rsidR="00496CE5">
        <w:rPr>
          <w:sz w:val="24"/>
          <w:szCs w:val="24"/>
        </w:rPr>
        <w:t>'</w:t>
      </w:r>
      <w:r w:rsidRPr="006F480D">
        <w:rPr>
          <w:sz w:val="24"/>
          <w:szCs w:val="24"/>
        </w:rPr>
        <w:t>UIT relatives à l</w:t>
      </w:r>
      <w:r w:rsidR="00496CE5">
        <w:rPr>
          <w:sz w:val="24"/>
          <w:szCs w:val="24"/>
        </w:rPr>
        <w:t>'</w:t>
      </w:r>
      <w:r w:rsidRPr="006F480D">
        <w:rPr>
          <w:sz w:val="24"/>
          <w:szCs w:val="24"/>
        </w:rPr>
        <w:t xml:space="preserve">Internet (suite) (Document </w:t>
      </w:r>
      <w:hyperlink r:id="rId24" w:history="1">
        <w:r w:rsidRPr="00A96746">
          <w:rPr>
            <w:rStyle w:val="Hyperlink"/>
            <w:sz w:val="24"/>
            <w:szCs w:val="24"/>
          </w:rPr>
          <w:t>C17/DT/5</w:t>
        </w:r>
      </w:hyperlink>
      <w:r w:rsidRPr="006F480D">
        <w:rPr>
          <w:sz w:val="24"/>
          <w:szCs w:val="24"/>
        </w:rPr>
        <w:t>)</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6.1</w:t>
      </w:r>
      <w:r w:rsidRPr="006F480D">
        <w:rPr>
          <w:szCs w:val="24"/>
        </w:rPr>
        <w:tab/>
        <w:t>La Présidente rappelle qu</w:t>
      </w:r>
      <w:r w:rsidR="00496CE5">
        <w:rPr>
          <w:szCs w:val="24"/>
        </w:rPr>
        <w:t>'</w:t>
      </w:r>
      <w:r w:rsidRPr="006F480D">
        <w:rPr>
          <w:szCs w:val="24"/>
        </w:rPr>
        <w:t>à sa troisième séance plénière, le Conseil a pris note du rapport sur les activités de l</w:t>
      </w:r>
      <w:r w:rsidR="00496CE5">
        <w:rPr>
          <w:szCs w:val="24"/>
        </w:rPr>
        <w:t>'</w:t>
      </w:r>
      <w:r w:rsidRPr="006F480D">
        <w:rPr>
          <w:szCs w:val="24"/>
        </w:rPr>
        <w:t>UIT relatives à l</w:t>
      </w:r>
      <w:r w:rsidR="00496CE5">
        <w:rPr>
          <w:szCs w:val="24"/>
        </w:rPr>
        <w:t>'</w:t>
      </w:r>
      <w:r w:rsidRPr="006F480D">
        <w:rPr>
          <w:szCs w:val="24"/>
        </w:rPr>
        <w:t xml:space="preserve">Internet (Document </w:t>
      </w:r>
      <w:hyperlink r:id="rId25" w:history="1">
        <w:r w:rsidRPr="00084586">
          <w:rPr>
            <w:rStyle w:val="Hyperlink"/>
            <w:szCs w:val="24"/>
          </w:rPr>
          <w:t>C17/33</w:t>
        </w:r>
      </w:hyperlink>
      <w:r w:rsidRPr="006F480D">
        <w:rPr>
          <w:szCs w:val="24"/>
        </w:rPr>
        <w:t>) et que le Secrétaire général de l</w:t>
      </w:r>
      <w:r w:rsidR="00496CE5">
        <w:rPr>
          <w:szCs w:val="24"/>
        </w:rPr>
        <w:t>'</w:t>
      </w:r>
      <w:r w:rsidRPr="006F480D">
        <w:rPr>
          <w:szCs w:val="24"/>
        </w:rPr>
        <w:t>UIT doit transmettre au Secrétaire général de l</w:t>
      </w:r>
      <w:r w:rsidR="00496CE5">
        <w:rPr>
          <w:szCs w:val="24"/>
        </w:rPr>
        <w:t>'</w:t>
      </w:r>
      <w:r w:rsidRPr="006F480D">
        <w:rPr>
          <w:szCs w:val="24"/>
        </w:rPr>
        <w:t>ONU le rapport susmentionné, accompagné d</w:t>
      </w:r>
      <w:r w:rsidR="00496CE5">
        <w:rPr>
          <w:szCs w:val="24"/>
        </w:rPr>
        <w:t>'</w:t>
      </w:r>
      <w:r w:rsidRPr="006F480D">
        <w:rPr>
          <w:szCs w:val="24"/>
        </w:rPr>
        <w:t>une compilation des vues des États Membres à son sujet et du compte rendu officiel des délibérations du Conseil y relatives. Le Conseil est donc invité à approuver non pas le rapport mais la transmission de celui-ci et des documents connexes susmentionnés, tel que contenus dans le Document C17/DT/5 (Ensemble de documents concernant les activités de l</w:t>
      </w:r>
      <w:r w:rsidR="00496CE5">
        <w:rPr>
          <w:szCs w:val="24"/>
        </w:rPr>
        <w:t>'</w:t>
      </w:r>
      <w:r w:rsidRPr="006F480D">
        <w:rPr>
          <w:szCs w:val="24"/>
        </w:rPr>
        <w:t>UIT relatives à l</w:t>
      </w:r>
      <w:r w:rsidR="00496CE5">
        <w:rPr>
          <w:szCs w:val="24"/>
        </w:rPr>
        <w:t>'</w:t>
      </w:r>
      <w:r w:rsidRPr="006F480D">
        <w:rPr>
          <w:szCs w:val="24"/>
        </w:rPr>
        <w:t>Internet au titre des Résolutions 101, 102, 133 et 180)</w:t>
      </w:r>
    </w:p>
    <w:p w:rsidR="00BC6380" w:rsidRPr="006F480D" w:rsidRDefault="00BC6380" w:rsidP="00BC6380">
      <w:pPr>
        <w:tabs>
          <w:tab w:val="clear" w:pos="567"/>
          <w:tab w:val="clear" w:pos="1134"/>
          <w:tab w:val="clear" w:pos="1701"/>
          <w:tab w:val="clear" w:pos="2268"/>
          <w:tab w:val="clear" w:pos="2835"/>
        </w:tabs>
        <w:snapToGrid w:val="0"/>
        <w:spacing w:after="120"/>
        <w:rPr>
          <w:szCs w:val="24"/>
        </w:rPr>
      </w:pPr>
      <w:r w:rsidRPr="006F480D">
        <w:rPr>
          <w:szCs w:val="24"/>
        </w:rPr>
        <w:t>6.2</w:t>
      </w:r>
      <w:r w:rsidRPr="006F480D">
        <w:rPr>
          <w:szCs w:val="24"/>
        </w:rPr>
        <w:tab/>
        <w:t xml:space="preserve">Il en est ainsi </w:t>
      </w:r>
      <w:r w:rsidRPr="006F480D">
        <w:rPr>
          <w:b/>
          <w:bCs/>
          <w:szCs w:val="24"/>
        </w:rPr>
        <w:t>décidé</w:t>
      </w:r>
      <w:r w:rsidRPr="006F480D">
        <w:rPr>
          <w:szCs w:val="24"/>
        </w:rPr>
        <w:t xml:space="preserve">. </w:t>
      </w:r>
    </w:p>
    <w:p w:rsidR="00BC6380" w:rsidRPr="006F480D" w:rsidRDefault="00BC6380" w:rsidP="00286EAE">
      <w:pPr>
        <w:tabs>
          <w:tab w:val="clear" w:pos="567"/>
          <w:tab w:val="clear" w:pos="1134"/>
          <w:tab w:val="clear" w:pos="1701"/>
          <w:tab w:val="clear" w:pos="2268"/>
          <w:tab w:val="clear" w:pos="2835"/>
        </w:tabs>
        <w:snapToGrid w:val="0"/>
        <w:spacing w:before="360" w:after="120"/>
        <w:ind w:left="709" w:hanging="709"/>
        <w:rPr>
          <w:b/>
          <w:bCs/>
          <w:szCs w:val="24"/>
        </w:rPr>
      </w:pPr>
      <w:r w:rsidRPr="006F480D">
        <w:rPr>
          <w:b/>
          <w:bCs/>
          <w:szCs w:val="24"/>
        </w:rPr>
        <w:t>7</w:t>
      </w:r>
      <w:r w:rsidRPr="006F480D">
        <w:rPr>
          <w:b/>
          <w:bCs/>
          <w:szCs w:val="24"/>
        </w:rPr>
        <w:tab/>
        <w:t>Rapport du Président du Groupe de travail du Conseil sur les questions de politique publique internationale relative à l</w:t>
      </w:r>
      <w:r w:rsidR="00496CE5">
        <w:rPr>
          <w:b/>
          <w:bCs/>
          <w:szCs w:val="24"/>
        </w:rPr>
        <w:t>'</w:t>
      </w:r>
      <w:r w:rsidRPr="006F480D">
        <w:rPr>
          <w:b/>
          <w:bCs/>
          <w:szCs w:val="24"/>
        </w:rPr>
        <w:t xml:space="preserve">Internet (suite) (Documents </w:t>
      </w:r>
      <w:hyperlink r:id="rId26" w:history="1">
        <w:r w:rsidRPr="00A96746">
          <w:rPr>
            <w:rStyle w:val="Hyperlink"/>
            <w:b/>
            <w:bCs/>
            <w:szCs w:val="24"/>
          </w:rPr>
          <w:t>C17/102</w:t>
        </w:r>
      </w:hyperlink>
      <w:r w:rsidRPr="006F480D">
        <w:rPr>
          <w:b/>
          <w:bCs/>
          <w:szCs w:val="24"/>
        </w:rPr>
        <w:t xml:space="preserve">, </w:t>
      </w:r>
      <w:hyperlink r:id="rId27" w:history="1">
        <w:r w:rsidRPr="00A96746">
          <w:rPr>
            <w:rStyle w:val="Hyperlink"/>
            <w:b/>
            <w:bCs/>
            <w:szCs w:val="24"/>
          </w:rPr>
          <w:t>C17/103</w:t>
        </w:r>
      </w:hyperlink>
      <w:r w:rsidRPr="006F480D">
        <w:rPr>
          <w:b/>
          <w:bCs/>
          <w:szCs w:val="24"/>
        </w:rPr>
        <w:t xml:space="preserve"> et </w:t>
      </w:r>
      <w:hyperlink r:id="rId28" w:history="1">
        <w:r w:rsidRPr="00A96746">
          <w:rPr>
            <w:rStyle w:val="Hyperlink"/>
            <w:b/>
            <w:bCs/>
            <w:szCs w:val="24"/>
          </w:rPr>
          <w:t>C17/DL/7</w:t>
        </w:r>
      </w:hyperlink>
      <w:r w:rsidRPr="006F480D">
        <w:rPr>
          <w:b/>
          <w:bCs/>
          <w:szCs w:val="24"/>
        </w:rPr>
        <w:t xml:space="preserve">) </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7.1</w:t>
      </w:r>
      <w:r w:rsidRPr="006F480D">
        <w:rPr>
          <w:bCs/>
          <w:szCs w:val="24"/>
        </w:rPr>
        <w:tab/>
        <w:t>Le Président du GTC sur les questions de politique publique intern</w:t>
      </w:r>
      <w:r w:rsidR="00286EAE">
        <w:rPr>
          <w:bCs/>
          <w:szCs w:val="24"/>
        </w:rPr>
        <w:t>ationale relative à l</w:t>
      </w:r>
      <w:r w:rsidR="00496CE5">
        <w:rPr>
          <w:bCs/>
          <w:szCs w:val="24"/>
        </w:rPr>
        <w:t>'</w:t>
      </w:r>
      <w:r w:rsidR="00286EAE">
        <w:rPr>
          <w:bCs/>
          <w:szCs w:val="24"/>
        </w:rPr>
        <w:t xml:space="preserve">Internet </w:t>
      </w:r>
      <w:r w:rsidRPr="006F480D">
        <w:rPr>
          <w:bCs/>
          <w:szCs w:val="24"/>
        </w:rPr>
        <w:t xml:space="preserve">présente le Document C17/DL/7, qui contient les conclusions du groupe informel sur les sujets faisant l'objet de consultations ouvertes. Ce document est </w:t>
      </w:r>
      <w:r w:rsidRPr="006F480D">
        <w:rPr>
          <w:b/>
          <w:szCs w:val="24"/>
        </w:rPr>
        <w:t>approuvé</w:t>
      </w:r>
      <w:r w:rsidRPr="006F480D">
        <w:rPr>
          <w:bCs/>
          <w:szCs w:val="24"/>
        </w:rPr>
        <w:t>.</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7.2</w:t>
      </w:r>
      <w:r w:rsidRPr="006F480D">
        <w:rPr>
          <w:bCs/>
          <w:szCs w:val="24"/>
        </w:rPr>
        <w:tab/>
        <w:t>Le Président du GTC sur les questions de politique publique internationale relative à l</w:t>
      </w:r>
      <w:r w:rsidR="00496CE5">
        <w:rPr>
          <w:bCs/>
          <w:szCs w:val="24"/>
        </w:rPr>
        <w:t>'</w:t>
      </w:r>
      <w:r w:rsidRPr="006F480D">
        <w:rPr>
          <w:bCs/>
          <w:szCs w:val="24"/>
        </w:rPr>
        <w:t>Internet, qui rend compte des conclusions des consultations sur le Document C17/103 tenues à l</w:t>
      </w:r>
      <w:r w:rsidR="00496CE5">
        <w:rPr>
          <w:bCs/>
          <w:szCs w:val="24"/>
        </w:rPr>
        <w:t>'</w:t>
      </w:r>
      <w:r w:rsidRPr="006F480D">
        <w:rPr>
          <w:bCs/>
          <w:szCs w:val="24"/>
        </w:rPr>
        <w:t>issue de la cinquième séance plénière, dit que, puisqu</w:t>
      </w:r>
      <w:r w:rsidR="00496CE5">
        <w:rPr>
          <w:bCs/>
          <w:szCs w:val="24"/>
        </w:rPr>
        <w:t>'</w:t>
      </w:r>
      <w:r w:rsidRPr="006F480D">
        <w:rPr>
          <w:bCs/>
          <w:szCs w:val="24"/>
        </w:rPr>
        <w:t>il n</w:t>
      </w:r>
      <w:r w:rsidR="00496CE5">
        <w:rPr>
          <w:bCs/>
          <w:szCs w:val="24"/>
        </w:rPr>
        <w:t>'</w:t>
      </w:r>
      <w:r w:rsidRPr="006F480D">
        <w:rPr>
          <w:bCs/>
          <w:szCs w:val="24"/>
        </w:rPr>
        <w:t>y a pas de consensus en la matière, il est proposé que le GTC continue d</w:t>
      </w:r>
      <w:r w:rsidR="00496CE5">
        <w:rPr>
          <w:bCs/>
          <w:szCs w:val="24"/>
        </w:rPr>
        <w:t>'</w:t>
      </w:r>
      <w:r w:rsidRPr="006F480D">
        <w:rPr>
          <w:bCs/>
          <w:szCs w:val="24"/>
        </w:rPr>
        <w:t>appliquer la procédure et la pratique qu</w:t>
      </w:r>
      <w:r w:rsidR="00496CE5">
        <w:rPr>
          <w:bCs/>
          <w:szCs w:val="24"/>
        </w:rPr>
        <w:t>'</w:t>
      </w:r>
      <w:r w:rsidRPr="006F480D">
        <w:rPr>
          <w:bCs/>
          <w:szCs w:val="24"/>
        </w:rPr>
        <w:t>il suit actuellement en ce qui concerne les consultations en ligne ouvertes et les réunions traditionnelles de consultation ouverte.</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7.3</w:t>
      </w:r>
      <w:r w:rsidRPr="006F480D">
        <w:rPr>
          <w:bCs/>
          <w:szCs w:val="24"/>
        </w:rPr>
        <w:tab/>
        <w:t xml:space="preserve">Il en est ainsi </w:t>
      </w:r>
      <w:r w:rsidRPr="006F480D">
        <w:rPr>
          <w:b/>
          <w:szCs w:val="24"/>
        </w:rPr>
        <w:t>décidé</w:t>
      </w:r>
      <w:r w:rsidRPr="006F480D">
        <w:rPr>
          <w:bCs/>
          <w:szCs w:val="24"/>
        </w:rPr>
        <w:t>.</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7.4</w:t>
      </w:r>
      <w:r w:rsidRPr="006F480D">
        <w:rPr>
          <w:bCs/>
          <w:szCs w:val="24"/>
        </w:rPr>
        <w:tab/>
        <w:t>Le Conseiller de l</w:t>
      </w:r>
      <w:r w:rsidR="00496CE5">
        <w:rPr>
          <w:bCs/>
          <w:szCs w:val="24"/>
        </w:rPr>
        <w:t>'</w:t>
      </w:r>
      <w:r w:rsidRPr="006F480D">
        <w:rPr>
          <w:bCs/>
          <w:szCs w:val="24"/>
        </w:rPr>
        <w:t>Arabie saoudite présente le Document C17/102, contribution de son pays sur l</w:t>
      </w:r>
      <w:r w:rsidR="00496CE5">
        <w:rPr>
          <w:bCs/>
          <w:szCs w:val="24"/>
        </w:rPr>
        <w:t>'</w:t>
      </w:r>
      <w:r w:rsidRPr="006F480D">
        <w:rPr>
          <w:bCs/>
          <w:szCs w:val="24"/>
        </w:rPr>
        <w:t>adoption d</w:t>
      </w:r>
      <w:r w:rsidR="00496CE5">
        <w:rPr>
          <w:bCs/>
          <w:szCs w:val="24"/>
        </w:rPr>
        <w:t>'</w:t>
      </w:r>
      <w:r w:rsidRPr="006F480D">
        <w:rPr>
          <w:bCs/>
          <w:szCs w:val="24"/>
        </w:rPr>
        <w:t>une politique publique internationale relative à l</w:t>
      </w:r>
      <w:r w:rsidR="00496CE5">
        <w:rPr>
          <w:bCs/>
          <w:szCs w:val="24"/>
        </w:rPr>
        <w:t>'</w:t>
      </w:r>
      <w:r w:rsidRPr="006F480D">
        <w:rPr>
          <w:bCs/>
          <w:szCs w:val="24"/>
        </w:rPr>
        <w:t>accès des personnes handicapées et des personnes ayant des besoins particuliers à l</w:t>
      </w:r>
      <w:r w:rsidR="00496CE5">
        <w:rPr>
          <w:bCs/>
          <w:szCs w:val="24"/>
        </w:rPr>
        <w:t>'</w:t>
      </w:r>
      <w:r w:rsidRPr="006F480D">
        <w:rPr>
          <w:bCs/>
          <w:szCs w:val="24"/>
        </w:rPr>
        <w:t xml:space="preserve">Internet, qui inclut un projet de Résolution et une annexe sur ce sujet. </w:t>
      </w:r>
      <w:proofErr w:type="gramStart"/>
      <w:r w:rsidRPr="006F480D">
        <w:rPr>
          <w:bCs/>
          <w:szCs w:val="24"/>
        </w:rPr>
        <w:t>Il souligne</w:t>
      </w:r>
      <w:proofErr w:type="gramEnd"/>
      <w:r w:rsidRPr="006F480D">
        <w:rPr>
          <w:bCs/>
          <w:szCs w:val="24"/>
        </w:rPr>
        <w:t xml:space="preserve"> que la Résolution 175 de la Conférence de plénipotentiaires (</w:t>
      </w:r>
      <w:proofErr w:type="spellStart"/>
      <w:r w:rsidRPr="006F480D">
        <w:rPr>
          <w:bCs/>
          <w:szCs w:val="24"/>
        </w:rPr>
        <w:t>Rév</w:t>
      </w:r>
      <w:proofErr w:type="spellEnd"/>
      <w:r w:rsidRPr="006F480D">
        <w:rPr>
          <w:bCs/>
          <w:szCs w:val="24"/>
        </w:rPr>
        <w:t>. Busan, 2014) traite de l'accessibilité des TIC au sein de l'UIT alors que le projet de Résolution proposé préconise une politique au niveau international.</w:t>
      </w:r>
    </w:p>
    <w:p w:rsidR="00BC6380" w:rsidRPr="006F480D" w:rsidRDefault="00BC6380" w:rsidP="00C36984">
      <w:pPr>
        <w:tabs>
          <w:tab w:val="clear" w:pos="567"/>
          <w:tab w:val="clear" w:pos="1134"/>
          <w:tab w:val="clear" w:pos="1701"/>
          <w:tab w:val="clear" w:pos="2268"/>
          <w:tab w:val="clear" w:pos="2835"/>
        </w:tabs>
        <w:snapToGrid w:val="0"/>
        <w:spacing w:after="120"/>
        <w:rPr>
          <w:bCs/>
          <w:szCs w:val="24"/>
        </w:rPr>
      </w:pPr>
      <w:r w:rsidRPr="006F480D">
        <w:rPr>
          <w:bCs/>
          <w:szCs w:val="24"/>
        </w:rPr>
        <w:t>7.5</w:t>
      </w:r>
      <w:r w:rsidRPr="006F480D">
        <w:rPr>
          <w:bCs/>
          <w:szCs w:val="24"/>
        </w:rPr>
        <w:tab/>
        <w:t>Un long débat s'ensuit au cours duquel deux positions sont en présence. D'une part, plusieurs conseillers font valoir que l'Union dispose déjà de plusieurs textes, émanant de différents organes, qui, comme la Résolution 175, traitent de l'important sujet de l'accessibilité et ils considèrent qu'il n'y a pas lieu d'adopter une nouvelle Résolution sur le sujet. Si les textes déjà adoptés comportent des lacunes, ils pourraient être révisés et complétés. S'il n'y a pas d'accord sur le sujet, celui-ci pourra être repris à la prochaine session du Conseil. D</w:t>
      </w:r>
      <w:r w:rsidR="00496CE5">
        <w:rPr>
          <w:bCs/>
          <w:szCs w:val="24"/>
        </w:rPr>
        <w:t>'</w:t>
      </w:r>
      <w:r w:rsidRPr="006F480D">
        <w:rPr>
          <w:bCs/>
          <w:szCs w:val="24"/>
        </w:rPr>
        <w:t>autre part, plusieurs conseillers soutiennent que le projet de Résolution à l</w:t>
      </w:r>
      <w:r w:rsidR="00496CE5">
        <w:rPr>
          <w:bCs/>
          <w:szCs w:val="24"/>
        </w:rPr>
        <w:t>'</w:t>
      </w:r>
      <w:r w:rsidRPr="006F480D">
        <w:rPr>
          <w:bCs/>
          <w:szCs w:val="24"/>
        </w:rPr>
        <w:t>examen a une portée plus</w:t>
      </w:r>
      <w:r w:rsidR="00C36984">
        <w:rPr>
          <w:bCs/>
          <w:szCs w:val="24"/>
        </w:rPr>
        <w:t xml:space="preserve"> large que les textes existants</w:t>
      </w:r>
      <w:r w:rsidR="00D820D5">
        <w:rPr>
          <w:bCs/>
          <w:szCs w:val="24"/>
        </w:rPr>
        <w:t>,</w:t>
      </w:r>
      <w:r w:rsidRPr="006F480D">
        <w:rPr>
          <w:bCs/>
          <w:szCs w:val="24"/>
        </w:rPr>
        <w:t xml:space="preserve"> et que l'absence de consensus ne signifie pas qu'une question doive être abandonnée. Ils pensent que, si un accord ne se dégage pas en plénière, l'examen du texte proposé pourrait être confié au GTC ou à un autre groupe. Certains conseillers objectent que le GTC sur les questions de politique publique internationale relative à l</w:t>
      </w:r>
      <w:r w:rsidR="00496CE5">
        <w:rPr>
          <w:bCs/>
          <w:szCs w:val="24"/>
        </w:rPr>
        <w:t>'</w:t>
      </w:r>
      <w:r w:rsidRPr="006F480D">
        <w:rPr>
          <w:bCs/>
          <w:szCs w:val="24"/>
        </w:rPr>
        <w:t>Internet ne possède pas de mandat à cet effet.</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7.6</w:t>
      </w:r>
      <w:r w:rsidRPr="006F480D">
        <w:rPr>
          <w:bCs/>
          <w:szCs w:val="24"/>
        </w:rPr>
        <w:tab/>
        <w:t xml:space="preserve">Sur la suggestion de la Présidente, il est </w:t>
      </w:r>
      <w:r w:rsidRPr="006F480D">
        <w:rPr>
          <w:b/>
          <w:szCs w:val="24"/>
        </w:rPr>
        <w:t>décidé</w:t>
      </w:r>
      <w:r w:rsidRPr="006F480D">
        <w:rPr>
          <w:bCs/>
          <w:szCs w:val="24"/>
        </w:rPr>
        <w:t xml:space="preserve"> que le Président du GTC discutera de cette question de manière informelle avec les conseillers intéressés dès la fin de la séance, et rendra compte de ses conclusions à une séance ultérieure.</w:t>
      </w:r>
    </w:p>
    <w:p w:rsidR="00BC6380" w:rsidRPr="006F480D" w:rsidRDefault="00BC6380" w:rsidP="00286EAE">
      <w:pPr>
        <w:tabs>
          <w:tab w:val="clear" w:pos="567"/>
          <w:tab w:val="clear" w:pos="1134"/>
          <w:tab w:val="clear" w:pos="1701"/>
          <w:tab w:val="clear" w:pos="2268"/>
          <w:tab w:val="clear" w:pos="2835"/>
        </w:tabs>
        <w:snapToGrid w:val="0"/>
        <w:spacing w:after="120"/>
        <w:ind w:left="709" w:hanging="709"/>
        <w:rPr>
          <w:b/>
          <w:bCs/>
          <w:szCs w:val="24"/>
        </w:rPr>
      </w:pPr>
      <w:r w:rsidRPr="006F480D">
        <w:rPr>
          <w:rFonts w:asciiTheme="minorHAnsi" w:hAnsiTheme="minorHAnsi"/>
          <w:b/>
          <w:szCs w:val="24"/>
        </w:rPr>
        <w:t>8</w:t>
      </w:r>
      <w:r w:rsidRPr="006F480D">
        <w:rPr>
          <w:rFonts w:asciiTheme="minorHAnsi" w:hAnsiTheme="minorHAnsi"/>
          <w:b/>
          <w:szCs w:val="24"/>
        </w:rPr>
        <w:tab/>
        <w:t>Rapport sur le suivi des améliorations susceptibles d</w:t>
      </w:r>
      <w:r w:rsidR="00496CE5">
        <w:rPr>
          <w:rFonts w:asciiTheme="minorHAnsi" w:hAnsiTheme="minorHAnsi"/>
          <w:b/>
          <w:szCs w:val="24"/>
        </w:rPr>
        <w:t>'</w:t>
      </w:r>
      <w:r w:rsidRPr="006F480D">
        <w:rPr>
          <w:rFonts w:asciiTheme="minorHAnsi" w:hAnsiTheme="minorHAnsi"/>
          <w:b/>
          <w:szCs w:val="24"/>
        </w:rPr>
        <w:t>être apportées au déroulement de la Conférence de plénipotentiaires</w:t>
      </w:r>
      <w:r w:rsidRPr="006F480D">
        <w:rPr>
          <w:rFonts w:asciiTheme="minorHAnsi" w:hAnsiTheme="minorHAnsi"/>
          <w:szCs w:val="24"/>
        </w:rPr>
        <w:t xml:space="preserve"> </w:t>
      </w:r>
      <w:r w:rsidRPr="006F480D">
        <w:rPr>
          <w:rFonts w:asciiTheme="minorHAnsi" w:hAnsiTheme="minorHAnsi"/>
          <w:b/>
          <w:szCs w:val="24"/>
        </w:rPr>
        <w:t>(suite)</w:t>
      </w:r>
      <w:r w:rsidRPr="006F480D">
        <w:rPr>
          <w:rFonts w:asciiTheme="minorHAnsi" w:hAnsiTheme="minorHAnsi"/>
          <w:szCs w:val="24"/>
        </w:rPr>
        <w:t xml:space="preserve"> (</w:t>
      </w:r>
      <w:r w:rsidRPr="006F480D">
        <w:rPr>
          <w:b/>
          <w:bCs/>
          <w:szCs w:val="24"/>
        </w:rPr>
        <w:t xml:space="preserve">Documents </w:t>
      </w:r>
      <w:hyperlink r:id="rId29" w:history="1">
        <w:r w:rsidRPr="00084586">
          <w:rPr>
            <w:rStyle w:val="Hyperlink"/>
            <w:b/>
            <w:bCs/>
            <w:szCs w:val="24"/>
          </w:rPr>
          <w:t>C17/70</w:t>
        </w:r>
      </w:hyperlink>
      <w:r w:rsidRPr="006F480D">
        <w:rPr>
          <w:b/>
          <w:bCs/>
          <w:szCs w:val="24"/>
        </w:rPr>
        <w:t xml:space="preserve"> et </w:t>
      </w:r>
      <w:hyperlink r:id="rId30" w:history="1">
        <w:r w:rsidRPr="00A96746">
          <w:rPr>
            <w:rStyle w:val="Hyperlink"/>
            <w:b/>
            <w:bCs/>
            <w:szCs w:val="24"/>
          </w:rPr>
          <w:t>C17/DL/8</w:t>
        </w:r>
      </w:hyperlink>
      <w:r w:rsidRPr="006F480D">
        <w:rPr>
          <w:b/>
          <w:bCs/>
          <w:szCs w:val="24"/>
        </w:rPr>
        <w:t>)</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8.1</w:t>
      </w:r>
      <w:r w:rsidRPr="006F480D">
        <w:rPr>
          <w:bCs/>
          <w:szCs w:val="24"/>
        </w:rPr>
        <w:tab/>
        <w:t>Le Vice-Président du Conseil, en sa qualité de modérateur du groupe ad hoc établi à la sixième séance plénière, présente le Document C17/DL/8, qui contient les conclusions du groupe ad hoc sur les améliorations susceptibles d'être apportées à la Conférence de plénipotentiaires.</w:t>
      </w:r>
      <w:r w:rsidR="00736DFE">
        <w:rPr>
          <w:bCs/>
          <w:szCs w:val="24"/>
        </w:rPr>
        <w:t xml:space="preserve"> Il est</w:t>
      </w:r>
      <w:r w:rsidRPr="006F480D">
        <w:rPr>
          <w:bCs/>
          <w:szCs w:val="24"/>
        </w:rPr>
        <w:t xml:space="preserve"> </w:t>
      </w:r>
      <w:r w:rsidR="00736DFE">
        <w:rPr>
          <w:bCs/>
          <w:szCs w:val="24"/>
        </w:rPr>
        <w:t xml:space="preserve">également proposé pendant la réunion du Groupe ad hoc que le Conseil invite le Secrétaire général à élaborer, à l'intention des candidats en interne, des lignes directrices en matière d'éthique. </w:t>
      </w:r>
      <w:r w:rsidRPr="006F480D">
        <w:rPr>
          <w:bCs/>
          <w:szCs w:val="24"/>
        </w:rPr>
        <w:t xml:space="preserve">Ce document est </w:t>
      </w:r>
      <w:r w:rsidRPr="006F480D">
        <w:rPr>
          <w:b/>
          <w:szCs w:val="24"/>
        </w:rPr>
        <w:t>approuvé</w:t>
      </w:r>
      <w:r w:rsidR="00736DFE">
        <w:rPr>
          <w:bCs/>
          <w:szCs w:val="24"/>
        </w:rPr>
        <w:t xml:space="preserve"> et le Conseil souscrit à la proposition visant à inviter le Secrétaire général à élaborer, à l'intention des candidats en interne, des lignes directrices en matière d'éthique.</w:t>
      </w:r>
    </w:p>
    <w:p w:rsidR="00BC6380" w:rsidRPr="006F480D" w:rsidRDefault="00BC6380" w:rsidP="00286EAE">
      <w:pPr>
        <w:tabs>
          <w:tab w:val="clear" w:pos="567"/>
          <w:tab w:val="clear" w:pos="1134"/>
          <w:tab w:val="clear" w:pos="1701"/>
          <w:tab w:val="clear" w:pos="2268"/>
          <w:tab w:val="clear" w:pos="2835"/>
        </w:tabs>
        <w:snapToGrid w:val="0"/>
        <w:spacing w:after="120"/>
        <w:rPr>
          <w:bCs/>
          <w:szCs w:val="24"/>
        </w:rPr>
      </w:pPr>
      <w:r w:rsidRPr="006F480D">
        <w:rPr>
          <w:bCs/>
          <w:szCs w:val="24"/>
        </w:rPr>
        <w:t>8.2</w:t>
      </w:r>
      <w:r w:rsidRPr="006F480D">
        <w:rPr>
          <w:bCs/>
          <w:szCs w:val="24"/>
        </w:rPr>
        <w:tab/>
        <w:t>Le Chef du Département des services informatiques présente le Document C17/70, qui résume les conclusions d'une étude faite sur la mise en place d</w:t>
      </w:r>
      <w:r w:rsidR="00496CE5">
        <w:rPr>
          <w:bCs/>
          <w:szCs w:val="24"/>
        </w:rPr>
        <w:t>'</w:t>
      </w:r>
      <w:r w:rsidRPr="006F480D">
        <w:rPr>
          <w:bCs/>
          <w:szCs w:val="24"/>
        </w:rPr>
        <w:t xml:space="preserve">un système de vote électronique pour les élections à la Conférence de plénipotentiaires. </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8.3</w:t>
      </w:r>
      <w:r w:rsidRPr="006F480D">
        <w:rPr>
          <w:bCs/>
          <w:szCs w:val="24"/>
        </w:rPr>
        <w:tab/>
        <w:t>Les conseillers s'accordent à penser que, pour des raisons de coût, de confidentialité et de sécurité, il est préférable de conserver la procédure de vote avec des bulletins en papier.</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8.4</w:t>
      </w:r>
      <w:r w:rsidRPr="006F480D">
        <w:rPr>
          <w:bCs/>
          <w:szCs w:val="24"/>
        </w:rPr>
        <w:tab/>
        <w:t>Le Secrétaire général dit que le secrétariat ne poursuivra donc pas ses tests sur le vote électronique à la PP-18. Cependant, il restera attentif aux progrès réalisés dans ce domaine et tiendra le Conseil informé de tout fait nouveau important sur le plan technique et de l</w:t>
      </w:r>
      <w:r w:rsidR="00496CE5">
        <w:rPr>
          <w:bCs/>
          <w:szCs w:val="24"/>
        </w:rPr>
        <w:t>'</w:t>
      </w:r>
      <w:r w:rsidRPr="006F480D">
        <w:rPr>
          <w:bCs/>
          <w:szCs w:val="24"/>
        </w:rPr>
        <w:t>expérience acquise au sein du système des Nations Unies.</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8.5</w:t>
      </w:r>
      <w:r w:rsidRPr="006F480D">
        <w:rPr>
          <w:bCs/>
          <w:szCs w:val="24"/>
        </w:rPr>
        <w:tab/>
        <w:t xml:space="preserve">Il est </w:t>
      </w:r>
      <w:r w:rsidRPr="006F480D">
        <w:rPr>
          <w:b/>
          <w:szCs w:val="24"/>
        </w:rPr>
        <w:t>pris note</w:t>
      </w:r>
      <w:r w:rsidRPr="006F480D">
        <w:rPr>
          <w:bCs/>
          <w:szCs w:val="24"/>
        </w:rPr>
        <w:t xml:space="preserve"> du Document C17/70.</w:t>
      </w:r>
    </w:p>
    <w:p w:rsidR="00BC6380" w:rsidRPr="006F480D" w:rsidRDefault="00BC6380" w:rsidP="00084586">
      <w:pPr>
        <w:tabs>
          <w:tab w:val="clear" w:pos="567"/>
          <w:tab w:val="clear" w:pos="1134"/>
          <w:tab w:val="clear" w:pos="1701"/>
          <w:tab w:val="clear" w:pos="2268"/>
          <w:tab w:val="clear" w:pos="2835"/>
        </w:tabs>
        <w:snapToGrid w:val="0"/>
        <w:spacing w:before="360" w:after="120"/>
        <w:ind w:left="709" w:hanging="709"/>
        <w:rPr>
          <w:b/>
          <w:bCs/>
          <w:szCs w:val="24"/>
        </w:rPr>
      </w:pPr>
      <w:r w:rsidRPr="006F480D">
        <w:rPr>
          <w:b/>
          <w:bCs/>
          <w:szCs w:val="24"/>
        </w:rPr>
        <w:t>9</w:t>
      </w:r>
      <w:r w:rsidRPr="006F480D">
        <w:rPr>
          <w:b/>
          <w:bCs/>
          <w:szCs w:val="24"/>
        </w:rPr>
        <w:tab/>
        <w:t xml:space="preserve">Liste des candidats aux fonctions de président et vice-président des Groupes de travail </w:t>
      </w:r>
      <w:r w:rsidR="00286EAE">
        <w:rPr>
          <w:b/>
          <w:bCs/>
          <w:szCs w:val="24"/>
        </w:rPr>
        <w:br/>
      </w:r>
      <w:r w:rsidRPr="006F480D">
        <w:rPr>
          <w:b/>
          <w:bCs/>
          <w:szCs w:val="24"/>
        </w:rPr>
        <w:t xml:space="preserve">du Conseil (GTC) (suite) (Document </w:t>
      </w:r>
      <w:hyperlink r:id="rId31" w:history="1">
        <w:r w:rsidRPr="00084586">
          <w:rPr>
            <w:rStyle w:val="Hyperlink"/>
            <w:b/>
            <w:bCs/>
            <w:szCs w:val="24"/>
          </w:rPr>
          <w:t>C17/55</w:t>
        </w:r>
      </w:hyperlink>
      <w:r w:rsidRPr="006F480D">
        <w:rPr>
          <w:b/>
          <w:bCs/>
          <w:szCs w:val="24"/>
        </w:rPr>
        <w:t>(Rév.2)</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9.1</w:t>
      </w:r>
      <w:r w:rsidRPr="006F480D">
        <w:rPr>
          <w:bCs/>
          <w:szCs w:val="24"/>
        </w:rPr>
        <w:tab/>
        <w:t>Le Secrétaire général présente la révision 2 au Document C17/55. Il signale que le poste de président du GTC sur la protection en ligne des enfants est toujours vacant.</w:t>
      </w:r>
    </w:p>
    <w:p w:rsidR="00BC6380" w:rsidRPr="006F480D" w:rsidRDefault="00BC6380" w:rsidP="00BC6380">
      <w:pPr>
        <w:tabs>
          <w:tab w:val="clear" w:pos="567"/>
          <w:tab w:val="clear" w:pos="1134"/>
          <w:tab w:val="clear" w:pos="1701"/>
          <w:tab w:val="clear" w:pos="2268"/>
          <w:tab w:val="clear" w:pos="2835"/>
        </w:tabs>
        <w:snapToGrid w:val="0"/>
        <w:spacing w:after="120"/>
        <w:rPr>
          <w:bCs/>
          <w:szCs w:val="24"/>
        </w:rPr>
      </w:pPr>
      <w:r w:rsidRPr="006F480D">
        <w:rPr>
          <w:bCs/>
          <w:szCs w:val="24"/>
        </w:rPr>
        <w:t>9.2</w:t>
      </w:r>
      <w:r w:rsidRPr="006F480D">
        <w:rPr>
          <w:bCs/>
          <w:szCs w:val="24"/>
        </w:rPr>
        <w:tab/>
        <w:t xml:space="preserve">Le Conseil </w:t>
      </w:r>
      <w:r w:rsidRPr="006F480D">
        <w:rPr>
          <w:b/>
          <w:szCs w:val="24"/>
        </w:rPr>
        <w:t xml:space="preserve">approuve </w:t>
      </w:r>
      <w:r w:rsidRPr="006F480D">
        <w:rPr>
          <w:bCs/>
          <w:szCs w:val="24"/>
        </w:rPr>
        <w:t xml:space="preserve">le Document C17/55(Rév.2), et de ce fait </w:t>
      </w:r>
      <w:r w:rsidRPr="006F480D">
        <w:rPr>
          <w:b/>
          <w:bCs/>
          <w:szCs w:val="24"/>
        </w:rPr>
        <w:t>confirme</w:t>
      </w:r>
      <w:r w:rsidR="00A96746">
        <w:rPr>
          <w:bCs/>
          <w:szCs w:val="24"/>
        </w:rPr>
        <w:t xml:space="preserve"> la nomination des vice</w:t>
      </w:r>
      <w:r w:rsidRPr="006F480D">
        <w:rPr>
          <w:bCs/>
          <w:szCs w:val="24"/>
        </w:rPr>
        <w:t>-présidents des Groupes de travail du Conseil et du Groupe d</w:t>
      </w:r>
      <w:r w:rsidR="00496CE5">
        <w:rPr>
          <w:bCs/>
          <w:szCs w:val="24"/>
        </w:rPr>
        <w:t>'</w:t>
      </w:r>
      <w:r w:rsidRPr="006F480D">
        <w:rPr>
          <w:bCs/>
          <w:szCs w:val="24"/>
        </w:rPr>
        <w:t>experts sur le RTI.</w:t>
      </w:r>
    </w:p>
    <w:p w:rsidR="00BC6380" w:rsidRPr="006F480D" w:rsidRDefault="00BC6380" w:rsidP="00286EAE">
      <w:pPr>
        <w:tabs>
          <w:tab w:val="clear" w:pos="567"/>
          <w:tab w:val="clear" w:pos="1134"/>
          <w:tab w:val="clear" w:pos="1701"/>
          <w:tab w:val="clear" w:pos="2268"/>
          <w:tab w:val="clear" w:pos="2835"/>
          <w:tab w:val="left" w:pos="6946"/>
        </w:tabs>
        <w:snapToGrid w:val="0"/>
        <w:spacing w:before="720"/>
        <w:rPr>
          <w:bCs/>
          <w:szCs w:val="24"/>
        </w:rPr>
      </w:pPr>
      <w:r w:rsidRPr="006F480D">
        <w:rPr>
          <w:bCs/>
          <w:szCs w:val="24"/>
        </w:rPr>
        <w:t>Le Secrétaire général:</w:t>
      </w:r>
      <w:r w:rsidR="00286EAE">
        <w:rPr>
          <w:bCs/>
          <w:szCs w:val="24"/>
        </w:rPr>
        <w:tab/>
      </w:r>
      <w:r w:rsidRPr="006F480D">
        <w:rPr>
          <w:bCs/>
          <w:szCs w:val="24"/>
        </w:rPr>
        <w:t>La Présidente:</w:t>
      </w:r>
    </w:p>
    <w:p w:rsidR="00571EEA" w:rsidRDefault="00BC6380" w:rsidP="00286EAE">
      <w:pPr>
        <w:tabs>
          <w:tab w:val="clear" w:pos="567"/>
          <w:tab w:val="clear" w:pos="1134"/>
          <w:tab w:val="clear" w:pos="1701"/>
          <w:tab w:val="clear" w:pos="2268"/>
          <w:tab w:val="clear" w:pos="2835"/>
          <w:tab w:val="left" w:pos="6946"/>
        </w:tabs>
        <w:snapToGrid w:val="0"/>
        <w:spacing w:before="0" w:after="120"/>
        <w:rPr>
          <w:bCs/>
          <w:szCs w:val="24"/>
        </w:rPr>
      </w:pPr>
      <w:r w:rsidRPr="006F480D">
        <w:rPr>
          <w:bCs/>
          <w:szCs w:val="24"/>
        </w:rPr>
        <w:t>H. ZHAO</w:t>
      </w:r>
      <w:r w:rsidRPr="006F480D">
        <w:rPr>
          <w:bCs/>
          <w:szCs w:val="24"/>
        </w:rPr>
        <w:tab/>
        <w:t>E. SPINA</w:t>
      </w:r>
    </w:p>
    <w:p w:rsidR="00286EAE" w:rsidRPr="006F480D" w:rsidRDefault="00286EAE" w:rsidP="00286EAE">
      <w:pPr>
        <w:tabs>
          <w:tab w:val="clear" w:pos="567"/>
          <w:tab w:val="clear" w:pos="1134"/>
          <w:tab w:val="clear" w:pos="1701"/>
          <w:tab w:val="clear" w:pos="2268"/>
          <w:tab w:val="clear" w:pos="2835"/>
          <w:tab w:val="left" w:pos="6946"/>
        </w:tabs>
        <w:snapToGrid w:val="0"/>
        <w:spacing w:before="840"/>
        <w:jc w:val="center"/>
        <w:rPr>
          <w:bCs/>
          <w:szCs w:val="24"/>
        </w:rPr>
      </w:pPr>
      <w:r>
        <w:rPr>
          <w:bCs/>
          <w:szCs w:val="24"/>
        </w:rPr>
        <w:t>_______________</w:t>
      </w:r>
    </w:p>
    <w:sectPr w:rsidR="00286EAE" w:rsidRPr="006F480D" w:rsidSect="005C3890">
      <w:headerReference w:type="even" r:id="rId32"/>
      <w:headerReference w:type="default" r:id="rId33"/>
      <w:footerReference w:type="even" r:id="rId34"/>
      <w:footerReference w:type="default" r:id="rId35"/>
      <w:footerReference w:type="first" r:id="rId3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380" w:rsidRDefault="00BC6380">
      <w:r>
        <w:separator/>
      </w:r>
    </w:p>
  </w:endnote>
  <w:endnote w:type="continuationSeparator" w:id="0">
    <w:p w:rsidR="00BC6380" w:rsidRDefault="00BC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60A16">
    <w:pPr>
      <w:pStyle w:val="Footer"/>
    </w:pPr>
    <w:r>
      <w:fldChar w:fldCharType="begin"/>
    </w:r>
    <w:r>
      <w:instrText xml:space="preserve"> FILENAME \p \* MERGEFORMAT </w:instrText>
    </w:r>
    <w:r>
      <w:fldChar w:fldCharType="separate"/>
    </w:r>
    <w:r w:rsidR="00BC6380">
      <w:t>Document1</w:t>
    </w:r>
    <w:r>
      <w:fldChar w:fldCharType="end"/>
    </w:r>
    <w:r w:rsidR="00732045">
      <w:tab/>
    </w:r>
    <w:r w:rsidR="002F1B76">
      <w:fldChar w:fldCharType="begin"/>
    </w:r>
    <w:r w:rsidR="00732045">
      <w:instrText xml:space="preserve"> savedate \@ dd.MM.yy </w:instrText>
    </w:r>
    <w:r w:rsidR="002F1B76">
      <w:fldChar w:fldCharType="separate"/>
    </w:r>
    <w:r>
      <w:t>28.06.17</w:t>
    </w:r>
    <w:r w:rsidR="002F1B76">
      <w:fldChar w:fldCharType="end"/>
    </w:r>
    <w:r w:rsidR="00732045">
      <w:tab/>
    </w:r>
    <w:r w:rsidR="002F1B76">
      <w:fldChar w:fldCharType="begin"/>
    </w:r>
    <w:r w:rsidR="00732045">
      <w:instrText xml:space="preserve"> printdate \@ dd.MM.yy </w:instrText>
    </w:r>
    <w:r w:rsidR="002F1B76">
      <w:fldChar w:fldCharType="separate"/>
    </w:r>
    <w:r w:rsidR="00BC6380">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96CE5" w:rsidRDefault="00D820D5" w:rsidP="00496CE5">
    <w:pPr>
      <w:pStyle w:val="Footer"/>
    </w:pPr>
    <w:fldSimple w:instr=" FILENAME \p  \* MERGEFORMAT ">
      <w:r w:rsidR="00496CE5">
        <w:t>P:\FRA\SG\CONSEIL\C17\000\130V2F.docx</w:t>
      </w:r>
    </w:fldSimple>
    <w:r w:rsidR="00496CE5">
      <w:t xml:space="preserve"> (419337)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F60A16">
    <w:pPr>
      <w:pStyle w:val="Footer"/>
    </w:pPr>
    <w:r>
      <w:fldChar w:fldCharType="begin"/>
    </w:r>
    <w:r>
      <w:instrText xml:space="preserve"> FILENAME \p \* MERGEFORMAT </w:instrText>
    </w:r>
    <w:r>
      <w:fldChar w:fldCharType="separate"/>
    </w:r>
    <w:r w:rsidR="00BC6380">
      <w:t>Document1</w:t>
    </w:r>
    <w:r>
      <w:fldChar w:fldCharType="end"/>
    </w:r>
    <w:r w:rsidR="00732045">
      <w:tab/>
    </w:r>
    <w:r w:rsidR="002F1B76">
      <w:fldChar w:fldCharType="begin"/>
    </w:r>
    <w:r w:rsidR="00732045">
      <w:instrText xml:space="preserve"> savedate \@ dd.MM.yy </w:instrText>
    </w:r>
    <w:r w:rsidR="002F1B76">
      <w:fldChar w:fldCharType="separate"/>
    </w:r>
    <w:r>
      <w:t>28.06.17</w:t>
    </w:r>
    <w:r w:rsidR="002F1B76">
      <w:fldChar w:fldCharType="end"/>
    </w:r>
    <w:r w:rsidR="00732045">
      <w:tab/>
    </w:r>
    <w:r w:rsidR="002F1B76">
      <w:fldChar w:fldCharType="begin"/>
    </w:r>
    <w:r w:rsidR="00732045">
      <w:instrText xml:space="preserve"> printdate \@ dd.MM.yy </w:instrText>
    </w:r>
    <w:r w:rsidR="002F1B76">
      <w:fldChar w:fldCharType="separate"/>
    </w:r>
    <w:r w:rsidR="00BC6380">
      <w:t>18.07.00</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380" w:rsidRDefault="00BC6380">
      <w:r>
        <w:t>____________________</w:t>
      </w:r>
    </w:p>
  </w:footnote>
  <w:footnote w:type="continuationSeparator" w:id="0">
    <w:p w:rsidR="00BC6380" w:rsidRDefault="00BC6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F60A16">
      <w:rPr>
        <w:noProof/>
      </w:rPr>
      <w:t>5</w:t>
    </w:r>
    <w:r>
      <w:rPr>
        <w:noProof/>
      </w:rPr>
      <w:fldChar w:fldCharType="end"/>
    </w:r>
  </w:p>
  <w:p w:rsidR="00732045" w:rsidRDefault="00732045" w:rsidP="00496CE5">
    <w:pPr>
      <w:pStyle w:val="Header"/>
    </w:pPr>
    <w:r>
      <w:t>C1</w:t>
    </w:r>
    <w:r w:rsidR="0093234A">
      <w:t>7</w:t>
    </w:r>
    <w:r>
      <w:t>/</w:t>
    </w:r>
    <w:r w:rsidR="0008731A">
      <w:t>130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80"/>
    <w:rsid w:val="00084586"/>
    <w:rsid w:val="0008731A"/>
    <w:rsid w:val="000D0D0A"/>
    <w:rsid w:val="00103163"/>
    <w:rsid w:val="00115D93"/>
    <w:rsid w:val="001247A8"/>
    <w:rsid w:val="001378C0"/>
    <w:rsid w:val="0018694A"/>
    <w:rsid w:val="001A3287"/>
    <w:rsid w:val="001D4C31"/>
    <w:rsid w:val="001E4D21"/>
    <w:rsid w:val="00207CD1"/>
    <w:rsid w:val="002477A2"/>
    <w:rsid w:val="00263A51"/>
    <w:rsid w:val="00267E02"/>
    <w:rsid w:val="00286EAE"/>
    <w:rsid w:val="002A5D44"/>
    <w:rsid w:val="002E0BC4"/>
    <w:rsid w:val="002F1B76"/>
    <w:rsid w:val="00355FF5"/>
    <w:rsid w:val="00361350"/>
    <w:rsid w:val="003B2298"/>
    <w:rsid w:val="004038CB"/>
    <w:rsid w:val="0040546F"/>
    <w:rsid w:val="0042404A"/>
    <w:rsid w:val="0044618F"/>
    <w:rsid w:val="0046769A"/>
    <w:rsid w:val="00475FB3"/>
    <w:rsid w:val="00496CE5"/>
    <w:rsid w:val="004C37A9"/>
    <w:rsid w:val="004F259E"/>
    <w:rsid w:val="00511F1D"/>
    <w:rsid w:val="00540615"/>
    <w:rsid w:val="00540A6D"/>
    <w:rsid w:val="00571EEA"/>
    <w:rsid w:val="00575417"/>
    <w:rsid w:val="005768E1"/>
    <w:rsid w:val="005C3890"/>
    <w:rsid w:val="005F7BFE"/>
    <w:rsid w:val="00600017"/>
    <w:rsid w:val="006235CA"/>
    <w:rsid w:val="006643AB"/>
    <w:rsid w:val="006F480D"/>
    <w:rsid w:val="007210CD"/>
    <w:rsid w:val="00732045"/>
    <w:rsid w:val="007369DB"/>
    <w:rsid w:val="00736DFE"/>
    <w:rsid w:val="007956C2"/>
    <w:rsid w:val="007A187E"/>
    <w:rsid w:val="007C72C2"/>
    <w:rsid w:val="007D4436"/>
    <w:rsid w:val="007F257A"/>
    <w:rsid w:val="007F3665"/>
    <w:rsid w:val="00800037"/>
    <w:rsid w:val="00861D73"/>
    <w:rsid w:val="008A4E87"/>
    <w:rsid w:val="008D76E6"/>
    <w:rsid w:val="0092392D"/>
    <w:rsid w:val="0093234A"/>
    <w:rsid w:val="009C307F"/>
    <w:rsid w:val="00A00A6E"/>
    <w:rsid w:val="00A2113E"/>
    <w:rsid w:val="00A23A51"/>
    <w:rsid w:val="00A24607"/>
    <w:rsid w:val="00A25CD3"/>
    <w:rsid w:val="00A82767"/>
    <w:rsid w:val="00A96746"/>
    <w:rsid w:val="00AA332F"/>
    <w:rsid w:val="00AA7BBB"/>
    <w:rsid w:val="00AB64A8"/>
    <w:rsid w:val="00AC0266"/>
    <w:rsid w:val="00AD24EC"/>
    <w:rsid w:val="00B309F9"/>
    <w:rsid w:val="00B32B60"/>
    <w:rsid w:val="00B61619"/>
    <w:rsid w:val="00BB4545"/>
    <w:rsid w:val="00BC6380"/>
    <w:rsid w:val="00BD5873"/>
    <w:rsid w:val="00C04BE3"/>
    <w:rsid w:val="00C25D29"/>
    <w:rsid w:val="00C27A7C"/>
    <w:rsid w:val="00C36984"/>
    <w:rsid w:val="00CA08ED"/>
    <w:rsid w:val="00CF183B"/>
    <w:rsid w:val="00D375CD"/>
    <w:rsid w:val="00D553A2"/>
    <w:rsid w:val="00D774D3"/>
    <w:rsid w:val="00D820D5"/>
    <w:rsid w:val="00D904E8"/>
    <w:rsid w:val="00DA08C3"/>
    <w:rsid w:val="00DB5A3E"/>
    <w:rsid w:val="00DC22AA"/>
    <w:rsid w:val="00DF74DD"/>
    <w:rsid w:val="00E25AD0"/>
    <w:rsid w:val="00EB6350"/>
    <w:rsid w:val="00F15B57"/>
    <w:rsid w:val="00F427DB"/>
    <w:rsid w:val="00F60A16"/>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240C962-67F6-4C5C-90F4-9604E715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C638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05/en" TargetMode="External"/><Relationship Id="rId13" Type="http://schemas.openxmlformats.org/officeDocument/2006/relationships/hyperlink" Target="https://www.itu.int/md/S17-CL-C-0102/en" TargetMode="External"/><Relationship Id="rId18" Type="http://schemas.openxmlformats.org/officeDocument/2006/relationships/hyperlink" Target="https://www.itu.int/md/S17-CL-C-0055/en" TargetMode="External"/><Relationship Id="rId26" Type="http://schemas.openxmlformats.org/officeDocument/2006/relationships/hyperlink" Target="https://www.itu.int/md/S17-CL-C-0102/en" TargetMode="External"/><Relationship Id="rId3" Type="http://schemas.openxmlformats.org/officeDocument/2006/relationships/webSettings" Target="webSettings.xml"/><Relationship Id="rId21" Type="http://schemas.openxmlformats.org/officeDocument/2006/relationships/hyperlink" Target="https://www.itu.int/md/S17-CL-C-0002/en" TargetMode="External"/><Relationship Id="rId34" Type="http://schemas.openxmlformats.org/officeDocument/2006/relationships/footer" Target="footer1.xml"/><Relationship Id="rId7" Type="http://schemas.openxmlformats.org/officeDocument/2006/relationships/hyperlink" Target="https://www.itu.int/md/S17-CL-C-0098/en" TargetMode="External"/><Relationship Id="rId12" Type="http://schemas.openxmlformats.org/officeDocument/2006/relationships/hyperlink" Target="https://www.itu.int/md/S17-CL-170515-TD-GEN-0005/en" TargetMode="External"/><Relationship Id="rId17" Type="http://schemas.openxmlformats.org/officeDocument/2006/relationships/hyperlink" Target="https://www.itu.int/md/S17-CL-170515-DL-0008/en" TargetMode="External"/><Relationship Id="rId25" Type="http://schemas.openxmlformats.org/officeDocument/2006/relationships/hyperlink" Target="https://www.itu.int/md/S17-CL-C-0033/en"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17-CL-C-0070/en" TargetMode="External"/><Relationship Id="rId20" Type="http://schemas.openxmlformats.org/officeDocument/2006/relationships/hyperlink" Target="https://www.itu.int/md/S17-CL-C-0005/en" TargetMode="External"/><Relationship Id="rId29" Type="http://schemas.openxmlformats.org/officeDocument/2006/relationships/hyperlink" Target="https://www.itu.int/md/S17-CL-C-0070/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037/en" TargetMode="External"/><Relationship Id="rId24" Type="http://schemas.openxmlformats.org/officeDocument/2006/relationships/hyperlink" Target="https://www.itu.int/md/S17-CL-170515-TD-GEN-0005/en"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17-CL-170515-DL-0007/en" TargetMode="External"/><Relationship Id="rId23" Type="http://schemas.openxmlformats.org/officeDocument/2006/relationships/hyperlink" Target="https://www.itu.int/md/S17-CL-C-0037/en" TargetMode="External"/><Relationship Id="rId28" Type="http://schemas.openxmlformats.org/officeDocument/2006/relationships/hyperlink" Target="https://www.itu.int/md/S17-CL-170515-DL-0007/en" TargetMode="External"/><Relationship Id="rId36" Type="http://schemas.openxmlformats.org/officeDocument/2006/relationships/footer" Target="footer3.xml"/><Relationship Id="rId10" Type="http://schemas.openxmlformats.org/officeDocument/2006/relationships/hyperlink" Target="https://www.itu.int/md/S17-CL-C-0027/en" TargetMode="External"/><Relationship Id="rId19" Type="http://schemas.openxmlformats.org/officeDocument/2006/relationships/hyperlink" Target="https://www.itu.int/md/S17-CL-C-0098/en" TargetMode="External"/><Relationship Id="rId31" Type="http://schemas.openxmlformats.org/officeDocument/2006/relationships/hyperlink" Target="https://www.itu.int/md/S17-CL-C-0055/en" TargetMode="External"/><Relationship Id="rId4" Type="http://schemas.openxmlformats.org/officeDocument/2006/relationships/footnotes" Target="footnotes.xml"/><Relationship Id="rId9" Type="http://schemas.openxmlformats.org/officeDocument/2006/relationships/hyperlink" Target="https://www.itu.int/md/S17-CL-C-0002/en" TargetMode="External"/><Relationship Id="rId14" Type="http://schemas.openxmlformats.org/officeDocument/2006/relationships/hyperlink" Target="https://www.itu.int/md/S17-CL-C-0103/en" TargetMode="External"/><Relationship Id="rId22" Type="http://schemas.openxmlformats.org/officeDocument/2006/relationships/hyperlink" Target="https://www.itu.int/md/S17-CL-C-0027/en" TargetMode="External"/><Relationship Id="rId27" Type="http://schemas.openxmlformats.org/officeDocument/2006/relationships/hyperlink" Target="https://www.itu.int/md/S17-CL-C-0103/en" TargetMode="External"/><Relationship Id="rId30" Type="http://schemas.openxmlformats.org/officeDocument/2006/relationships/hyperlink" Target="https://www.itu.int/md/S17-CL-170515-DL-0008/en"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2253</Words>
  <Characters>12847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Compte rendu de la huitième séance plénière</vt:lpstr>
    </vt:vector>
  </TitlesOfParts>
  <Manager>Secrétariat général - Pool</Manager>
  <Company>Union internationale des télécommunications (UIT)</Company>
  <LinksUpToDate>false</LinksUpToDate>
  <CharactersWithSpaces>15070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huitième séance plénière</dc:title>
  <dc:subject>Conseil 2017</dc:subject>
  <dc:creator>Brouard, Ricarda</dc:creator>
  <cp:keywords>C2017, C17</cp:keywords>
  <dc:description>Document C17/130-F  Pour: _x000d_Date du document: 1 juin 2017_x000d_Enregistré par ITU51010239 à 12:45:22 le 01/06/2017</dc:description>
  <cp:lastModifiedBy>Janin</cp:lastModifiedBy>
  <cp:revision>2</cp:revision>
  <cp:lastPrinted>2000-07-18T08:55:00Z</cp:lastPrinted>
  <dcterms:created xsi:type="dcterms:W3CDTF">2017-07-04T06:19:00Z</dcterms:created>
  <dcterms:modified xsi:type="dcterms:W3CDTF">2017-07-04T06:19:00Z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C17/130-F</vt:lpwstr>
  </property>
  <property fmtid="{D5CDD505-2E9C-101B-9397-08002B2CF9AE}" pid="3" name="Docdate">
    <vt:lpwstr>1 juin 2017</vt:lpwstr>
  </property>
  <property fmtid="{D5CDD505-2E9C-101B-9397-08002B2CF9AE}" pid="4" name="Docorlang">
    <vt:lpwstr>Original: français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