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92308" w:rsidRPr="00813E5E">
        <w:trPr>
          <w:cantSplit/>
        </w:trPr>
        <w:tc>
          <w:tcPr>
            <w:tcW w:w="6911" w:type="dxa"/>
          </w:tcPr>
          <w:p w:rsidR="00B92308" w:rsidRPr="005351A7" w:rsidRDefault="005351A7" w:rsidP="00611C0B">
            <w:pPr>
              <w:spacing w:before="360" w:after="48" w:line="240" w:lineRule="atLeast"/>
              <w:rPr>
                <w:position w:val="6"/>
                <w:lang w:val="ru-RU"/>
              </w:rPr>
            </w:pPr>
            <w:r w:rsidRPr="008852B6">
              <w:rPr>
                <w:rFonts w:asciiTheme="minorHAnsi" w:hAnsiTheme="minorHAnsi"/>
                <w:b/>
                <w:bCs/>
                <w:position w:val="6"/>
                <w:sz w:val="28"/>
                <w:szCs w:val="28"/>
                <w:lang w:val="ru-RU"/>
              </w:rPr>
              <w:t>Совет 2017</w:t>
            </w:r>
            <w:r w:rsidR="00B92308" w:rsidRPr="005351A7">
              <w:rPr>
                <w:rFonts w:cs="Times"/>
                <w:b/>
                <w:position w:val="6"/>
                <w:sz w:val="26"/>
                <w:szCs w:val="26"/>
                <w:lang w:val="ru-RU"/>
              </w:rPr>
              <w:br/>
            </w:r>
            <w:r w:rsidRPr="005351A7">
              <w:rPr>
                <w:b/>
                <w:bCs/>
                <w:position w:val="6"/>
                <w:szCs w:val="22"/>
                <w:lang w:val="ru-RU"/>
              </w:rPr>
              <w:t>Женева</w:t>
            </w:r>
            <w:r w:rsidRPr="005351A7">
              <w:rPr>
                <w:b/>
                <w:bCs/>
                <w:position w:val="6"/>
                <w:szCs w:val="22"/>
                <w:lang w:val="fr-CH"/>
              </w:rPr>
              <w:t>, 15</w:t>
            </w:r>
            <w:r>
              <w:rPr>
                <w:b/>
                <w:bCs/>
                <w:position w:val="6"/>
                <w:szCs w:val="22"/>
                <w:lang w:val="fr-CH"/>
              </w:rPr>
              <w:t>–</w:t>
            </w:r>
            <w:r w:rsidRPr="005351A7">
              <w:rPr>
                <w:b/>
                <w:bCs/>
                <w:position w:val="6"/>
                <w:szCs w:val="22"/>
                <w:lang w:val="fr-CH"/>
              </w:rPr>
              <w:t xml:space="preserve">25 </w:t>
            </w:r>
            <w:r w:rsidRPr="005351A7">
              <w:rPr>
                <w:b/>
                <w:bCs/>
                <w:position w:val="6"/>
                <w:szCs w:val="22"/>
                <w:lang w:val="ru-RU"/>
              </w:rPr>
              <w:t>мая</w:t>
            </w:r>
            <w:r w:rsidRPr="005351A7">
              <w:rPr>
                <w:b/>
                <w:bCs/>
                <w:position w:val="6"/>
                <w:szCs w:val="22"/>
                <w:lang w:val="fr-CH"/>
              </w:rPr>
              <w:t xml:space="preserve"> 2017</w:t>
            </w:r>
            <w:r w:rsidRPr="005351A7">
              <w:rPr>
                <w:b/>
                <w:bCs/>
                <w:position w:val="6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92308" w:rsidRPr="00813E5E" w:rsidRDefault="00A25974" w:rsidP="00A25974">
            <w:pPr>
              <w:spacing w:before="0" w:line="240" w:lineRule="atLeast"/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752F0DAD" wp14:editId="292CAEB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308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92308" w:rsidRPr="00813E5E" w:rsidRDefault="00B92308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92308" w:rsidRPr="00813E5E" w:rsidRDefault="00B92308">
            <w:pPr>
              <w:spacing w:before="0" w:line="240" w:lineRule="atLeast"/>
              <w:rPr>
                <w:szCs w:val="24"/>
              </w:rPr>
            </w:pPr>
          </w:p>
        </w:tc>
      </w:tr>
      <w:tr w:rsidR="00B92308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92308" w:rsidRPr="00813E5E" w:rsidRDefault="00B92308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92308" w:rsidRPr="00813E5E" w:rsidRDefault="00B92308">
            <w:pPr>
              <w:spacing w:before="0" w:line="240" w:lineRule="atLeast"/>
              <w:rPr>
                <w:szCs w:val="24"/>
              </w:rPr>
            </w:pPr>
          </w:p>
        </w:tc>
      </w:tr>
      <w:tr w:rsidR="00B92308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B92308" w:rsidRPr="00B92308" w:rsidRDefault="00B92308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:rsidR="00B92308" w:rsidRPr="0018656D" w:rsidRDefault="0018656D" w:rsidP="0018656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Документ</w:t>
            </w:r>
            <w:r w:rsidR="00B92308" w:rsidRPr="005351A7">
              <w:rPr>
                <w:b/>
                <w:szCs w:val="22"/>
              </w:rPr>
              <w:t xml:space="preserve"> </w:t>
            </w:r>
            <w:proofErr w:type="spellStart"/>
            <w:r w:rsidR="00B92308" w:rsidRPr="005351A7">
              <w:rPr>
                <w:b/>
                <w:szCs w:val="22"/>
              </w:rPr>
              <w:t>C17</w:t>
            </w:r>
            <w:proofErr w:type="spellEnd"/>
            <w:r w:rsidR="00B92308" w:rsidRPr="005351A7">
              <w:rPr>
                <w:b/>
                <w:szCs w:val="22"/>
              </w:rPr>
              <w:t>/128-</w:t>
            </w:r>
            <w:r>
              <w:rPr>
                <w:b/>
                <w:szCs w:val="22"/>
              </w:rPr>
              <w:t>R</w:t>
            </w:r>
          </w:p>
        </w:tc>
      </w:tr>
      <w:tr w:rsidR="00B92308" w:rsidRPr="00813E5E">
        <w:trPr>
          <w:cantSplit/>
          <w:trHeight w:val="23"/>
        </w:trPr>
        <w:tc>
          <w:tcPr>
            <w:tcW w:w="6911" w:type="dxa"/>
            <w:vMerge/>
          </w:tcPr>
          <w:p w:rsidR="00B92308" w:rsidRPr="00813E5E" w:rsidRDefault="00B92308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B92308" w:rsidRPr="0018656D" w:rsidRDefault="0018656D" w:rsidP="00B92308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 xml:space="preserve">1 </w:t>
            </w:r>
            <w:r>
              <w:rPr>
                <w:b/>
                <w:szCs w:val="22"/>
                <w:lang w:val="ru-RU"/>
              </w:rPr>
              <w:t>июня 2017 года</w:t>
            </w:r>
          </w:p>
        </w:tc>
      </w:tr>
      <w:tr w:rsidR="00B92308" w:rsidRPr="00813E5E">
        <w:trPr>
          <w:cantSplit/>
          <w:trHeight w:val="23"/>
        </w:trPr>
        <w:tc>
          <w:tcPr>
            <w:tcW w:w="6911" w:type="dxa"/>
            <w:vMerge/>
          </w:tcPr>
          <w:p w:rsidR="00B92308" w:rsidRPr="00813E5E" w:rsidRDefault="00B92308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92308" w:rsidRPr="0018656D" w:rsidRDefault="0018656D" w:rsidP="0018656D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Оригинал</w:t>
            </w:r>
            <w:r w:rsidR="00B92308" w:rsidRPr="005351A7"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  <w:lang w:val="ru-RU"/>
              </w:rPr>
              <w:t>английский</w:t>
            </w:r>
          </w:p>
        </w:tc>
      </w:tr>
      <w:tr w:rsidR="00B92308" w:rsidRPr="00A25974">
        <w:trPr>
          <w:cantSplit/>
        </w:trPr>
        <w:tc>
          <w:tcPr>
            <w:tcW w:w="10031" w:type="dxa"/>
            <w:gridSpan w:val="2"/>
          </w:tcPr>
          <w:p w:rsidR="00B92308" w:rsidRPr="0018656D" w:rsidRDefault="0018656D" w:rsidP="00B92308">
            <w:pPr>
              <w:pStyle w:val="Title1"/>
              <w:rPr>
                <w:szCs w:val="26"/>
                <w:lang w:val="ru-RU"/>
              </w:rPr>
            </w:pPr>
            <w:bookmarkStart w:id="5" w:name="dtitle1" w:colFirst="0" w:colLast="0"/>
            <w:bookmarkEnd w:id="4"/>
            <w:r w:rsidRPr="0018656D">
              <w:rPr>
                <w:szCs w:val="26"/>
                <w:lang w:val="ru-RU"/>
              </w:rPr>
              <w:t>КРАТКИЙ ОТЧЕТ</w:t>
            </w:r>
          </w:p>
          <w:p w:rsidR="00B92308" w:rsidRPr="0018656D" w:rsidRDefault="0018656D" w:rsidP="0018656D">
            <w:pPr>
              <w:pStyle w:val="Title1"/>
              <w:rPr>
                <w:lang w:val="ru-RU"/>
              </w:rPr>
            </w:pPr>
            <w:r w:rsidRPr="0018656D">
              <w:rPr>
                <w:szCs w:val="26"/>
                <w:lang w:val="ru-RU"/>
              </w:rPr>
              <w:t>О СЕДЬМОМ ПЛЕНАРНОМ ЗАСЕДАНИИ</w:t>
            </w:r>
          </w:p>
        </w:tc>
      </w:tr>
      <w:tr w:rsidR="00B92308" w:rsidRPr="00A25974">
        <w:trPr>
          <w:cantSplit/>
        </w:trPr>
        <w:tc>
          <w:tcPr>
            <w:tcW w:w="10031" w:type="dxa"/>
            <w:gridSpan w:val="2"/>
          </w:tcPr>
          <w:p w:rsidR="00B92308" w:rsidRPr="0018656D" w:rsidRDefault="0018656D" w:rsidP="0018656D">
            <w:pPr>
              <w:pStyle w:val="Title1"/>
              <w:rPr>
                <w:sz w:val="22"/>
                <w:szCs w:val="22"/>
                <w:lang w:val="ru-RU"/>
              </w:rPr>
            </w:pPr>
            <w:r w:rsidRPr="00913FF8">
              <w:rPr>
                <w:caps w:val="0"/>
                <w:sz w:val="22"/>
                <w:szCs w:val="22"/>
                <w:lang w:val="ru-RU"/>
              </w:rPr>
              <w:t>Среда, 24 мая 2017</w:t>
            </w:r>
            <w:r>
              <w:rPr>
                <w:caps w:val="0"/>
                <w:sz w:val="22"/>
                <w:szCs w:val="22"/>
                <w:lang w:val="en-US"/>
              </w:rPr>
              <w:t> </w:t>
            </w:r>
            <w:r>
              <w:rPr>
                <w:caps w:val="0"/>
                <w:sz w:val="22"/>
                <w:szCs w:val="22"/>
                <w:lang w:val="ru-RU"/>
              </w:rPr>
              <w:t>года</w:t>
            </w:r>
            <w:r w:rsidRPr="00913FF8">
              <w:rPr>
                <w:caps w:val="0"/>
                <w:sz w:val="22"/>
                <w:szCs w:val="22"/>
                <w:lang w:val="ru-RU"/>
              </w:rPr>
              <w:t>, 10 час. 10 мин. – 12 час. 40 мин.</w:t>
            </w:r>
          </w:p>
        </w:tc>
      </w:tr>
      <w:tr w:rsidR="00B92308" w:rsidRPr="00A25974">
        <w:trPr>
          <w:cantSplit/>
        </w:trPr>
        <w:tc>
          <w:tcPr>
            <w:tcW w:w="10031" w:type="dxa"/>
            <w:gridSpan w:val="2"/>
          </w:tcPr>
          <w:p w:rsidR="00B92308" w:rsidRPr="0018656D" w:rsidRDefault="0018656D" w:rsidP="0018656D">
            <w:pPr>
              <w:pStyle w:val="Title1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caps w:val="0"/>
                <w:sz w:val="22"/>
                <w:szCs w:val="22"/>
                <w:lang w:val="ru-RU"/>
              </w:rPr>
              <w:t>Председатель</w:t>
            </w:r>
            <w:r w:rsidR="00B92308" w:rsidRPr="0018656D">
              <w:rPr>
                <w:caps w:val="0"/>
                <w:sz w:val="22"/>
                <w:szCs w:val="22"/>
                <w:lang w:val="ru-RU"/>
              </w:rPr>
              <w:t xml:space="preserve">: </w:t>
            </w:r>
            <w:r>
              <w:rPr>
                <w:caps w:val="0"/>
                <w:sz w:val="22"/>
                <w:szCs w:val="22"/>
                <w:lang w:val="ru-RU"/>
              </w:rPr>
              <w:t>д-р Э.</w:t>
            </w:r>
            <w:r w:rsidR="006B389B">
              <w:rPr>
                <w:caps w:val="0"/>
                <w:sz w:val="22"/>
                <w:szCs w:val="22"/>
                <w:lang w:val="ru-RU"/>
              </w:rPr>
              <w:t> </w:t>
            </w:r>
            <w:r>
              <w:rPr>
                <w:caps w:val="0"/>
                <w:sz w:val="22"/>
                <w:szCs w:val="22"/>
                <w:lang w:val="ru-RU"/>
              </w:rPr>
              <w:t>СПИНА</w:t>
            </w:r>
          </w:p>
        </w:tc>
      </w:tr>
      <w:bookmarkEnd w:id="5"/>
    </w:tbl>
    <w:p w:rsidR="00B92308" w:rsidRPr="0018656D" w:rsidRDefault="00B92308" w:rsidP="00B92308">
      <w:pPr>
        <w:spacing w:before="720"/>
        <w:rPr>
          <w:lang w:val="ru-RU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6992"/>
        <w:gridCol w:w="2412"/>
      </w:tblGrid>
      <w:tr w:rsidR="00B92308" w:rsidRPr="0018656D" w:rsidTr="00A25974"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B92308" w:rsidRPr="0018656D" w:rsidRDefault="00B92308" w:rsidP="00031CB7">
            <w:pPr>
              <w:pStyle w:val="toc0"/>
              <w:rPr>
                <w:szCs w:val="22"/>
                <w:lang w:val="ru-RU"/>
              </w:rPr>
            </w:pPr>
            <w:bookmarkStart w:id="6" w:name="dstart"/>
            <w:bookmarkStart w:id="7" w:name="dbreak"/>
            <w:bookmarkEnd w:id="6"/>
            <w:bookmarkEnd w:id="7"/>
          </w:p>
        </w:tc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</w:tcPr>
          <w:p w:rsidR="00B92308" w:rsidRPr="0018656D" w:rsidRDefault="0018656D" w:rsidP="00031CB7">
            <w:pPr>
              <w:pStyle w:val="toc0"/>
              <w:rPr>
                <w:szCs w:val="22"/>
              </w:rPr>
            </w:pPr>
            <w:r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:rsidR="00B92308" w:rsidRPr="0018656D" w:rsidRDefault="0018656D" w:rsidP="00031CB7">
            <w:pPr>
              <w:pStyle w:val="toc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Документы</w:t>
            </w:r>
          </w:p>
        </w:tc>
      </w:tr>
      <w:tr w:rsidR="0018656D" w:rsidRPr="0018656D" w:rsidTr="00A25974"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18656D" w:rsidP="00031CB7">
            <w:pPr>
              <w:ind w:left="567" w:hanging="567"/>
              <w:rPr>
                <w:szCs w:val="22"/>
              </w:rPr>
            </w:pPr>
            <w:r w:rsidRPr="0018656D">
              <w:rPr>
                <w:szCs w:val="22"/>
              </w:rPr>
              <w:t>1</w:t>
            </w:r>
          </w:p>
        </w:tc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913FF8" w:rsidRDefault="0018656D" w:rsidP="00031CB7">
            <w:pPr>
              <w:rPr>
                <w:szCs w:val="22"/>
                <w:lang w:val="ru-RU"/>
              </w:rPr>
            </w:pPr>
            <w:r w:rsidRPr="00913FF8">
              <w:rPr>
                <w:szCs w:val="22"/>
                <w:lang w:val="ru-RU"/>
              </w:rPr>
              <w:t>Всемирный форум по политике в области электросвязи/ИКТ (</w:t>
            </w:r>
            <w:proofErr w:type="spellStart"/>
            <w:r w:rsidRPr="00913FF8">
              <w:rPr>
                <w:szCs w:val="22"/>
                <w:lang w:val="ru-RU"/>
              </w:rPr>
              <w:t>ВФПЭ</w:t>
            </w:r>
            <w:proofErr w:type="spellEnd"/>
            <w:r w:rsidRPr="00913FF8">
              <w:rPr>
                <w:szCs w:val="22"/>
                <w:lang w:val="ru-RU"/>
              </w:rPr>
              <w:t>)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D50BAA" w:rsidP="00031CB7">
            <w:pPr>
              <w:jc w:val="center"/>
              <w:rPr>
                <w:szCs w:val="22"/>
              </w:rPr>
            </w:pPr>
            <w:hyperlink r:id="rId9" w:history="1">
              <w:proofErr w:type="spellStart"/>
              <w:r w:rsidR="0018656D" w:rsidRPr="0018656D">
                <w:rPr>
                  <w:rStyle w:val="Hyperlink"/>
                  <w:szCs w:val="22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</w:rPr>
                <w:t>/59</w:t>
              </w:r>
            </w:hyperlink>
          </w:p>
        </w:tc>
      </w:tr>
      <w:tr w:rsidR="0018656D" w:rsidRPr="0018656D" w:rsidTr="00A25974"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18656D" w:rsidP="00031CB7">
            <w:pPr>
              <w:ind w:left="567" w:hanging="567"/>
              <w:rPr>
                <w:szCs w:val="22"/>
              </w:rPr>
            </w:pPr>
            <w:r w:rsidRPr="0018656D">
              <w:rPr>
                <w:szCs w:val="22"/>
              </w:rPr>
              <w:t>2</w:t>
            </w:r>
          </w:p>
        </w:tc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913FF8" w:rsidRDefault="0018656D" w:rsidP="00031CB7">
            <w:pPr>
              <w:ind w:left="567" w:hanging="567"/>
              <w:rPr>
                <w:szCs w:val="22"/>
                <w:lang w:val="ru-RU"/>
              </w:rPr>
            </w:pPr>
            <w:r w:rsidRPr="00913FF8">
              <w:rPr>
                <w:szCs w:val="22"/>
                <w:lang w:val="ru-RU"/>
              </w:rPr>
              <w:t>Соглашение о сотрудничестве между МСЭ и Интерполом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D50BAA" w:rsidP="00031CB7">
            <w:pPr>
              <w:jc w:val="center"/>
              <w:rPr>
                <w:szCs w:val="22"/>
              </w:rPr>
            </w:pPr>
            <w:hyperlink r:id="rId10" w:history="1">
              <w:proofErr w:type="spellStart"/>
              <w:r w:rsidR="0018656D" w:rsidRPr="0018656D">
                <w:rPr>
                  <w:rStyle w:val="Hyperlink"/>
                  <w:szCs w:val="22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</w:rPr>
                <w:t>/65</w:t>
              </w:r>
            </w:hyperlink>
          </w:p>
        </w:tc>
      </w:tr>
      <w:tr w:rsidR="0018656D" w:rsidRPr="0018656D" w:rsidTr="00A25974"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18656D" w:rsidP="00031CB7">
            <w:pPr>
              <w:ind w:left="567" w:hanging="567"/>
              <w:rPr>
                <w:szCs w:val="22"/>
              </w:rPr>
            </w:pPr>
            <w:r w:rsidRPr="0018656D">
              <w:rPr>
                <w:szCs w:val="22"/>
              </w:rPr>
              <w:t>3</w:t>
            </w:r>
          </w:p>
        </w:tc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913FF8" w:rsidRDefault="0018656D" w:rsidP="0018656D">
            <w:pPr>
              <w:rPr>
                <w:szCs w:val="22"/>
                <w:lang w:val="ru-RU"/>
              </w:rPr>
            </w:pPr>
            <w:r w:rsidRPr="00913FF8">
              <w:rPr>
                <w:szCs w:val="22"/>
                <w:lang w:val="ru-RU"/>
              </w:rPr>
              <w:t>Роль МСЭ как контролирующего органа международной системы регистрации космических средств в соответствии с проектом Протокола по</w:t>
            </w:r>
            <w:r>
              <w:rPr>
                <w:szCs w:val="22"/>
                <w:lang w:val="ru-RU"/>
              </w:rPr>
              <w:t> </w:t>
            </w:r>
            <w:r w:rsidRPr="00913FF8">
              <w:rPr>
                <w:szCs w:val="22"/>
                <w:lang w:val="ru-RU"/>
              </w:rPr>
              <w:t>космическим средствам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CB1B08" w:rsidP="00031CB7">
            <w:pPr>
              <w:jc w:val="center"/>
              <w:rPr>
                <w:szCs w:val="22"/>
              </w:rPr>
            </w:pPr>
            <w:hyperlink r:id="rId11" w:history="1">
              <w:proofErr w:type="spellStart"/>
              <w:r w:rsidR="0018656D" w:rsidRPr="00CB1B08">
                <w:rPr>
                  <w:rStyle w:val="Hyperlink"/>
                  <w:szCs w:val="22"/>
                </w:rPr>
                <w:t>C17</w:t>
              </w:r>
              <w:proofErr w:type="spellEnd"/>
              <w:r w:rsidR="0018656D" w:rsidRPr="00CB1B08">
                <w:rPr>
                  <w:rStyle w:val="Hyperlink"/>
                  <w:szCs w:val="22"/>
                </w:rPr>
                <w:t>/36(</w:t>
              </w:r>
              <w:proofErr w:type="spellStart"/>
              <w:r w:rsidR="0018656D" w:rsidRPr="00CB1B08">
                <w:rPr>
                  <w:rStyle w:val="Hyperlink"/>
                  <w:szCs w:val="22"/>
                </w:rPr>
                <w:t>Rev.1</w:t>
              </w:r>
              <w:proofErr w:type="spellEnd"/>
              <w:r w:rsidR="0018656D" w:rsidRPr="00CB1B08">
                <w:rPr>
                  <w:rStyle w:val="Hyperlink"/>
                  <w:szCs w:val="22"/>
                </w:rPr>
                <w:t>)</w:t>
              </w:r>
            </w:hyperlink>
            <w:r w:rsidR="0018656D" w:rsidRPr="0018656D">
              <w:rPr>
                <w:szCs w:val="22"/>
              </w:rPr>
              <w:t xml:space="preserve">, </w:t>
            </w:r>
            <w:hyperlink r:id="rId12" w:history="1">
              <w:proofErr w:type="spellStart"/>
              <w:r w:rsidR="0018656D" w:rsidRPr="0018656D">
                <w:rPr>
                  <w:rStyle w:val="Hyperlink"/>
                  <w:szCs w:val="22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</w:rPr>
                <w:t>/94</w:t>
              </w:r>
            </w:hyperlink>
            <w:r w:rsidR="0018656D" w:rsidRPr="0018656D">
              <w:rPr>
                <w:szCs w:val="22"/>
              </w:rPr>
              <w:t xml:space="preserve">, </w:t>
            </w:r>
            <w:hyperlink r:id="rId13" w:history="1">
              <w:proofErr w:type="spellStart"/>
              <w:r w:rsidR="0018656D" w:rsidRPr="0018656D">
                <w:rPr>
                  <w:rStyle w:val="Hyperlink"/>
                  <w:szCs w:val="22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</w:rPr>
                <w:t>/111</w:t>
              </w:r>
            </w:hyperlink>
          </w:p>
        </w:tc>
      </w:tr>
      <w:tr w:rsidR="0018656D" w:rsidRPr="0018656D" w:rsidTr="00A25974"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18656D" w:rsidP="00031CB7">
            <w:pPr>
              <w:ind w:left="567" w:hanging="567"/>
              <w:rPr>
                <w:szCs w:val="22"/>
              </w:rPr>
            </w:pPr>
            <w:r w:rsidRPr="0018656D">
              <w:rPr>
                <w:szCs w:val="22"/>
              </w:rPr>
              <w:t>4</w:t>
            </w:r>
          </w:p>
        </w:tc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913FF8" w:rsidRDefault="0018656D" w:rsidP="0018656D">
            <w:pPr>
              <w:rPr>
                <w:szCs w:val="22"/>
                <w:lang w:val="ru-RU"/>
              </w:rPr>
            </w:pPr>
            <w:r w:rsidRPr="00913FF8">
              <w:rPr>
                <w:szCs w:val="22"/>
                <w:lang w:val="ru-RU"/>
              </w:rPr>
              <w:t xml:space="preserve">Проекты четырехгодичных скользящих оперативных планов </w:t>
            </w:r>
            <w:r>
              <w:rPr>
                <w:szCs w:val="22"/>
                <w:lang w:val="ru-RU"/>
              </w:rPr>
              <w:br/>
            </w:r>
            <w:r w:rsidRPr="00913FF8">
              <w:rPr>
                <w:szCs w:val="22"/>
                <w:lang w:val="ru-RU"/>
              </w:rPr>
              <w:t>на 2018</w:t>
            </w:r>
            <w:r>
              <w:rPr>
                <w:szCs w:val="22"/>
                <w:lang w:val="ru-RU"/>
              </w:rPr>
              <w:t>–</w:t>
            </w:r>
            <w:r w:rsidRPr="00913FF8">
              <w:rPr>
                <w:szCs w:val="22"/>
                <w:lang w:val="ru-RU"/>
              </w:rPr>
              <w:t>2021</w:t>
            </w:r>
            <w:r>
              <w:rPr>
                <w:szCs w:val="22"/>
                <w:lang w:val="ru-RU"/>
              </w:rPr>
              <w:t> </w:t>
            </w:r>
            <w:r w:rsidRPr="00913FF8">
              <w:rPr>
                <w:szCs w:val="22"/>
                <w:lang w:val="ru-RU"/>
              </w:rPr>
              <w:t>годы (продолжение)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CB1B08" w:rsidP="00A25974">
            <w:pPr>
              <w:jc w:val="center"/>
              <w:rPr>
                <w:szCs w:val="22"/>
              </w:rPr>
            </w:pPr>
            <w:hyperlink r:id="rId14" w:history="1">
              <w:r w:rsidR="0018656D" w:rsidRPr="00CB1B08">
                <w:rPr>
                  <w:rStyle w:val="Hyperlink"/>
                  <w:szCs w:val="22"/>
                </w:rPr>
                <w:t>C</w:t>
              </w:r>
              <w:r w:rsidR="0018656D" w:rsidRPr="00CB1B08">
                <w:rPr>
                  <w:rStyle w:val="Hyperlink"/>
                  <w:szCs w:val="22"/>
                  <w:lang w:val="en-US"/>
                </w:rPr>
                <w:t>17/28(</w:t>
              </w:r>
              <w:r w:rsidR="0018656D" w:rsidRPr="00CB1B08">
                <w:rPr>
                  <w:rStyle w:val="Hyperlink"/>
                  <w:szCs w:val="22"/>
                </w:rPr>
                <w:t>Rev</w:t>
              </w:r>
              <w:r w:rsidR="0018656D" w:rsidRPr="00CB1B08">
                <w:rPr>
                  <w:rStyle w:val="Hyperlink"/>
                  <w:szCs w:val="22"/>
                  <w:lang w:val="en-US"/>
                </w:rPr>
                <w:t>.1)</w:t>
              </w:r>
            </w:hyperlink>
            <w:r w:rsidR="0018656D" w:rsidRPr="00611C0B">
              <w:rPr>
                <w:szCs w:val="22"/>
                <w:lang w:val="en-US"/>
              </w:rPr>
              <w:t xml:space="preserve">, </w:t>
            </w:r>
            <w:hyperlink r:id="rId15" w:history="1">
              <w:proofErr w:type="spellStart"/>
              <w:r w:rsidR="0018656D" w:rsidRPr="0018656D">
                <w:rPr>
                  <w:rStyle w:val="Hyperlink"/>
                  <w:szCs w:val="22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</w:rPr>
                <w:t>/29</w:t>
              </w:r>
            </w:hyperlink>
            <w:r w:rsidR="0018656D" w:rsidRPr="0018656D">
              <w:rPr>
                <w:szCs w:val="22"/>
              </w:rPr>
              <w:t xml:space="preserve">, </w:t>
            </w:r>
            <w:hyperlink r:id="rId16" w:history="1">
              <w:proofErr w:type="spellStart"/>
              <w:r w:rsidR="0018656D" w:rsidRPr="00CB1B08">
                <w:rPr>
                  <w:rStyle w:val="Hyperlink"/>
                  <w:szCs w:val="22"/>
                </w:rPr>
                <w:t>C17</w:t>
              </w:r>
              <w:proofErr w:type="spellEnd"/>
              <w:r w:rsidR="0018656D" w:rsidRPr="00CB1B08">
                <w:rPr>
                  <w:rStyle w:val="Hyperlink"/>
                  <w:szCs w:val="22"/>
                </w:rPr>
                <w:t>/30(</w:t>
              </w:r>
              <w:proofErr w:type="spellStart"/>
              <w:r w:rsidR="0018656D" w:rsidRPr="00CB1B08">
                <w:rPr>
                  <w:rStyle w:val="Hyperlink"/>
                  <w:szCs w:val="22"/>
                </w:rPr>
                <w:t>Rev.1</w:t>
              </w:r>
              <w:proofErr w:type="spellEnd"/>
              <w:r w:rsidR="0018656D" w:rsidRPr="00CB1B08">
                <w:rPr>
                  <w:rStyle w:val="Hyperlink"/>
                  <w:szCs w:val="22"/>
                </w:rPr>
                <w:t>)</w:t>
              </w:r>
            </w:hyperlink>
            <w:r w:rsidR="0018656D" w:rsidRPr="0018656D">
              <w:rPr>
                <w:szCs w:val="22"/>
              </w:rPr>
              <w:t xml:space="preserve">, </w:t>
            </w:r>
            <w:hyperlink r:id="rId17" w:history="1">
              <w:proofErr w:type="spellStart"/>
              <w:r w:rsidR="0018656D" w:rsidRPr="0018656D">
                <w:rPr>
                  <w:rStyle w:val="Hyperlink"/>
                  <w:szCs w:val="22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</w:rPr>
                <w:t>/31</w:t>
              </w:r>
            </w:hyperlink>
            <w:r w:rsidR="0018656D" w:rsidRPr="0018656D">
              <w:rPr>
                <w:szCs w:val="22"/>
              </w:rPr>
              <w:t xml:space="preserve">, </w:t>
            </w:r>
            <w:hyperlink r:id="rId18" w:history="1">
              <w:proofErr w:type="spellStart"/>
              <w:r w:rsidR="0018656D" w:rsidRPr="0018656D">
                <w:rPr>
                  <w:rStyle w:val="Hyperlink"/>
                  <w:szCs w:val="22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</w:rPr>
                <w:t>/32</w:t>
              </w:r>
            </w:hyperlink>
          </w:p>
        </w:tc>
      </w:tr>
      <w:tr w:rsidR="0018656D" w:rsidRPr="0018656D" w:rsidTr="00A25974"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18656D" w:rsidP="00031CB7">
            <w:pPr>
              <w:ind w:left="567" w:hanging="567"/>
              <w:rPr>
                <w:szCs w:val="22"/>
              </w:rPr>
            </w:pPr>
            <w:r w:rsidRPr="0018656D">
              <w:rPr>
                <w:szCs w:val="22"/>
              </w:rPr>
              <w:t>5</w:t>
            </w:r>
          </w:p>
        </w:tc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913FF8" w:rsidRDefault="0018656D" w:rsidP="00031CB7">
            <w:pPr>
              <w:rPr>
                <w:szCs w:val="22"/>
                <w:lang w:val="ru-RU"/>
              </w:rPr>
            </w:pPr>
            <w:r w:rsidRPr="00913FF8">
              <w:rPr>
                <w:szCs w:val="22"/>
                <w:lang w:val="ru-RU"/>
              </w:rPr>
              <w:t>Программа по оценке соответствия и проверке на функциональную совместимость – отчет о положении дел и план действий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D50BAA" w:rsidP="00031CB7">
            <w:pPr>
              <w:jc w:val="center"/>
              <w:rPr>
                <w:szCs w:val="22"/>
              </w:rPr>
            </w:pPr>
            <w:hyperlink r:id="rId19" w:history="1">
              <w:proofErr w:type="spellStart"/>
              <w:r w:rsidR="0018656D" w:rsidRPr="0018656D">
                <w:rPr>
                  <w:rStyle w:val="Hyperlink"/>
                  <w:szCs w:val="22"/>
                  <w:lang w:val="en-CA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  <w:lang w:val="en-CA"/>
                </w:rPr>
                <w:t>/24</w:t>
              </w:r>
            </w:hyperlink>
          </w:p>
        </w:tc>
      </w:tr>
      <w:tr w:rsidR="0018656D" w:rsidRPr="0018656D" w:rsidTr="00A25974"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18656D" w:rsidP="00031CB7">
            <w:pPr>
              <w:ind w:left="567" w:hanging="567"/>
              <w:rPr>
                <w:szCs w:val="22"/>
              </w:rPr>
            </w:pPr>
            <w:r w:rsidRPr="0018656D">
              <w:rPr>
                <w:szCs w:val="22"/>
              </w:rPr>
              <w:t>6</w:t>
            </w:r>
          </w:p>
        </w:tc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913FF8" w:rsidRDefault="0018656D" w:rsidP="00031CB7">
            <w:pPr>
              <w:rPr>
                <w:szCs w:val="22"/>
                <w:lang w:val="ru-RU"/>
              </w:rPr>
            </w:pPr>
            <w:r w:rsidRPr="00913FF8">
              <w:rPr>
                <w:szCs w:val="22"/>
                <w:lang w:val="ru-RU"/>
              </w:rPr>
              <w:t>Содействие развитию интернета вещей для подготовки к глобально соединенному миру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D50BAA" w:rsidP="00031CB7">
            <w:pPr>
              <w:jc w:val="center"/>
              <w:rPr>
                <w:szCs w:val="22"/>
                <w:lang w:val="en-CA"/>
              </w:rPr>
            </w:pPr>
            <w:hyperlink r:id="rId20" w:history="1">
              <w:proofErr w:type="spellStart"/>
              <w:r w:rsidR="0018656D" w:rsidRPr="0018656D">
                <w:rPr>
                  <w:rStyle w:val="Hyperlink"/>
                  <w:szCs w:val="22"/>
                  <w:lang w:val="en-CA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  <w:lang w:val="en-CA"/>
                </w:rPr>
                <w:t>/23</w:t>
              </w:r>
            </w:hyperlink>
          </w:p>
        </w:tc>
      </w:tr>
      <w:tr w:rsidR="0018656D" w:rsidRPr="0018656D" w:rsidTr="00A25974"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18656D" w:rsidP="00031CB7">
            <w:pPr>
              <w:ind w:left="567" w:hanging="567"/>
              <w:rPr>
                <w:szCs w:val="22"/>
              </w:rPr>
            </w:pPr>
            <w:r w:rsidRPr="0018656D">
              <w:rPr>
                <w:szCs w:val="22"/>
              </w:rPr>
              <w:t>7</w:t>
            </w:r>
          </w:p>
        </w:tc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913FF8" w:rsidRDefault="0018656D" w:rsidP="00031CB7">
            <w:pPr>
              <w:rPr>
                <w:szCs w:val="22"/>
                <w:lang w:val="en-CA"/>
              </w:rPr>
            </w:pPr>
            <w:r w:rsidRPr="00913FF8">
              <w:rPr>
                <w:bCs/>
                <w:szCs w:val="22"/>
                <w:lang w:val="ru-RU"/>
              </w:rPr>
              <w:t>Цифровые финансовые услуги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D50BAA" w:rsidP="00031CB7">
            <w:pPr>
              <w:jc w:val="center"/>
              <w:rPr>
                <w:szCs w:val="22"/>
                <w:lang w:val="en-CA"/>
              </w:rPr>
            </w:pPr>
            <w:hyperlink r:id="rId21" w:history="1">
              <w:proofErr w:type="spellStart"/>
              <w:r w:rsidR="0018656D" w:rsidRPr="0018656D">
                <w:rPr>
                  <w:rStyle w:val="Hyperlink"/>
                  <w:szCs w:val="22"/>
                  <w:lang w:val="en-CA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  <w:lang w:val="en-CA"/>
                </w:rPr>
                <w:t>/68</w:t>
              </w:r>
            </w:hyperlink>
          </w:p>
        </w:tc>
      </w:tr>
      <w:tr w:rsidR="0018656D" w:rsidRPr="0018656D" w:rsidTr="00A25974"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18656D" w:rsidP="00031CB7">
            <w:pPr>
              <w:ind w:left="567" w:hanging="567"/>
              <w:rPr>
                <w:szCs w:val="22"/>
              </w:rPr>
            </w:pPr>
            <w:r w:rsidRPr="0018656D">
              <w:rPr>
                <w:szCs w:val="22"/>
              </w:rPr>
              <w:t>8</w:t>
            </w:r>
          </w:p>
        </w:tc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913FF8" w:rsidRDefault="0018656D" w:rsidP="0018656D">
            <w:pPr>
              <w:rPr>
                <w:szCs w:val="22"/>
                <w:lang w:val="ru-RU"/>
              </w:rPr>
            </w:pPr>
            <w:r w:rsidRPr="00913FF8">
              <w:rPr>
                <w:bCs/>
                <w:szCs w:val="22"/>
                <w:lang w:val="ru-RU"/>
              </w:rPr>
              <w:t>Эффективность региональных групп в отношении п</w:t>
            </w:r>
            <w:r w:rsidRPr="00913FF8">
              <w:rPr>
                <w:szCs w:val="22"/>
                <w:lang w:val="ru-RU"/>
              </w:rPr>
              <w:t>реодоления разрыва в</w:t>
            </w:r>
            <w:r>
              <w:rPr>
                <w:szCs w:val="22"/>
                <w:lang w:val="ru-RU"/>
              </w:rPr>
              <w:t> </w:t>
            </w:r>
            <w:r w:rsidRPr="00913FF8">
              <w:rPr>
                <w:szCs w:val="22"/>
                <w:lang w:val="ru-RU"/>
              </w:rPr>
              <w:t>стандартизации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D50BAA" w:rsidP="00031CB7">
            <w:pPr>
              <w:jc w:val="center"/>
              <w:rPr>
                <w:szCs w:val="22"/>
                <w:lang w:val="en-CA"/>
              </w:rPr>
            </w:pPr>
            <w:hyperlink r:id="rId22" w:history="1">
              <w:proofErr w:type="spellStart"/>
              <w:r w:rsidR="0018656D" w:rsidRPr="0018656D">
                <w:rPr>
                  <w:rStyle w:val="Hyperlink"/>
                  <w:szCs w:val="22"/>
                  <w:lang w:val="en-CA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  <w:lang w:val="en-CA"/>
                </w:rPr>
                <w:t>/72</w:t>
              </w:r>
            </w:hyperlink>
          </w:p>
        </w:tc>
      </w:tr>
      <w:tr w:rsidR="0018656D" w:rsidRPr="0018656D" w:rsidTr="00A25974"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18656D" w:rsidP="00031CB7">
            <w:pPr>
              <w:ind w:left="567" w:hanging="567"/>
              <w:rPr>
                <w:szCs w:val="22"/>
              </w:rPr>
            </w:pPr>
            <w:r w:rsidRPr="0018656D">
              <w:rPr>
                <w:szCs w:val="22"/>
              </w:rPr>
              <w:t>9</w:t>
            </w:r>
          </w:p>
        </w:tc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913FF8" w:rsidRDefault="0018656D" w:rsidP="00031CB7">
            <w:pPr>
              <w:ind w:left="567" w:hanging="567"/>
              <w:rPr>
                <w:szCs w:val="22"/>
                <w:lang w:val="ru-RU"/>
              </w:rPr>
            </w:pPr>
            <w:r w:rsidRPr="00913FF8">
              <w:rPr>
                <w:szCs w:val="22"/>
                <w:lang w:val="ru-RU"/>
              </w:rPr>
              <w:t xml:space="preserve">Отчет Рабочей группы Совета по </w:t>
            </w:r>
            <w:r w:rsidRPr="00913FF8">
              <w:rPr>
                <w:bCs/>
                <w:szCs w:val="22"/>
                <w:lang w:val="ru-RU"/>
              </w:rPr>
              <w:t>языкам</w:t>
            </w:r>
            <w:r w:rsidRPr="00913FF8">
              <w:rPr>
                <w:szCs w:val="22"/>
                <w:lang w:val="ru-RU"/>
              </w:rPr>
              <w:t xml:space="preserve"> (продолжение)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D50BAA" w:rsidP="00031CB7">
            <w:pPr>
              <w:jc w:val="center"/>
              <w:rPr>
                <w:szCs w:val="22"/>
                <w:lang w:val="en-CA"/>
              </w:rPr>
            </w:pPr>
            <w:hyperlink r:id="rId23" w:history="1">
              <w:proofErr w:type="spellStart"/>
              <w:r w:rsidR="0018656D" w:rsidRPr="0018656D">
                <w:rPr>
                  <w:rStyle w:val="Hyperlink"/>
                  <w:szCs w:val="22"/>
                  <w:lang w:val="en-CA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  <w:lang w:val="en-CA"/>
                </w:rPr>
                <w:t>/DT/4</w:t>
              </w:r>
            </w:hyperlink>
          </w:p>
        </w:tc>
      </w:tr>
      <w:tr w:rsidR="0018656D" w:rsidRPr="0018656D" w:rsidTr="00A25974"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18656D" w:rsidP="00031CB7">
            <w:pPr>
              <w:ind w:left="567" w:hanging="567"/>
              <w:rPr>
                <w:szCs w:val="22"/>
              </w:rPr>
            </w:pPr>
            <w:r w:rsidRPr="0018656D">
              <w:rPr>
                <w:szCs w:val="22"/>
              </w:rPr>
              <w:t>10</w:t>
            </w:r>
          </w:p>
        </w:tc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913FF8" w:rsidRDefault="0018656D" w:rsidP="00031CB7">
            <w:pPr>
              <w:ind w:left="567" w:hanging="567"/>
              <w:rPr>
                <w:szCs w:val="22"/>
                <w:lang w:val="en-CA"/>
              </w:rPr>
            </w:pPr>
            <w:r w:rsidRPr="00913FF8">
              <w:rPr>
                <w:szCs w:val="22"/>
                <w:lang w:val="ru-RU"/>
              </w:rPr>
              <w:t>Укрепление регионального присутствия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:rsidR="0018656D" w:rsidRPr="0018656D" w:rsidRDefault="00D50BAA" w:rsidP="00031CB7">
            <w:pPr>
              <w:jc w:val="center"/>
              <w:rPr>
                <w:szCs w:val="22"/>
                <w:lang w:val="en-CA"/>
              </w:rPr>
            </w:pPr>
            <w:hyperlink r:id="rId24" w:history="1">
              <w:proofErr w:type="spellStart"/>
              <w:r w:rsidR="0018656D" w:rsidRPr="0018656D">
                <w:rPr>
                  <w:rStyle w:val="Hyperlink"/>
                  <w:szCs w:val="22"/>
                  <w:lang w:val="en-CA"/>
                </w:rPr>
                <w:t>C17</w:t>
              </w:r>
              <w:proofErr w:type="spellEnd"/>
              <w:r w:rsidR="0018656D" w:rsidRPr="0018656D">
                <w:rPr>
                  <w:rStyle w:val="Hyperlink"/>
                  <w:szCs w:val="22"/>
                  <w:lang w:val="en-CA"/>
                </w:rPr>
                <w:t>/25</w:t>
              </w:r>
            </w:hyperlink>
          </w:p>
        </w:tc>
      </w:tr>
    </w:tbl>
    <w:p w:rsidR="00B92308" w:rsidRPr="0018656D" w:rsidRDefault="00B92308">
      <w:pPr>
        <w:overflowPunct/>
        <w:autoSpaceDE/>
        <w:autoSpaceDN/>
        <w:adjustRightInd/>
        <w:spacing w:before="0"/>
        <w:textAlignment w:val="auto"/>
        <w:rPr>
          <w:szCs w:val="22"/>
        </w:rPr>
      </w:pPr>
      <w:r w:rsidRPr="0018656D">
        <w:rPr>
          <w:szCs w:val="22"/>
        </w:rPr>
        <w:br w:type="page"/>
      </w:r>
    </w:p>
    <w:p w:rsidR="00B92308" w:rsidRPr="00A25974" w:rsidRDefault="00B92308" w:rsidP="00A25974">
      <w:pPr>
        <w:pStyle w:val="Heading1"/>
        <w:rPr>
          <w:szCs w:val="26"/>
          <w:lang w:val="ru-RU"/>
        </w:rPr>
      </w:pPr>
      <w:r w:rsidRPr="00A25974">
        <w:rPr>
          <w:szCs w:val="26"/>
          <w:lang w:val="ru-RU"/>
        </w:rPr>
        <w:lastRenderedPageBreak/>
        <w:t>1</w:t>
      </w:r>
      <w:r w:rsidRPr="00A25974">
        <w:rPr>
          <w:szCs w:val="26"/>
          <w:lang w:val="ru-RU"/>
        </w:rPr>
        <w:tab/>
      </w:r>
      <w:r w:rsidR="0018656D" w:rsidRPr="00A25974">
        <w:rPr>
          <w:szCs w:val="26"/>
          <w:lang w:val="ru-RU"/>
        </w:rPr>
        <w:t>Всемирный форум по политике в области электросвязи/ИКТ (</w:t>
      </w:r>
      <w:proofErr w:type="spellStart"/>
      <w:r w:rsidR="0018656D" w:rsidRPr="00A25974">
        <w:rPr>
          <w:szCs w:val="26"/>
          <w:lang w:val="ru-RU"/>
        </w:rPr>
        <w:t>ВФПЭ</w:t>
      </w:r>
      <w:proofErr w:type="spellEnd"/>
      <w:r w:rsidR="0018656D" w:rsidRPr="00A25974">
        <w:rPr>
          <w:szCs w:val="26"/>
          <w:lang w:val="ru-RU"/>
        </w:rPr>
        <w:t>) (Документ</w:t>
      </w:r>
      <w:r w:rsidR="00A25974">
        <w:rPr>
          <w:szCs w:val="26"/>
          <w:lang w:val="ru-RU"/>
        </w:rPr>
        <w:t> </w:t>
      </w:r>
      <w:hyperlink r:id="rId25" w:history="1">
        <w:r w:rsidRPr="00A25974">
          <w:rPr>
            <w:rStyle w:val="Hyperlink"/>
            <w:bCs/>
            <w:szCs w:val="26"/>
          </w:rPr>
          <w:t>C</w:t>
        </w:r>
        <w:r w:rsidRPr="00A25974">
          <w:rPr>
            <w:rStyle w:val="Hyperlink"/>
            <w:bCs/>
            <w:szCs w:val="26"/>
            <w:lang w:val="ru-RU"/>
          </w:rPr>
          <w:t>17/59</w:t>
        </w:r>
      </w:hyperlink>
      <w:r w:rsidRPr="00A25974">
        <w:rPr>
          <w:szCs w:val="26"/>
          <w:lang w:val="ru-RU"/>
        </w:rPr>
        <w:t>)</w:t>
      </w:r>
    </w:p>
    <w:p w:rsidR="00AD6693" w:rsidRPr="00913FF8" w:rsidRDefault="00B92308" w:rsidP="00AD6693">
      <w:pPr>
        <w:snapToGrid w:val="0"/>
        <w:spacing w:after="120"/>
        <w:rPr>
          <w:szCs w:val="22"/>
          <w:lang w:val="ru-RU"/>
        </w:rPr>
      </w:pPr>
      <w:r w:rsidRPr="00AD6693">
        <w:rPr>
          <w:szCs w:val="22"/>
          <w:lang w:val="ru-RU"/>
        </w:rPr>
        <w:t>1.1</w:t>
      </w:r>
      <w:r w:rsidRPr="00AD6693">
        <w:rPr>
          <w:szCs w:val="22"/>
          <w:lang w:val="ru-RU"/>
        </w:rPr>
        <w:tab/>
      </w:r>
      <w:r w:rsidR="00AD6693" w:rsidRPr="00913FF8">
        <w:rPr>
          <w:szCs w:val="22"/>
          <w:lang w:val="ru-RU"/>
        </w:rPr>
        <w:t>Руководитель Департамента по страте</w:t>
      </w:r>
      <w:bookmarkStart w:id="8" w:name="_GoBack"/>
      <w:bookmarkEnd w:id="8"/>
      <w:r w:rsidR="00AD6693" w:rsidRPr="00913FF8">
        <w:rPr>
          <w:szCs w:val="22"/>
          <w:lang w:val="ru-RU"/>
        </w:rPr>
        <w:t xml:space="preserve">гическому планированию и связям с членами, представляя Документ </w:t>
      </w:r>
      <w:r w:rsidR="00AD6693" w:rsidRPr="00913FF8">
        <w:rPr>
          <w:szCs w:val="22"/>
        </w:rPr>
        <w:t>C</w:t>
      </w:r>
      <w:r w:rsidR="00AD6693" w:rsidRPr="00913FF8">
        <w:rPr>
          <w:szCs w:val="22"/>
          <w:lang w:val="ru-RU"/>
        </w:rPr>
        <w:t xml:space="preserve">17/59, сообщает, что в ответ на свое циркулярное письмо Генеральный секретариат получил пять вкладов, касающихся возможных тем, сроков и места </w:t>
      </w:r>
      <w:proofErr w:type="gramStart"/>
      <w:r w:rsidR="00AD6693" w:rsidRPr="00913FF8">
        <w:rPr>
          <w:szCs w:val="22"/>
          <w:lang w:val="ru-RU"/>
        </w:rPr>
        <w:t>проведения</w:t>
      </w:r>
      <w:proofErr w:type="gramEnd"/>
      <w:r w:rsidR="00AD6693" w:rsidRPr="00913FF8">
        <w:rPr>
          <w:szCs w:val="22"/>
          <w:lang w:val="ru-RU"/>
        </w:rPr>
        <w:t xml:space="preserve"> следующего </w:t>
      </w:r>
      <w:proofErr w:type="spellStart"/>
      <w:r w:rsidR="00AD6693" w:rsidRPr="00913FF8">
        <w:rPr>
          <w:szCs w:val="22"/>
          <w:lang w:val="ru-RU"/>
        </w:rPr>
        <w:t>ВФПЭ</w:t>
      </w:r>
      <w:proofErr w:type="spellEnd"/>
      <w:r w:rsidR="00AD6693" w:rsidRPr="00913FF8">
        <w:rPr>
          <w:szCs w:val="22"/>
          <w:lang w:val="ru-RU"/>
        </w:rPr>
        <w:t>.</w:t>
      </w:r>
    </w:p>
    <w:p w:rsidR="00AD6693" w:rsidRPr="00913FF8" w:rsidRDefault="00AD6693" w:rsidP="000C49A4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1.2</w:t>
      </w:r>
      <w:r w:rsidRPr="00913FF8">
        <w:rPr>
          <w:szCs w:val="22"/>
          <w:lang w:val="ru-RU"/>
        </w:rPr>
        <w:tab/>
        <w:t xml:space="preserve">Советники обращают внимание на важность Форума, являющегося уникальной платформой </w:t>
      </w:r>
      <w:r w:rsidRPr="00A54D09">
        <w:rPr>
          <w:szCs w:val="22"/>
          <w:lang w:val="ru-RU"/>
        </w:rPr>
        <w:t xml:space="preserve">для обмена информацией и опытом по возникающим вопросам, связанным с развитием ИКТ/электросвязи, особенно для развивающихся стран. Один </w:t>
      </w:r>
      <w:r w:rsidR="00611C0B" w:rsidRPr="00A54D09">
        <w:rPr>
          <w:szCs w:val="22"/>
          <w:lang w:val="ru-RU"/>
        </w:rPr>
        <w:t>из советников</w:t>
      </w:r>
      <w:r w:rsidRPr="00A54D09">
        <w:rPr>
          <w:szCs w:val="22"/>
          <w:lang w:val="ru-RU"/>
        </w:rPr>
        <w:t xml:space="preserve"> предлагает провести следующий </w:t>
      </w:r>
      <w:proofErr w:type="spellStart"/>
      <w:r w:rsidRPr="00A54D09">
        <w:rPr>
          <w:szCs w:val="22"/>
          <w:lang w:val="ru-RU"/>
        </w:rPr>
        <w:t>ВФПЭ</w:t>
      </w:r>
      <w:proofErr w:type="spellEnd"/>
      <w:r w:rsidRPr="00A54D09">
        <w:rPr>
          <w:szCs w:val="22"/>
          <w:lang w:val="ru-RU"/>
        </w:rPr>
        <w:t xml:space="preserve"> в первом или во втором квартале 2018 года. Другой </w:t>
      </w:r>
      <w:r w:rsidR="00611C0B" w:rsidRPr="00A54D09">
        <w:rPr>
          <w:szCs w:val="22"/>
          <w:lang w:val="ru-RU"/>
        </w:rPr>
        <w:t xml:space="preserve">советник </w:t>
      </w:r>
      <w:r w:rsidRPr="00A54D09">
        <w:rPr>
          <w:szCs w:val="22"/>
          <w:lang w:val="ru-RU"/>
        </w:rPr>
        <w:t xml:space="preserve">говорит о важности принятия своевременных и согласованных ответных мер по политическим вопросам, которые возникают в результате изменения среды ИКТ/электросвязи, и соглашается с тем, что проведение </w:t>
      </w:r>
      <w:proofErr w:type="spellStart"/>
      <w:r w:rsidRPr="00A54D09">
        <w:rPr>
          <w:szCs w:val="22"/>
          <w:lang w:val="ru-RU"/>
        </w:rPr>
        <w:t>ВФПЭ</w:t>
      </w:r>
      <w:proofErr w:type="spellEnd"/>
      <w:r w:rsidRPr="00A54D09">
        <w:rPr>
          <w:szCs w:val="22"/>
          <w:lang w:val="ru-RU"/>
        </w:rPr>
        <w:t xml:space="preserve"> не следует откладывать. Ряд </w:t>
      </w:r>
      <w:r w:rsidR="00611C0B" w:rsidRPr="00A54D09">
        <w:rPr>
          <w:szCs w:val="22"/>
          <w:lang w:val="ru-RU"/>
        </w:rPr>
        <w:t xml:space="preserve">советников </w:t>
      </w:r>
      <w:r w:rsidRPr="00A54D09">
        <w:rPr>
          <w:szCs w:val="22"/>
          <w:lang w:val="ru-RU"/>
        </w:rPr>
        <w:t>заявля</w:t>
      </w:r>
      <w:r w:rsidR="00A54D09" w:rsidRPr="00A54D09">
        <w:rPr>
          <w:szCs w:val="22"/>
          <w:lang w:val="ru-RU"/>
        </w:rPr>
        <w:t>ю</w:t>
      </w:r>
      <w:r w:rsidRPr="00A54D09">
        <w:rPr>
          <w:szCs w:val="22"/>
          <w:lang w:val="ru-RU"/>
        </w:rPr>
        <w:t xml:space="preserve">т, что, принимая во внимание такие факторы, как количество конференций, запланированных к проведению накануне ПК-18, решение вопроса о возможной теме, сроках и месте проведения следующего </w:t>
      </w:r>
      <w:proofErr w:type="spellStart"/>
      <w:r w:rsidRPr="00A54D09">
        <w:rPr>
          <w:szCs w:val="22"/>
          <w:lang w:val="ru-RU"/>
        </w:rPr>
        <w:t>ВФПЭ</w:t>
      </w:r>
      <w:proofErr w:type="spellEnd"/>
      <w:r w:rsidRPr="00A54D09">
        <w:rPr>
          <w:szCs w:val="22"/>
          <w:lang w:val="ru-RU"/>
        </w:rPr>
        <w:t xml:space="preserve"> необходимо оставить на усмотрение полномочной конференции. Тем не менее </w:t>
      </w:r>
      <w:r w:rsidR="000C49A4">
        <w:rPr>
          <w:szCs w:val="22"/>
          <w:lang w:val="ru-RU"/>
        </w:rPr>
        <w:t xml:space="preserve">ряд </w:t>
      </w:r>
      <w:r w:rsidRPr="00A54D09">
        <w:rPr>
          <w:szCs w:val="22"/>
          <w:lang w:val="ru-RU"/>
        </w:rPr>
        <w:t>други</w:t>
      </w:r>
      <w:r w:rsidR="000C49A4">
        <w:rPr>
          <w:szCs w:val="22"/>
          <w:lang w:val="ru-RU"/>
        </w:rPr>
        <w:t>х</w:t>
      </w:r>
      <w:r w:rsidRPr="00A54D09">
        <w:rPr>
          <w:szCs w:val="22"/>
          <w:lang w:val="ru-RU"/>
        </w:rPr>
        <w:t xml:space="preserve"> </w:t>
      </w:r>
      <w:r w:rsidR="00611C0B" w:rsidRPr="00A54D09">
        <w:rPr>
          <w:szCs w:val="22"/>
          <w:lang w:val="ru-RU"/>
        </w:rPr>
        <w:t>советник</w:t>
      </w:r>
      <w:r w:rsidR="000C49A4">
        <w:rPr>
          <w:szCs w:val="22"/>
          <w:lang w:val="ru-RU"/>
        </w:rPr>
        <w:t>ов</w:t>
      </w:r>
      <w:r w:rsidR="00611C0B" w:rsidRPr="00A54D09">
        <w:rPr>
          <w:szCs w:val="22"/>
          <w:lang w:val="ru-RU"/>
        </w:rPr>
        <w:t xml:space="preserve"> </w:t>
      </w:r>
      <w:r w:rsidRPr="00A54D09">
        <w:rPr>
          <w:szCs w:val="22"/>
          <w:lang w:val="ru-RU"/>
        </w:rPr>
        <w:t xml:space="preserve">считают, что следующий </w:t>
      </w:r>
      <w:proofErr w:type="spellStart"/>
      <w:r w:rsidRPr="00A54D09">
        <w:rPr>
          <w:szCs w:val="22"/>
          <w:lang w:val="ru-RU"/>
        </w:rPr>
        <w:t>ВФПЭ</w:t>
      </w:r>
      <w:proofErr w:type="spellEnd"/>
      <w:r w:rsidRPr="00A54D09">
        <w:rPr>
          <w:szCs w:val="22"/>
          <w:lang w:val="ru-RU"/>
        </w:rPr>
        <w:t xml:space="preserve"> следует провести в 2019 году, и если отложить принятие решения о теме </w:t>
      </w:r>
      <w:proofErr w:type="spellStart"/>
      <w:r w:rsidRPr="00A54D09">
        <w:rPr>
          <w:szCs w:val="22"/>
          <w:lang w:val="ru-RU"/>
        </w:rPr>
        <w:t>ВФПЭ</w:t>
      </w:r>
      <w:proofErr w:type="spellEnd"/>
      <w:r w:rsidRPr="00A54D09">
        <w:rPr>
          <w:szCs w:val="22"/>
          <w:lang w:val="ru-RU"/>
        </w:rPr>
        <w:t xml:space="preserve"> до ПК-18, то не останется времени для проведения полноценного подготовительного процесса; решение о проведении следующего </w:t>
      </w:r>
      <w:proofErr w:type="spellStart"/>
      <w:r w:rsidRPr="00A54D09">
        <w:rPr>
          <w:szCs w:val="22"/>
          <w:lang w:val="ru-RU"/>
        </w:rPr>
        <w:t>ВФПЭ</w:t>
      </w:r>
      <w:proofErr w:type="spellEnd"/>
      <w:r w:rsidRPr="00A54D09">
        <w:rPr>
          <w:szCs w:val="22"/>
          <w:lang w:val="ru-RU"/>
        </w:rPr>
        <w:t xml:space="preserve"> должно быть принято Советом-17 или Советом-18.</w:t>
      </w:r>
      <w:r w:rsidRPr="00913FF8">
        <w:rPr>
          <w:szCs w:val="22"/>
          <w:lang w:val="ru-RU"/>
        </w:rPr>
        <w:t xml:space="preserve"> </w:t>
      </w:r>
    </w:p>
    <w:p w:rsidR="00AD6693" w:rsidRPr="00913FF8" w:rsidRDefault="00AD6693" w:rsidP="00AD6693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1.3</w:t>
      </w:r>
      <w:r w:rsidRPr="00913FF8">
        <w:rPr>
          <w:szCs w:val="22"/>
          <w:lang w:val="ru-RU"/>
        </w:rPr>
        <w:tab/>
        <w:t xml:space="preserve">К возможным темам </w:t>
      </w:r>
      <w:proofErr w:type="spellStart"/>
      <w:r w:rsidRPr="00913FF8">
        <w:rPr>
          <w:szCs w:val="22"/>
          <w:lang w:val="ru-RU"/>
        </w:rPr>
        <w:t>ВФПЭ</w:t>
      </w:r>
      <w:proofErr w:type="spellEnd"/>
      <w:r w:rsidRPr="00913FF8">
        <w:rPr>
          <w:szCs w:val="22"/>
          <w:lang w:val="ru-RU"/>
        </w:rPr>
        <w:t>, предложенны</w:t>
      </w:r>
      <w:r w:rsidR="00611C0B">
        <w:rPr>
          <w:szCs w:val="22"/>
          <w:lang w:val="ru-RU"/>
        </w:rPr>
        <w:t>м</w:t>
      </w:r>
      <w:r w:rsidRPr="00913FF8">
        <w:rPr>
          <w:szCs w:val="22"/>
          <w:lang w:val="ru-RU"/>
        </w:rPr>
        <w:t xml:space="preserve"> </w:t>
      </w:r>
      <w:r w:rsidR="00611C0B" w:rsidRPr="00913FF8">
        <w:rPr>
          <w:szCs w:val="22"/>
          <w:lang w:val="ru-RU"/>
        </w:rPr>
        <w:t>советниками</w:t>
      </w:r>
      <w:r w:rsidR="003239A7">
        <w:rPr>
          <w:szCs w:val="22"/>
          <w:lang w:val="ru-RU"/>
        </w:rPr>
        <w:t>,</w:t>
      </w:r>
      <w:r w:rsidRPr="00913FF8">
        <w:rPr>
          <w:szCs w:val="22"/>
          <w:lang w:val="ru-RU"/>
        </w:rPr>
        <w:t xml:space="preserve"> в частности</w:t>
      </w:r>
      <w:r w:rsidR="00611C0B" w:rsidRPr="00611C0B">
        <w:rPr>
          <w:szCs w:val="22"/>
          <w:lang w:val="ru-RU"/>
        </w:rPr>
        <w:t xml:space="preserve"> </w:t>
      </w:r>
      <w:r w:rsidR="00611C0B" w:rsidRPr="00913FF8">
        <w:rPr>
          <w:szCs w:val="22"/>
          <w:lang w:val="ru-RU"/>
        </w:rPr>
        <w:t>относятся</w:t>
      </w:r>
      <w:r w:rsidRPr="00913FF8">
        <w:rPr>
          <w:szCs w:val="22"/>
          <w:lang w:val="ru-RU"/>
        </w:rPr>
        <w:t xml:space="preserve"> перспективы развития </w:t>
      </w:r>
      <w:r>
        <w:rPr>
          <w:szCs w:val="22"/>
          <w:lang w:val="ru-RU"/>
        </w:rPr>
        <w:t>МСЭ</w:t>
      </w:r>
      <w:r w:rsidRPr="00913FF8">
        <w:rPr>
          <w:szCs w:val="22"/>
          <w:lang w:val="ru-RU"/>
        </w:rPr>
        <w:t xml:space="preserve"> в контексте </w:t>
      </w:r>
      <w:r>
        <w:rPr>
          <w:szCs w:val="22"/>
          <w:lang w:val="ru-RU"/>
        </w:rPr>
        <w:t xml:space="preserve">выполнения </w:t>
      </w:r>
      <w:r w:rsidRPr="00913FF8">
        <w:rPr>
          <w:szCs w:val="22"/>
          <w:lang w:val="ru-RU"/>
        </w:rPr>
        <w:t>Повестки дня в области устойчивого развития на период до</w:t>
      </w:r>
      <w:r>
        <w:rPr>
          <w:szCs w:val="22"/>
          <w:lang w:val="ru-RU"/>
        </w:rPr>
        <w:t> </w:t>
      </w:r>
      <w:r w:rsidRPr="00913FF8">
        <w:rPr>
          <w:szCs w:val="22"/>
          <w:lang w:val="ru-RU"/>
        </w:rPr>
        <w:t>2030</w:t>
      </w:r>
      <w:r>
        <w:rPr>
          <w:szCs w:val="22"/>
          <w:lang w:val="ru-RU"/>
        </w:rPr>
        <w:t> </w:t>
      </w:r>
      <w:r w:rsidRPr="00913FF8">
        <w:rPr>
          <w:szCs w:val="22"/>
          <w:lang w:val="ru-RU"/>
        </w:rPr>
        <w:t>года и экономически</w:t>
      </w:r>
      <w:r>
        <w:rPr>
          <w:szCs w:val="22"/>
          <w:lang w:val="ru-RU"/>
        </w:rPr>
        <w:t>х</w:t>
      </w:r>
      <w:r w:rsidRPr="00913FF8">
        <w:rPr>
          <w:szCs w:val="22"/>
          <w:lang w:val="ru-RU"/>
        </w:rPr>
        <w:t xml:space="preserve"> проблем</w:t>
      </w:r>
      <w:r w:rsidR="00A54D09">
        <w:rPr>
          <w:szCs w:val="22"/>
          <w:lang w:val="ru-RU"/>
        </w:rPr>
        <w:t>,</w:t>
      </w:r>
      <w:r w:rsidRPr="00913FF8">
        <w:rPr>
          <w:szCs w:val="22"/>
          <w:lang w:val="ru-RU"/>
        </w:rPr>
        <w:t xml:space="preserve"> </w:t>
      </w:r>
      <w:r w:rsidR="00611C0B">
        <w:rPr>
          <w:szCs w:val="22"/>
          <w:lang w:val="ru-RU"/>
        </w:rPr>
        <w:t xml:space="preserve">связанных с </w:t>
      </w:r>
      <w:r w:rsidRPr="00913FF8">
        <w:rPr>
          <w:szCs w:val="22"/>
          <w:lang w:val="ru-RU"/>
        </w:rPr>
        <w:t>новы</w:t>
      </w:r>
      <w:r w:rsidR="00611C0B">
        <w:rPr>
          <w:szCs w:val="22"/>
          <w:lang w:val="ru-RU"/>
        </w:rPr>
        <w:t>ми</w:t>
      </w:r>
      <w:r w:rsidRPr="00913FF8">
        <w:rPr>
          <w:szCs w:val="22"/>
          <w:lang w:val="ru-RU"/>
        </w:rPr>
        <w:t xml:space="preserve"> услуг</w:t>
      </w:r>
      <w:r w:rsidR="00611C0B">
        <w:rPr>
          <w:szCs w:val="22"/>
          <w:lang w:val="ru-RU"/>
        </w:rPr>
        <w:t>ами</w:t>
      </w:r>
      <w:r w:rsidRPr="00913FF8">
        <w:rPr>
          <w:szCs w:val="22"/>
          <w:lang w:val="ru-RU"/>
        </w:rPr>
        <w:t xml:space="preserve"> ИКТ/электросвязи. Один </w:t>
      </w:r>
      <w:r w:rsidR="00611C0B">
        <w:rPr>
          <w:szCs w:val="22"/>
          <w:lang w:val="ru-RU"/>
        </w:rPr>
        <w:t>из советников</w:t>
      </w:r>
      <w:r w:rsidRPr="00913FF8">
        <w:rPr>
          <w:szCs w:val="22"/>
          <w:lang w:val="ru-RU"/>
        </w:rPr>
        <w:t xml:space="preserve"> считает, что</w:t>
      </w:r>
      <w:r>
        <w:rPr>
          <w:szCs w:val="22"/>
          <w:lang w:val="ru-RU"/>
        </w:rPr>
        <w:t> </w:t>
      </w:r>
      <w:r w:rsidRPr="00913FF8">
        <w:rPr>
          <w:szCs w:val="22"/>
          <w:lang w:val="ru-RU"/>
        </w:rPr>
        <w:t>в</w:t>
      </w:r>
      <w:r>
        <w:rPr>
          <w:szCs w:val="22"/>
          <w:lang w:val="ru-RU"/>
        </w:rPr>
        <w:t> </w:t>
      </w:r>
      <w:r w:rsidRPr="00913FF8">
        <w:rPr>
          <w:szCs w:val="22"/>
          <w:lang w:val="ru-RU"/>
        </w:rPr>
        <w:t xml:space="preserve">рамках </w:t>
      </w:r>
      <w:proofErr w:type="spellStart"/>
      <w:r w:rsidRPr="00913FF8">
        <w:rPr>
          <w:szCs w:val="22"/>
          <w:lang w:val="ru-RU"/>
        </w:rPr>
        <w:t>ВФПЭ</w:t>
      </w:r>
      <w:proofErr w:type="spellEnd"/>
      <w:r w:rsidRPr="00913FF8">
        <w:rPr>
          <w:szCs w:val="22"/>
          <w:lang w:val="ru-RU"/>
        </w:rPr>
        <w:t xml:space="preserve"> следует также рассмотреть регуляторные аспекты </w:t>
      </w:r>
      <w:r w:rsidRPr="00913FF8">
        <w:rPr>
          <w:szCs w:val="22"/>
        </w:rPr>
        <w:t>OTT</w:t>
      </w:r>
      <w:r w:rsidRPr="00913FF8">
        <w:rPr>
          <w:szCs w:val="22"/>
          <w:lang w:val="ru-RU"/>
        </w:rPr>
        <w:t xml:space="preserve">, вопросы </w:t>
      </w:r>
      <w:proofErr w:type="spellStart"/>
      <w:r w:rsidRPr="00913FF8">
        <w:rPr>
          <w:szCs w:val="22"/>
          <w:lang w:val="ru-RU"/>
        </w:rPr>
        <w:t>кибербезопасности</w:t>
      </w:r>
      <w:proofErr w:type="spellEnd"/>
      <w:r w:rsidRPr="00913FF8">
        <w:rPr>
          <w:szCs w:val="22"/>
          <w:lang w:val="ru-RU"/>
        </w:rPr>
        <w:t xml:space="preserve"> и финансовы</w:t>
      </w:r>
      <w:r>
        <w:rPr>
          <w:szCs w:val="22"/>
          <w:lang w:val="ru-RU"/>
        </w:rPr>
        <w:t xml:space="preserve">х </w:t>
      </w:r>
      <w:r w:rsidRPr="00913FF8">
        <w:rPr>
          <w:szCs w:val="22"/>
          <w:lang w:val="ru-RU"/>
        </w:rPr>
        <w:t>услуг.</w:t>
      </w:r>
    </w:p>
    <w:p w:rsidR="00AD6693" w:rsidRPr="00A54D09" w:rsidRDefault="00AD6693" w:rsidP="00AD6693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1.4</w:t>
      </w:r>
      <w:r w:rsidRPr="00913FF8">
        <w:rPr>
          <w:szCs w:val="22"/>
          <w:lang w:val="ru-RU"/>
        </w:rPr>
        <w:tab/>
      </w:r>
      <w:r w:rsidR="00611C0B" w:rsidRPr="00913FF8">
        <w:rPr>
          <w:szCs w:val="22"/>
          <w:lang w:val="ru-RU"/>
        </w:rPr>
        <w:t xml:space="preserve">Один </w:t>
      </w:r>
      <w:r w:rsidR="00611C0B">
        <w:rPr>
          <w:szCs w:val="22"/>
          <w:lang w:val="ru-RU"/>
        </w:rPr>
        <w:t>из советников</w:t>
      </w:r>
      <w:r w:rsidR="00611C0B" w:rsidRPr="00913FF8">
        <w:rPr>
          <w:szCs w:val="22"/>
          <w:lang w:val="ru-RU"/>
        </w:rPr>
        <w:t xml:space="preserve"> </w:t>
      </w:r>
      <w:r w:rsidRPr="00913FF8">
        <w:rPr>
          <w:szCs w:val="22"/>
          <w:lang w:val="ru-RU"/>
        </w:rPr>
        <w:t xml:space="preserve">заявляет, что Генеральному секретариату следует тщательно продумать проведение всех текущих мероприятий Союза высокого уровня, с тем чтобы оптимальным образом </w:t>
      </w:r>
      <w:r w:rsidRPr="00A54D09">
        <w:rPr>
          <w:szCs w:val="22"/>
          <w:lang w:val="ru-RU"/>
        </w:rPr>
        <w:t>составить вариант графика проведения этих мероприятий и представить его на рассмотрение Совету</w:t>
      </w:r>
      <w:r w:rsidRPr="00A54D09">
        <w:rPr>
          <w:szCs w:val="22"/>
          <w:lang w:val="ru-RU"/>
        </w:rPr>
        <w:noBreakHyphen/>
        <w:t xml:space="preserve">18 в соответствии с предложением, содержащимся в Документе </w:t>
      </w:r>
      <w:r w:rsidRPr="00A54D09">
        <w:rPr>
          <w:szCs w:val="22"/>
        </w:rPr>
        <w:t>C</w:t>
      </w:r>
      <w:r w:rsidRPr="00A54D09">
        <w:rPr>
          <w:szCs w:val="22"/>
          <w:lang w:val="ru-RU"/>
        </w:rPr>
        <w:t>17/89, представленном Китаем.</w:t>
      </w:r>
    </w:p>
    <w:p w:rsidR="00AD6693" w:rsidRPr="00913FF8" w:rsidRDefault="00AD6693" w:rsidP="003239A7">
      <w:pPr>
        <w:snapToGrid w:val="0"/>
        <w:spacing w:after="120"/>
        <w:rPr>
          <w:szCs w:val="22"/>
          <w:lang w:val="ru-RU"/>
        </w:rPr>
      </w:pPr>
      <w:r w:rsidRPr="00A54D09">
        <w:rPr>
          <w:szCs w:val="22"/>
          <w:lang w:val="ru-RU"/>
        </w:rPr>
        <w:t>1.5</w:t>
      </w:r>
      <w:r w:rsidRPr="00A54D09">
        <w:rPr>
          <w:szCs w:val="22"/>
          <w:lang w:val="ru-RU"/>
        </w:rPr>
        <w:tab/>
        <w:t xml:space="preserve">Совет </w:t>
      </w:r>
      <w:r w:rsidR="003239A7">
        <w:rPr>
          <w:b/>
          <w:bCs/>
          <w:szCs w:val="22"/>
          <w:lang w:val="ru-RU"/>
        </w:rPr>
        <w:t>решает</w:t>
      </w:r>
      <w:r w:rsidRPr="00A54D09">
        <w:rPr>
          <w:b/>
          <w:bCs/>
          <w:szCs w:val="22"/>
          <w:lang w:val="ru-RU"/>
        </w:rPr>
        <w:t xml:space="preserve"> </w:t>
      </w:r>
      <w:r w:rsidRPr="00A54D09">
        <w:rPr>
          <w:szCs w:val="22"/>
          <w:lang w:val="ru-RU"/>
        </w:rPr>
        <w:t>обратиться к Генеральному секретариату с просьбой рассмотреть возможность составления оптимального графика проведения мероприятий и представить соответствующий отчет Совету-18.</w:t>
      </w:r>
    </w:p>
    <w:p w:rsidR="00B92308" w:rsidRPr="00AD6693" w:rsidRDefault="00AD6693" w:rsidP="00AD6693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1.6</w:t>
      </w:r>
      <w:r w:rsidRPr="00913FF8">
        <w:rPr>
          <w:szCs w:val="22"/>
          <w:lang w:val="ru-RU"/>
        </w:rPr>
        <w:tab/>
        <w:t xml:space="preserve">Документ </w:t>
      </w:r>
      <w:r w:rsidRPr="00913FF8">
        <w:rPr>
          <w:szCs w:val="22"/>
        </w:rPr>
        <w:t>C</w:t>
      </w:r>
      <w:r w:rsidRPr="00913FF8">
        <w:rPr>
          <w:szCs w:val="22"/>
          <w:lang w:val="ru-RU"/>
        </w:rPr>
        <w:t xml:space="preserve">17/59 </w:t>
      </w:r>
      <w:r w:rsidRPr="00913FF8">
        <w:rPr>
          <w:b/>
          <w:szCs w:val="22"/>
          <w:lang w:val="ru-RU"/>
        </w:rPr>
        <w:t>принимается к сведению</w:t>
      </w:r>
      <w:r w:rsidRPr="00913FF8">
        <w:rPr>
          <w:szCs w:val="22"/>
          <w:lang w:val="ru-RU"/>
        </w:rPr>
        <w:t>.</w:t>
      </w:r>
    </w:p>
    <w:p w:rsidR="00B92308" w:rsidRPr="00A25974" w:rsidRDefault="00B92308" w:rsidP="00A25974">
      <w:pPr>
        <w:pStyle w:val="Heading1"/>
        <w:rPr>
          <w:szCs w:val="26"/>
          <w:lang w:val="ru-RU"/>
        </w:rPr>
      </w:pPr>
      <w:r w:rsidRPr="00A25974">
        <w:rPr>
          <w:szCs w:val="26"/>
          <w:lang w:val="ru-RU"/>
        </w:rPr>
        <w:t>2</w:t>
      </w:r>
      <w:r w:rsidRPr="00A25974">
        <w:rPr>
          <w:szCs w:val="26"/>
          <w:lang w:val="ru-RU"/>
        </w:rPr>
        <w:tab/>
      </w:r>
      <w:r w:rsidR="004054D9" w:rsidRPr="00A25974">
        <w:rPr>
          <w:szCs w:val="26"/>
          <w:lang w:val="ru-RU"/>
        </w:rPr>
        <w:t>Соглашение о сотрудничестве между МСЭ и Интерполом (Документ</w:t>
      </w:r>
      <w:r w:rsidR="00A25974" w:rsidRPr="00A25974">
        <w:rPr>
          <w:szCs w:val="26"/>
          <w:lang w:val="ru-RU"/>
        </w:rPr>
        <w:t> </w:t>
      </w:r>
      <w:hyperlink r:id="rId26" w:history="1">
        <w:r w:rsidRPr="00A25974">
          <w:rPr>
            <w:rStyle w:val="Hyperlink"/>
            <w:bCs/>
            <w:szCs w:val="26"/>
          </w:rPr>
          <w:t>C</w:t>
        </w:r>
        <w:r w:rsidRPr="00A25974">
          <w:rPr>
            <w:rStyle w:val="Hyperlink"/>
            <w:bCs/>
            <w:szCs w:val="26"/>
            <w:lang w:val="ru-RU"/>
          </w:rPr>
          <w:t>17/65</w:t>
        </w:r>
      </w:hyperlink>
      <w:r w:rsidRPr="00A25974">
        <w:rPr>
          <w:szCs w:val="26"/>
          <w:lang w:val="ru-RU"/>
        </w:rPr>
        <w:t>)</w:t>
      </w:r>
    </w:p>
    <w:p w:rsidR="005B3546" w:rsidRPr="00913FF8" w:rsidRDefault="00B92308" w:rsidP="005B3546">
      <w:pPr>
        <w:snapToGrid w:val="0"/>
        <w:spacing w:after="120"/>
        <w:rPr>
          <w:szCs w:val="22"/>
          <w:lang w:val="ru-RU"/>
        </w:rPr>
      </w:pPr>
      <w:r w:rsidRPr="005B3546">
        <w:rPr>
          <w:szCs w:val="22"/>
          <w:lang w:val="ru-RU"/>
        </w:rPr>
        <w:t>2.1</w:t>
      </w:r>
      <w:r w:rsidRPr="005B3546">
        <w:rPr>
          <w:szCs w:val="22"/>
          <w:lang w:val="ru-RU"/>
        </w:rPr>
        <w:tab/>
      </w:r>
      <w:r w:rsidR="005B3546" w:rsidRPr="00913FF8">
        <w:rPr>
          <w:szCs w:val="22"/>
          <w:lang w:val="ru-RU"/>
        </w:rPr>
        <w:t xml:space="preserve">Представитель </w:t>
      </w:r>
      <w:proofErr w:type="spellStart"/>
      <w:r w:rsidR="005B3546" w:rsidRPr="00913FF8">
        <w:rPr>
          <w:szCs w:val="22"/>
          <w:lang w:val="ru-RU"/>
        </w:rPr>
        <w:t>БРЭ</w:t>
      </w:r>
      <w:proofErr w:type="spellEnd"/>
      <w:r w:rsidR="005B3546" w:rsidRPr="00913FF8">
        <w:rPr>
          <w:szCs w:val="22"/>
          <w:lang w:val="ru-RU"/>
        </w:rPr>
        <w:t xml:space="preserve"> представляет Документ </w:t>
      </w:r>
      <w:r w:rsidR="005B3546" w:rsidRPr="00913FF8">
        <w:rPr>
          <w:szCs w:val="22"/>
        </w:rPr>
        <w:t>C</w:t>
      </w:r>
      <w:r w:rsidR="005B3546" w:rsidRPr="00913FF8">
        <w:rPr>
          <w:szCs w:val="22"/>
          <w:lang w:val="ru-RU"/>
        </w:rPr>
        <w:t>17/65. Совету предлагается предварительно утвердить обновленное соглашение о сотрудничестве, приведенное в Приложении</w:t>
      </w:r>
      <w:r w:rsidR="005B3546">
        <w:rPr>
          <w:szCs w:val="22"/>
          <w:lang w:val="ru-RU"/>
        </w:rPr>
        <w:t xml:space="preserve"> </w:t>
      </w:r>
      <w:r w:rsidR="005B3546" w:rsidRPr="00913FF8">
        <w:rPr>
          <w:szCs w:val="22"/>
          <w:lang w:val="ru-RU"/>
        </w:rPr>
        <w:t>А, и</w:t>
      </w:r>
      <w:r w:rsidR="005B3546">
        <w:rPr>
          <w:szCs w:val="22"/>
          <w:lang w:val="ru-RU"/>
        </w:rPr>
        <w:t> </w:t>
      </w:r>
      <w:r w:rsidR="005B3546" w:rsidRPr="00913FF8">
        <w:rPr>
          <w:szCs w:val="22"/>
          <w:lang w:val="ru-RU"/>
        </w:rPr>
        <w:t>уполномочить Генерального секретаря подписать</w:t>
      </w:r>
      <w:r w:rsidR="005B3546" w:rsidRPr="005B3546">
        <w:rPr>
          <w:szCs w:val="22"/>
          <w:lang w:val="ru-RU"/>
        </w:rPr>
        <w:t xml:space="preserve"> </w:t>
      </w:r>
      <w:r w:rsidR="005B3546" w:rsidRPr="00913FF8">
        <w:rPr>
          <w:szCs w:val="22"/>
          <w:lang w:val="ru-RU"/>
        </w:rPr>
        <w:t xml:space="preserve">его в соответствии с проектом </w:t>
      </w:r>
      <w:r w:rsidR="00611C0B" w:rsidRPr="00913FF8">
        <w:rPr>
          <w:szCs w:val="22"/>
          <w:lang w:val="ru-RU"/>
        </w:rPr>
        <w:t>решения</w:t>
      </w:r>
      <w:r w:rsidR="005B3546" w:rsidRPr="00913FF8">
        <w:rPr>
          <w:szCs w:val="22"/>
          <w:lang w:val="ru-RU"/>
        </w:rPr>
        <w:t>, приведенным в Приложении</w:t>
      </w:r>
      <w:r w:rsidR="005B3546" w:rsidRPr="00913FF8">
        <w:rPr>
          <w:szCs w:val="22"/>
          <w:lang w:val="en-US"/>
        </w:rPr>
        <w:t> </w:t>
      </w:r>
      <w:r w:rsidR="005B3546" w:rsidRPr="00913FF8">
        <w:rPr>
          <w:szCs w:val="22"/>
          <w:lang w:val="ru-RU"/>
        </w:rPr>
        <w:t>В. Соглашение будет направлено ПК-18 для окончательного утверждения.</w:t>
      </w:r>
    </w:p>
    <w:p w:rsidR="00B92308" w:rsidRPr="005B3546" w:rsidRDefault="005B3546" w:rsidP="005B3546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2.2</w:t>
      </w:r>
      <w:r w:rsidRPr="00913FF8">
        <w:rPr>
          <w:szCs w:val="22"/>
          <w:lang w:val="ru-RU"/>
        </w:rPr>
        <w:tab/>
        <w:t xml:space="preserve">Советник </w:t>
      </w:r>
      <w:r>
        <w:rPr>
          <w:szCs w:val="22"/>
          <w:lang w:val="ru-RU"/>
        </w:rPr>
        <w:t>от</w:t>
      </w:r>
      <w:r w:rsidRPr="00913FF8">
        <w:rPr>
          <w:szCs w:val="22"/>
          <w:lang w:val="ru-RU"/>
        </w:rPr>
        <w:t xml:space="preserve"> Соединенных Штатов заявляет, что ее страна </w:t>
      </w:r>
      <w:r>
        <w:rPr>
          <w:szCs w:val="22"/>
          <w:lang w:val="ru-RU"/>
        </w:rPr>
        <w:t>могла бы</w:t>
      </w:r>
      <w:r w:rsidRPr="00913FF8">
        <w:rPr>
          <w:szCs w:val="22"/>
          <w:lang w:val="ru-RU"/>
        </w:rPr>
        <w:t xml:space="preserve"> утвердить данное соглашение о сотрудничестве и уполномочить Генерального секретаря подписать его на следующих условиях:</w:t>
      </w:r>
    </w:p>
    <w:p w:rsidR="00B92308" w:rsidRPr="005B3546" w:rsidRDefault="00CB1B08" w:rsidP="00CB1B08">
      <w:pPr>
        <w:pStyle w:val="enumlev1"/>
        <w:rPr>
          <w:lang w:val="ru-RU"/>
        </w:rPr>
      </w:pPr>
      <w:r>
        <w:rPr>
          <w:lang w:val="ru-RU"/>
        </w:rPr>
        <w:tab/>
      </w:r>
      <w:r w:rsidR="005B3546">
        <w:rPr>
          <w:lang w:val="ru-RU"/>
        </w:rPr>
        <w:t>"По мнению Соединенных Штатов, ссылка на «сферы соответствующей компетенции</w:t>
      </w:r>
      <w:r w:rsidR="00A875CA">
        <w:rPr>
          <w:lang w:val="ru-RU"/>
        </w:rPr>
        <w:t>»</w:t>
      </w:r>
      <w:r w:rsidR="005B3546">
        <w:rPr>
          <w:lang w:val="ru-RU"/>
        </w:rPr>
        <w:t xml:space="preserve"> в статье 1 соглашения о сотрудничестве относится, применительно к МСЭ, к его текущему мандату, отраженному в Уставе и Конвенции МСЭ. В</w:t>
      </w:r>
      <w:r w:rsidR="00A875CA">
        <w:rPr>
          <w:lang w:val="ru-RU"/>
        </w:rPr>
        <w:t xml:space="preserve"> частности, Соединенные Штаты </w:t>
      </w:r>
      <w:r w:rsidR="00A875CA">
        <w:rPr>
          <w:lang w:val="ru-RU"/>
        </w:rPr>
        <w:lastRenderedPageBreak/>
        <w:t xml:space="preserve">подчеркивают, что участие МСЭ в данном соглашении о сотрудничестве не должно расширить сферу его мандата, в том числе с тем чтобы охватить вопросы </w:t>
      </w:r>
      <w:proofErr w:type="spellStart"/>
      <w:r w:rsidR="00A875CA">
        <w:rPr>
          <w:lang w:val="ru-RU"/>
        </w:rPr>
        <w:t>киберпреступности</w:t>
      </w:r>
      <w:proofErr w:type="spellEnd"/>
      <w:r w:rsidR="00A875CA">
        <w:rPr>
          <w:lang w:val="ru-RU"/>
        </w:rPr>
        <w:t xml:space="preserve"> и эксплуатации ребенка в онлайновой среде, поскольку эти вопросы, в соответствии с соглашением о сотрудничестве, находятся в исключительной юрисдикции Интерпола".</w:t>
      </w:r>
    </w:p>
    <w:p w:rsidR="00B92308" w:rsidRPr="00A54D09" w:rsidRDefault="00B92308" w:rsidP="00B92308">
      <w:pPr>
        <w:snapToGrid w:val="0"/>
        <w:spacing w:before="240" w:after="120"/>
        <w:rPr>
          <w:szCs w:val="22"/>
          <w:lang w:val="ru-RU"/>
        </w:rPr>
      </w:pPr>
      <w:r w:rsidRPr="005B3546">
        <w:rPr>
          <w:szCs w:val="22"/>
          <w:lang w:val="ru-RU"/>
        </w:rPr>
        <w:t>2.3</w:t>
      </w:r>
      <w:r w:rsidRPr="005B3546">
        <w:rPr>
          <w:szCs w:val="22"/>
          <w:lang w:val="ru-RU"/>
        </w:rPr>
        <w:tab/>
      </w:r>
      <w:r w:rsidR="00F3337C" w:rsidRPr="00913FF8">
        <w:rPr>
          <w:szCs w:val="22"/>
          <w:lang w:val="ru-RU"/>
        </w:rPr>
        <w:t xml:space="preserve">Советники приветствуют </w:t>
      </w:r>
      <w:r w:rsidR="00F3337C">
        <w:rPr>
          <w:szCs w:val="22"/>
          <w:lang w:val="ru-RU"/>
        </w:rPr>
        <w:t>процедуру надлежащего исполнения, выполненную</w:t>
      </w:r>
      <w:r w:rsidR="00F3337C" w:rsidRPr="00913FF8">
        <w:rPr>
          <w:szCs w:val="22"/>
          <w:lang w:val="ru-RU"/>
        </w:rPr>
        <w:t xml:space="preserve"> при привлечении </w:t>
      </w:r>
      <w:r w:rsidR="00611C0B" w:rsidRPr="00913FF8">
        <w:rPr>
          <w:szCs w:val="22"/>
          <w:lang w:val="ru-RU"/>
        </w:rPr>
        <w:t>Государств</w:t>
      </w:r>
      <w:r w:rsidR="00F3337C" w:rsidRPr="00913FF8">
        <w:rPr>
          <w:szCs w:val="22"/>
          <w:lang w:val="ru-RU"/>
        </w:rPr>
        <w:t>-</w:t>
      </w:r>
      <w:r w:rsidR="00611C0B" w:rsidRPr="00913FF8">
        <w:rPr>
          <w:szCs w:val="22"/>
          <w:lang w:val="ru-RU"/>
        </w:rPr>
        <w:t xml:space="preserve">Членов </w:t>
      </w:r>
      <w:r w:rsidR="00F3337C" w:rsidRPr="00913FF8">
        <w:rPr>
          <w:szCs w:val="22"/>
          <w:lang w:val="ru-RU"/>
        </w:rPr>
        <w:t>к процессу обновления соглашения о сотрудничестве</w:t>
      </w:r>
      <w:r w:rsidR="00F3337C">
        <w:rPr>
          <w:szCs w:val="22"/>
          <w:lang w:val="ru-RU"/>
        </w:rPr>
        <w:t>,</w:t>
      </w:r>
      <w:r w:rsidR="00F3337C" w:rsidRPr="00913FF8">
        <w:rPr>
          <w:szCs w:val="22"/>
          <w:lang w:val="ru-RU"/>
        </w:rPr>
        <w:t xml:space="preserve"> и призывают </w:t>
      </w:r>
      <w:r w:rsidR="00F3337C">
        <w:rPr>
          <w:szCs w:val="22"/>
          <w:lang w:val="ru-RU"/>
        </w:rPr>
        <w:t>и далее поддерживать</w:t>
      </w:r>
      <w:r w:rsidR="00F3337C" w:rsidRPr="00913FF8">
        <w:rPr>
          <w:szCs w:val="22"/>
          <w:lang w:val="ru-RU"/>
        </w:rPr>
        <w:t xml:space="preserve"> эти уровни участия. </w:t>
      </w:r>
      <w:r w:rsidR="00611C0B" w:rsidRPr="00913FF8">
        <w:rPr>
          <w:szCs w:val="22"/>
          <w:lang w:val="ru-RU"/>
        </w:rPr>
        <w:t xml:space="preserve">Один </w:t>
      </w:r>
      <w:r w:rsidR="00611C0B">
        <w:rPr>
          <w:szCs w:val="22"/>
          <w:lang w:val="ru-RU"/>
        </w:rPr>
        <w:t>из советников</w:t>
      </w:r>
      <w:r w:rsidR="00611C0B" w:rsidRPr="00913FF8">
        <w:rPr>
          <w:szCs w:val="22"/>
          <w:lang w:val="ru-RU"/>
        </w:rPr>
        <w:t xml:space="preserve"> </w:t>
      </w:r>
      <w:r w:rsidR="00F3337C" w:rsidRPr="00913FF8">
        <w:rPr>
          <w:szCs w:val="22"/>
          <w:lang w:val="ru-RU"/>
        </w:rPr>
        <w:t xml:space="preserve">дает высокую оценку сотрудничеству МСЭ с региональными организациями, в том числе по вопросам, связанным с </w:t>
      </w:r>
      <w:proofErr w:type="spellStart"/>
      <w:r w:rsidR="00F3337C" w:rsidRPr="00913FF8">
        <w:rPr>
          <w:szCs w:val="22"/>
          <w:lang w:val="ru-RU"/>
        </w:rPr>
        <w:t>кибербезопасностью</w:t>
      </w:r>
      <w:proofErr w:type="spellEnd"/>
      <w:r w:rsidR="00F3337C" w:rsidRPr="00913FF8">
        <w:rPr>
          <w:szCs w:val="22"/>
          <w:lang w:val="ru-RU"/>
        </w:rPr>
        <w:t xml:space="preserve">, и добавляет, что это сотрудничество должно быть продолжено. </w:t>
      </w:r>
      <w:r w:rsidR="00611C0B">
        <w:rPr>
          <w:szCs w:val="22"/>
          <w:lang w:val="ru-RU"/>
        </w:rPr>
        <w:t>Другой</w:t>
      </w:r>
      <w:r w:rsidR="00F3337C" w:rsidRPr="00913FF8">
        <w:rPr>
          <w:szCs w:val="22"/>
          <w:lang w:val="ru-RU"/>
        </w:rPr>
        <w:t xml:space="preserve"> </w:t>
      </w:r>
      <w:r w:rsidR="00611C0B">
        <w:rPr>
          <w:szCs w:val="22"/>
          <w:lang w:val="ru-RU"/>
        </w:rPr>
        <w:t>с</w:t>
      </w:r>
      <w:r w:rsidR="00F3337C" w:rsidRPr="00913FF8">
        <w:rPr>
          <w:szCs w:val="22"/>
          <w:lang w:val="ru-RU"/>
        </w:rPr>
        <w:t xml:space="preserve">оветник заявляет, что ее страна будет рада принимать меры, </w:t>
      </w:r>
      <w:r w:rsidR="00F3337C">
        <w:rPr>
          <w:szCs w:val="22"/>
          <w:lang w:val="ru-RU"/>
        </w:rPr>
        <w:t>указанные</w:t>
      </w:r>
      <w:r w:rsidR="00F3337C" w:rsidRPr="00913FF8">
        <w:rPr>
          <w:szCs w:val="22"/>
          <w:lang w:val="ru-RU"/>
        </w:rPr>
        <w:t xml:space="preserve"> в статье 2 соглашения о сотрудничестве, с должным учетом национального суверенитета, и обращает внимание на некоторые меры, принятые на </w:t>
      </w:r>
      <w:r w:rsidR="00F3337C" w:rsidRPr="00A54D09">
        <w:rPr>
          <w:szCs w:val="22"/>
          <w:lang w:val="ru-RU"/>
        </w:rPr>
        <w:t xml:space="preserve">национальном уровне в целях укрепления </w:t>
      </w:r>
      <w:proofErr w:type="spellStart"/>
      <w:r w:rsidR="00F3337C" w:rsidRPr="00A54D09">
        <w:rPr>
          <w:szCs w:val="22"/>
          <w:lang w:val="ru-RU"/>
        </w:rPr>
        <w:t>кибербезопасности</w:t>
      </w:r>
      <w:proofErr w:type="spellEnd"/>
      <w:r w:rsidR="00F3337C" w:rsidRPr="00A54D09">
        <w:rPr>
          <w:szCs w:val="22"/>
          <w:lang w:val="ru-RU"/>
        </w:rPr>
        <w:t>.</w:t>
      </w:r>
    </w:p>
    <w:p w:rsidR="00B92308" w:rsidRPr="00A54D09" w:rsidRDefault="00B92308" w:rsidP="00B92308">
      <w:pPr>
        <w:snapToGrid w:val="0"/>
        <w:spacing w:after="120"/>
        <w:rPr>
          <w:szCs w:val="22"/>
          <w:lang w:val="ru-RU"/>
        </w:rPr>
      </w:pPr>
      <w:r w:rsidRPr="00A54D09">
        <w:rPr>
          <w:szCs w:val="22"/>
          <w:lang w:val="ru-RU"/>
        </w:rPr>
        <w:t>2.4</w:t>
      </w:r>
      <w:r w:rsidRPr="00A54D09">
        <w:rPr>
          <w:szCs w:val="22"/>
          <w:lang w:val="ru-RU"/>
        </w:rPr>
        <w:tab/>
      </w:r>
      <w:r w:rsidR="00295F9F" w:rsidRPr="00A54D09">
        <w:rPr>
          <w:szCs w:val="22"/>
          <w:lang w:val="ru-RU"/>
        </w:rPr>
        <w:t xml:space="preserve">Совет </w:t>
      </w:r>
      <w:r w:rsidR="00295F9F" w:rsidRPr="00A54D09">
        <w:rPr>
          <w:b/>
          <w:bCs/>
          <w:szCs w:val="22"/>
          <w:lang w:val="ru-RU"/>
        </w:rPr>
        <w:t xml:space="preserve">принимает к сведению </w:t>
      </w:r>
      <w:r w:rsidR="00295F9F" w:rsidRPr="00A54D09">
        <w:rPr>
          <w:szCs w:val="22"/>
          <w:lang w:val="ru-RU"/>
        </w:rPr>
        <w:t xml:space="preserve">Документ </w:t>
      </w:r>
      <w:r w:rsidR="00295F9F" w:rsidRPr="00A54D09">
        <w:rPr>
          <w:szCs w:val="22"/>
        </w:rPr>
        <w:t>C</w:t>
      </w:r>
      <w:r w:rsidR="00295F9F" w:rsidRPr="00A54D09">
        <w:rPr>
          <w:szCs w:val="22"/>
          <w:lang w:val="ru-RU"/>
        </w:rPr>
        <w:t xml:space="preserve">17/65, </w:t>
      </w:r>
      <w:r w:rsidR="00295F9F" w:rsidRPr="00A54D09">
        <w:rPr>
          <w:b/>
          <w:bCs/>
          <w:szCs w:val="22"/>
          <w:lang w:val="ru-RU"/>
        </w:rPr>
        <w:t>предварительно утверждает</w:t>
      </w:r>
      <w:r w:rsidR="00295F9F" w:rsidRPr="00A54D09">
        <w:rPr>
          <w:szCs w:val="22"/>
          <w:lang w:val="ru-RU"/>
        </w:rPr>
        <w:t xml:space="preserve"> соглашение о</w:t>
      </w:r>
      <w:r w:rsidR="00D47959" w:rsidRPr="00A54D09">
        <w:rPr>
          <w:szCs w:val="22"/>
          <w:lang w:val="ru-RU"/>
        </w:rPr>
        <w:t> </w:t>
      </w:r>
      <w:r w:rsidR="00295F9F" w:rsidRPr="00A54D09">
        <w:rPr>
          <w:szCs w:val="22"/>
          <w:lang w:val="ru-RU"/>
        </w:rPr>
        <w:t xml:space="preserve">сотрудничестве, приведенное в Приложении А, и </w:t>
      </w:r>
      <w:r w:rsidR="00295F9F" w:rsidRPr="00A54D09">
        <w:rPr>
          <w:b/>
          <w:bCs/>
          <w:szCs w:val="22"/>
          <w:lang w:val="ru-RU"/>
        </w:rPr>
        <w:t xml:space="preserve">уполномочивает </w:t>
      </w:r>
      <w:r w:rsidR="00295F9F" w:rsidRPr="00A54D09">
        <w:rPr>
          <w:szCs w:val="22"/>
          <w:lang w:val="ru-RU"/>
        </w:rPr>
        <w:t>Генерального секретаря подписать</w:t>
      </w:r>
      <w:r w:rsidR="00D47959" w:rsidRPr="00A54D09">
        <w:rPr>
          <w:szCs w:val="22"/>
          <w:lang w:val="ru-RU"/>
        </w:rPr>
        <w:t xml:space="preserve"> его</w:t>
      </w:r>
      <w:r w:rsidR="00295F9F" w:rsidRPr="00A54D09">
        <w:rPr>
          <w:szCs w:val="22"/>
          <w:lang w:val="ru-RU"/>
        </w:rPr>
        <w:t xml:space="preserve"> в соответствии с проектом </w:t>
      </w:r>
      <w:r w:rsidR="00611C0B" w:rsidRPr="00A54D09">
        <w:rPr>
          <w:szCs w:val="22"/>
          <w:lang w:val="ru-RU"/>
        </w:rPr>
        <w:t>решения</w:t>
      </w:r>
      <w:r w:rsidR="00295F9F" w:rsidRPr="00A54D09">
        <w:rPr>
          <w:szCs w:val="22"/>
          <w:lang w:val="ru-RU"/>
        </w:rPr>
        <w:t>, приведенным в Приложении</w:t>
      </w:r>
      <w:r w:rsidR="00295F9F" w:rsidRPr="00A54D09">
        <w:rPr>
          <w:szCs w:val="22"/>
          <w:lang w:val="en-US"/>
        </w:rPr>
        <w:t> </w:t>
      </w:r>
      <w:r w:rsidR="00295F9F" w:rsidRPr="00A54D09">
        <w:rPr>
          <w:szCs w:val="22"/>
          <w:lang w:val="ru-RU"/>
        </w:rPr>
        <w:t>В.</w:t>
      </w:r>
    </w:p>
    <w:p w:rsidR="00B92308" w:rsidRPr="00A25974" w:rsidRDefault="00B92308" w:rsidP="00A25974">
      <w:pPr>
        <w:pStyle w:val="Heading1"/>
        <w:rPr>
          <w:szCs w:val="26"/>
          <w:lang w:val="ru-RU"/>
        </w:rPr>
      </w:pPr>
      <w:r w:rsidRPr="00A54D09">
        <w:rPr>
          <w:lang w:val="ru-RU"/>
        </w:rPr>
        <w:t>3</w:t>
      </w:r>
      <w:r w:rsidRPr="00A54D09">
        <w:rPr>
          <w:lang w:val="ru-RU"/>
        </w:rPr>
        <w:tab/>
      </w:r>
      <w:r w:rsidR="008C539C" w:rsidRPr="00A54D09">
        <w:rPr>
          <w:lang w:val="ru-RU"/>
        </w:rPr>
        <w:t xml:space="preserve">Роль МСЭ как контролирующего органа международной системы регистрации космических средств в соответствии с проектом Протокола по </w:t>
      </w:r>
      <w:r w:rsidR="008C539C" w:rsidRPr="00A25974">
        <w:rPr>
          <w:szCs w:val="26"/>
          <w:lang w:val="ru-RU"/>
        </w:rPr>
        <w:t xml:space="preserve">космическим средствам </w:t>
      </w:r>
      <w:r w:rsidR="003B0952" w:rsidRPr="00A25974">
        <w:rPr>
          <w:szCs w:val="26"/>
          <w:lang w:val="ru-RU"/>
        </w:rPr>
        <w:t>(</w:t>
      </w:r>
      <w:r w:rsidR="00611C0B" w:rsidRPr="00A25974">
        <w:rPr>
          <w:szCs w:val="26"/>
          <w:lang w:val="ru-RU"/>
        </w:rPr>
        <w:t xml:space="preserve">Документы </w:t>
      </w:r>
      <w:hyperlink r:id="rId27" w:history="1">
        <w:r w:rsidRPr="00CB1B08">
          <w:rPr>
            <w:rStyle w:val="Hyperlink"/>
            <w:bCs/>
            <w:szCs w:val="26"/>
          </w:rPr>
          <w:t>C</w:t>
        </w:r>
        <w:r w:rsidRPr="00CB1B08">
          <w:rPr>
            <w:rStyle w:val="Hyperlink"/>
            <w:bCs/>
            <w:szCs w:val="26"/>
            <w:lang w:val="ru-RU"/>
          </w:rPr>
          <w:t>17/36</w:t>
        </w:r>
        <w:r w:rsidRPr="00CB1B08">
          <w:rPr>
            <w:rStyle w:val="Hyperlink"/>
            <w:szCs w:val="26"/>
            <w:lang w:val="ru-RU"/>
          </w:rPr>
          <w:t>(</w:t>
        </w:r>
        <w:r w:rsidRPr="00CB1B08">
          <w:rPr>
            <w:rStyle w:val="Hyperlink"/>
            <w:szCs w:val="26"/>
          </w:rPr>
          <w:t>Rev</w:t>
        </w:r>
        <w:r w:rsidRPr="00CB1B08">
          <w:rPr>
            <w:rStyle w:val="Hyperlink"/>
            <w:szCs w:val="26"/>
            <w:lang w:val="ru-RU"/>
          </w:rPr>
          <w:t>.1)</w:t>
        </w:r>
      </w:hyperlink>
      <w:r w:rsidRPr="00A25974">
        <w:rPr>
          <w:szCs w:val="26"/>
          <w:lang w:val="ru-RU"/>
        </w:rPr>
        <w:t xml:space="preserve">, </w:t>
      </w:r>
      <w:hyperlink r:id="rId28" w:history="1">
        <w:r w:rsidRPr="00A25974">
          <w:rPr>
            <w:rStyle w:val="Hyperlink"/>
            <w:bCs/>
            <w:szCs w:val="26"/>
          </w:rPr>
          <w:t>C</w:t>
        </w:r>
        <w:r w:rsidRPr="00A25974">
          <w:rPr>
            <w:rStyle w:val="Hyperlink"/>
            <w:bCs/>
            <w:szCs w:val="26"/>
            <w:lang w:val="ru-RU"/>
          </w:rPr>
          <w:t>17/94</w:t>
        </w:r>
      </w:hyperlink>
      <w:r w:rsidRPr="00A25974">
        <w:rPr>
          <w:szCs w:val="26"/>
          <w:lang w:val="ru-RU"/>
        </w:rPr>
        <w:t xml:space="preserve"> </w:t>
      </w:r>
      <w:r w:rsidR="008C539C" w:rsidRPr="00A25974">
        <w:rPr>
          <w:szCs w:val="26"/>
          <w:lang w:val="ru-RU"/>
        </w:rPr>
        <w:t>и</w:t>
      </w:r>
      <w:r w:rsidRPr="00A25974">
        <w:rPr>
          <w:szCs w:val="26"/>
          <w:lang w:val="ru-RU"/>
        </w:rPr>
        <w:t xml:space="preserve"> </w:t>
      </w:r>
      <w:hyperlink r:id="rId29" w:history="1">
        <w:r w:rsidRPr="00A25974">
          <w:rPr>
            <w:rStyle w:val="Hyperlink"/>
            <w:bCs/>
            <w:szCs w:val="26"/>
          </w:rPr>
          <w:t>C</w:t>
        </w:r>
        <w:r w:rsidRPr="00A25974">
          <w:rPr>
            <w:rStyle w:val="Hyperlink"/>
            <w:bCs/>
            <w:szCs w:val="26"/>
            <w:lang w:val="ru-RU"/>
          </w:rPr>
          <w:t>17/111</w:t>
        </w:r>
      </w:hyperlink>
      <w:r w:rsidRPr="00A25974">
        <w:rPr>
          <w:szCs w:val="26"/>
          <w:lang w:val="ru-RU"/>
        </w:rPr>
        <w:t>)</w:t>
      </w:r>
    </w:p>
    <w:p w:rsidR="008C539C" w:rsidRPr="00A54D09" w:rsidRDefault="00B92308" w:rsidP="00D128BF">
      <w:pPr>
        <w:snapToGrid w:val="0"/>
        <w:spacing w:after="120"/>
        <w:rPr>
          <w:szCs w:val="22"/>
          <w:lang w:val="ru-RU"/>
        </w:rPr>
      </w:pPr>
      <w:r w:rsidRPr="00A54D09">
        <w:rPr>
          <w:szCs w:val="22"/>
          <w:lang w:val="ru-RU"/>
        </w:rPr>
        <w:t>3.1</w:t>
      </w:r>
      <w:r w:rsidRPr="00A54D09">
        <w:rPr>
          <w:szCs w:val="22"/>
          <w:lang w:val="ru-RU"/>
        </w:rPr>
        <w:tab/>
      </w:r>
      <w:r w:rsidR="008C539C" w:rsidRPr="00A54D09">
        <w:rPr>
          <w:szCs w:val="22"/>
          <w:lang w:val="ru-RU"/>
        </w:rPr>
        <w:t xml:space="preserve">Представитель БР, представляя Документ </w:t>
      </w:r>
      <w:r w:rsidR="008C539C" w:rsidRPr="00A54D09">
        <w:rPr>
          <w:szCs w:val="22"/>
        </w:rPr>
        <w:t>C</w:t>
      </w:r>
      <w:r w:rsidR="008C539C" w:rsidRPr="00A54D09">
        <w:rPr>
          <w:szCs w:val="22"/>
          <w:lang w:val="ru-RU"/>
        </w:rPr>
        <w:t>17/36(</w:t>
      </w:r>
      <w:r w:rsidR="008C539C" w:rsidRPr="00A54D09">
        <w:rPr>
          <w:szCs w:val="22"/>
        </w:rPr>
        <w:t>Rev</w:t>
      </w:r>
      <w:r w:rsidR="008C539C" w:rsidRPr="00A54D09">
        <w:rPr>
          <w:szCs w:val="22"/>
          <w:lang w:val="ru-RU"/>
        </w:rPr>
        <w:t xml:space="preserve">.1), напоминает, что Совет-16 отметил, что в принципе не имеется возражений против того, чтобы МСЭ стал </w:t>
      </w:r>
      <w:r w:rsidR="008C539C" w:rsidRPr="00A54D09">
        <w:rPr>
          <w:bCs/>
          <w:szCs w:val="22"/>
          <w:lang w:val="ru-RU"/>
        </w:rPr>
        <w:t>контролирующим органом международной системы регистрации космических средств, но что не должно создаваться впечатление, что решение Совета предвосхищает решение ПК-18</w:t>
      </w:r>
      <w:r w:rsidR="008C539C" w:rsidRPr="00A54D09">
        <w:rPr>
          <w:szCs w:val="22"/>
          <w:lang w:val="ru-RU"/>
        </w:rPr>
        <w:t>. Вопросы, поднятые Советом-16 в отношении условий и ограничений, применимых в том случае, если МСЭ возьмет на себя роль контролирующего органа, рассматривались в пунктах 4–</w:t>
      </w:r>
      <w:r w:rsidR="00611C0B" w:rsidRPr="00A54D09">
        <w:rPr>
          <w:szCs w:val="22"/>
          <w:lang w:val="ru-RU"/>
        </w:rPr>
        <w:t>1</w:t>
      </w:r>
      <w:r w:rsidR="008C539C" w:rsidRPr="00A54D09">
        <w:rPr>
          <w:szCs w:val="22"/>
          <w:lang w:val="ru-RU"/>
        </w:rPr>
        <w:t xml:space="preserve">3. Совету предлагается </w:t>
      </w:r>
      <w:r w:rsidR="00D128BF">
        <w:rPr>
          <w:szCs w:val="22"/>
          <w:lang w:val="ru-RU"/>
        </w:rPr>
        <w:t>одобрить</w:t>
      </w:r>
      <w:r w:rsidR="008C539C" w:rsidRPr="00A54D09">
        <w:rPr>
          <w:szCs w:val="22"/>
          <w:lang w:val="ru-RU"/>
        </w:rPr>
        <w:t xml:space="preserve"> вопрос о том, чтобы МСЭ стал контролирующим органом при вступлении в силу или после вступления в силу Протокола по космическим средствам, и рекомендовать ПК-18 такой порядок действий; рассмотреть условия, которые могут потребоваться, если МСЭ возьмет на себя роль контролирующего органа, и одобрить их для представления ПК-18; и </w:t>
      </w:r>
      <w:r w:rsidR="008C539C" w:rsidRPr="00A54D09">
        <w:rPr>
          <w:bCs/>
          <w:szCs w:val="22"/>
          <w:lang w:val="ru-RU"/>
        </w:rPr>
        <w:t>уполномочить</w:t>
      </w:r>
      <w:r w:rsidR="008C539C" w:rsidRPr="00A54D09">
        <w:rPr>
          <w:szCs w:val="22"/>
          <w:lang w:val="ru-RU"/>
        </w:rPr>
        <w:t xml:space="preserve"> Генерального секретаря или его представителя продолжать участвовать в работе Подготовительной комиссии и ее рабочих групп в качестве наблюдателя.</w:t>
      </w:r>
    </w:p>
    <w:p w:rsidR="008C539C" w:rsidRPr="00A54D09" w:rsidRDefault="008C539C" w:rsidP="008C539C">
      <w:pPr>
        <w:snapToGrid w:val="0"/>
        <w:spacing w:after="120"/>
        <w:rPr>
          <w:szCs w:val="22"/>
          <w:lang w:val="ru-RU"/>
        </w:rPr>
      </w:pPr>
      <w:r w:rsidRPr="00A54D09">
        <w:rPr>
          <w:szCs w:val="22"/>
          <w:lang w:val="ru-RU"/>
        </w:rPr>
        <w:t>3.2</w:t>
      </w:r>
      <w:r w:rsidRPr="00A54D09">
        <w:rPr>
          <w:szCs w:val="22"/>
          <w:lang w:val="ru-RU"/>
        </w:rPr>
        <w:tab/>
        <w:t xml:space="preserve">Советник от Соединенных Штатов представляет Документ </w:t>
      </w:r>
      <w:r w:rsidRPr="00A54D09">
        <w:rPr>
          <w:szCs w:val="22"/>
        </w:rPr>
        <w:t>C</w:t>
      </w:r>
      <w:r w:rsidRPr="00A54D09">
        <w:rPr>
          <w:szCs w:val="22"/>
          <w:lang w:val="ru-RU"/>
        </w:rPr>
        <w:t xml:space="preserve">17/94, содержащий письмо от Ассоциации производителей спутников, в котором изложен ряд вопросов, отражающих ее </w:t>
      </w:r>
      <w:r w:rsidR="00611C0B" w:rsidRPr="00A54D09">
        <w:rPr>
          <w:szCs w:val="22"/>
          <w:lang w:val="ru-RU"/>
        </w:rPr>
        <w:t>обеспокоенность</w:t>
      </w:r>
      <w:r w:rsidRPr="00A54D09">
        <w:rPr>
          <w:szCs w:val="22"/>
          <w:lang w:val="ru-RU"/>
        </w:rPr>
        <w:t xml:space="preserve"> в связи с созданием Международной системы регистрации космических средств и одобрением положения о том, чтобы МСЭ стал контролирующим органом.</w:t>
      </w:r>
    </w:p>
    <w:p w:rsidR="008C539C" w:rsidRPr="00A54D09" w:rsidRDefault="008C539C" w:rsidP="008C539C">
      <w:pPr>
        <w:snapToGrid w:val="0"/>
        <w:spacing w:after="120"/>
        <w:rPr>
          <w:szCs w:val="22"/>
          <w:lang w:val="ru-RU"/>
        </w:rPr>
      </w:pPr>
      <w:r w:rsidRPr="00A54D09">
        <w:rPr>
          <w:szCs w:val="22"/>
          <w:lang w:val="ru-RU"/>
        </w:rPr>
        <w:t>3.3</w:t>
      </w:r>
      <w:r w:rsidRPr="00A54D09">
        <w:rPr>
          <w:szCs w:val="22"/>
          <w:lang w:val="ru-RU"/>
        </w:rPr>
        <w:tab/>
        <w:t xml:space="preserve">Председатель, привлекая внимание к Документу </w:t>
      </w:r>
      <w:r w:rsidRPr="00A54D09">
        <w:rPr>
          <w:szCs w:val="22"/>
        </w:rPr>
        <w:t>C</w:t>
      </w:r>
      <w:r w:rsidRPr="00A54D09">
        <w:rPr>
          <w:szCs w:val="22"/>
          <w:lang w:val="ru-RU"/>
        </w:rPr>
        <w:t xml:space="preserve">17/111, содержащему выводы </w:t>
      </w:r>
      <w:proofErr w:type="spellStart"/>
      <w:r w:rsidRPr="00A54D09">
        <w:rPr>
          <w:szCs w:val="22"/>
          <w:lang w:val="ru-RU"/>
        </w:rPr>
        <w:t>КГР</w:t>
      </w:r>
      <w:proofErr w:type="spellEnd"/>
      <w:r w:rsidRPr="00A54D09">
        <w:rPr>
          <w:szCs w:val="22"/>
          <w:lang w:val="ru-RU"/>
        </w:rPr>
        <w:t xml:space="preserve">, сообщает, что </w:t>
      </w:r>
      <w:proofErr w:type="spellStart"/>
      <w:r w:rsidRPr="00A54D09">
        <w:rPr>
          <w:szCs w:val="22"/>
          <w:lang w:val="ru-RU"/>
        </w:rPr>
        <w:t>КГР</w:t>
      </w:r>
      <w:proofErr w:type="spellEnd"/>
      <w:r w:rsidRPr="00A54D09">
        <w:rPr>
          <w:szCs w:val="22"/>
          <w:lang w:val="ru-RU"/>
        </w:rPr>
        <w:t xml:space="preserve"> приняла к сведению представленную в отчете Директора информацию по вопросам, относящимся к </w:t>
      </w:r>
      <w:r w:rsidR="00611C0B" w:rsidRPr="00A54D09">
        <w:rPr>
          <w:szCs w:val="22"/>
          <w:lang w:val="ru-RU"/>
        </w:rPr>
        <w:t xml:space="preserve">Протоколу </w:t>
      </w:r>
      <w:r w:rsidRPr="00A54D09">
        <w:rPr>
          <w:szCs w:val="22"/>
          <w:lang w:val="ru-RU"/>
        </w:rPr>
        <w:t xml:space="preserve">по космическим средствам. </w:t>
      </w:r>
    </w:p>
    <w:p w:rsidR="008C539C" w:rsidRPr="00A54D09" w:rsidRDefault="008C539C" w:rsidP="000C49A4">
      <w:pPr>
        <w:snapToGrid w:val="0"/>
        <w:spacing w:after="120"/>
        <w:rPr>
          <w:szCs w:val="22"/>
          <w:lang w:val="ru-RU"/>
        </w:rPr>
      </w:pPr>
      <w:r w:rsidRPr="00A54D09">
        <w:rPr>
          <w:szCs w:val="22"/>
          <w:lang w:val="ru-RU"/>
        </w:rPr>
        <w:t>3.4</w:t>
      </w:r>
      <w:r w:rsidRPr="00A54D09">
        <w:rPr>
          <w:szCs w:val="22"/>
          <w:lang w:val="ru-RU"/>
        </w:rPr>
        <w:tab/>
      </w:r>
      <w:r w:rsidR="000C49A4">
        <w:rPr>
          <w:szCs w:val="22"/>
          <w:lang w:val="ru-RU"/>
        </w:rPr>
        <w:t>Ряд</w:t>
      </w:r>
      <w:r w:rsidRPr="00A54D09">
        <w:rPr>
          <w:szCs w:val="22"/>
          <w:lang w:val="ru-RU"/>
        </w:rPr>
        <w:t xml:space="preserve"> </w:t>
      </w:r>
      <w:r w:rsidR="00611C0B" w:rsidRPr="00A54D09">
        <w:rPr>
          <w:szCs w:val="22"/>
          <w:lang w:val="ru-RU"/>
        </w:rPr>
        <w:t>советник</w:t>
      </w:r>
      <w:r w:rsidR="000C49A4">
        <w:rPr>
          <w:szCs w:val="22"/>
          <w:lang w:val="ru-RU"/>
        </w:rPr>
        <w:t>ов</w:t>
      </w:r>
      <w:r w:rsidR="00611C0B" w:rsidRPr="00A54D09">
        <w:rPr>
          <w:szCs w:val="22"/>
          <w:lang w:val="ru-RU"/>
        </w:rPr>
        <w:t xml:space="preserve"> </w:t>
      </w:r>
      <w:r w:rsidRPr="00A54D09">
        <w:rPr>
          <w:szCs w:val="22"/>
          <w:lang w:val="ru-RU"/>
        </w:rPr>
        <w:t>заявляют, что МСЭ имеет все возможности</w:t>
      </w:r>
      <w:r w:rsidR="00611C0B" w:rsidRPr="00A54D09">
        <w:rPr>
          <w:szCs w:val="22"/>
          <w:lang w:val="ru-RU"/>
        </w:rPr>
        <w:t>,</w:t>
      </w:r>
      <w:r w:rsidRPr="00A54D09">
        <w:rPr>
          <w:szCs w:val="22"/>
          <w:lang w:val="ru-RU"/>
        </w:rPr>
        <w:t xml:space="preserve"> для того чтобы стать контролирующим органом, соглашаются с тем, что МСЭ следует взять на себя эту роль. </w:t>
      </w:r>
      <w:r w:rsidR="00611C0B" w:rsidRPr="00A54D09">
        <w:rPr>
          <w:szCs w:val="22"/>
          <w:lang w:val="ru-RU"/>
        </w:rPr>
        <w:t xml:space="preserve">Один из советников </w:t>
      </w:r>
      <w:r w:rsidRPr="00A54D09">
        <w:rPr>
          <w:szCs w:val="22"/>
          <w:lang w:val="ru-RU"/>
        </w:rPr>
        <w:t xml:space="preserve">высказывается в поддержку продолжения участия Генерального секретаря или его представителя в работе Подготовительной комиссии. Другой </w:t>
      </w:r>
      <w:r w:rsidR="00611C0B" w:rsidRPr="00A54D09">
        <w:rPr>
          <w:szCs w:val="22"/>
          <w:lang w:val="ru-RU"/>
        </w:rPr>
        <w:t xml:space="preserve">советник </w:t>
      </w:r>
      <w:r w:rsidRPr="00A54D09">
        <w:rPr>
          <w:szCs w:val="22"/>
          <w:lang w:val="ru-RU"/>
        </w:rPr>
        <w:t xml:space="preserve">заявляет, что данный вопрос, находящийся в </w:t>
      </w:r>
      <w:r w:rsidR="00785EB7" w:rsidRPr="00A54D09">
        <w:rPr>
          <w:szCs w:val="22"/>
          <w:lang w:val="ru-RU"/>
        </w:rPr>
        <w:t>повестке дня</w:t>
      </w:r>
      <w:r w:rsidRPr="00A54D09">
        <w:rPr>
          <w:szCs w:val="22"/>
          <w:lang w:val="ru-RU"/>
        </w:rPr>
        <w:t xml:space="preserve"> </w:t>
      </w:r>
      <w:r w:rsidR="00785EB7" w:rsidRPr="00A54D09">
        <w:rPr>
          <w:szCs w:val="22"/>
          <w:lang w:val="ru-RU"/>
        </w:rPr>
        <w:t xml:space="preserve">Совета </w:t>
      </w:r>
      <w:r w:rsidRPr="00A54D09">
        <w:rPr>
          <w:szCs w:val="22"/>
          <w:lang w:val="ru-RU"/>
        </w:rPr>
        <w:t xml:space="preserve">с 2011 года, необходимо решить раз и навсегда. </w:t>
      </w:r>
      <w:r w:rsidR="000C49A4">
        <w:rPr>
          <w:szCs w:val="22"/>
          <w:lang w:val="ru-RU"/>
        </w:rPr>
        <w:t xml:space="preserve">Он </w:t>
      </w:r>
      <w:r w:rsidRPr="00A54D09">
        <w:rPr>
          <w:szCs w:val="22"/>
          <w:lang w:val="ru-RU"/>
        </w:rPr>
        <w:t>приветствует основополагающие положения, изложенные в пунктах 4</w:t>
      </w:r>
      <w:r w:rsidR="00611C0B" w:rsidRPr="00A54D09">
        <w:rPr>
          <w:szCs w:val="22"/>
          <w:lang w:val="ru-RU"/>
        </w:rPr>
        <w:t>–</w:t>
      </w:r>
      <w:r w:rsidRPr="00A54D09">
        <w:rPr>
          <w:szCs w:val="22"/>
          <w:lang w:val="ru-RU"/>
        </w:rPr>
        <w:t xml:space="preserve">13 Документа </w:t>
      </w:r>
      <w:r w:rsidRPr="00A54D09">
        <w:rPr>
          <w:szCs w:val="22"/>
        </w:rPr>
        <w:t>C</w:t>
      </w:r>
      <w:r w:rsidRPr="00A54D09">
        <w:rPr>
          <w:szCs w:val="22"/>
          <w:lang w:val="ru-RU"/>
        </w:rPr>
        <w:t>17/36(</w:t>
      </w:r>
      <w:r w:rsidRPr="00A54D09">
        <w:rPr>
          <w:szCs w:val="22"/>
        </w:rPr>
        <w:t>Rev</w:t>
      </w:r>
      <w:r w:rsidRPr="00A54D09">
        <w:rPr>
          <w:szCs w:val="22"/>
          <w:lang w:val="ru-RU"/>
        </w:rPr>
        <w:t xml:space="preserve">.1), но добавляет, что </w:t>
      </w:r>
      <w:r w:rsidR="000C49A4">
        <w:rPr>
          <w:szCs w:val="22"/>
          <w:lang w:val="ru-RU"/>
        </w:rPr>
        <w:t xml:space="preserve">два из них </w:t>
      </w:r>
      <w:r w:rsidRPr="00A54D09">
        <w:rPr>
          <w:szCs w:val="22"/>
          <w:lang w:val="ru-RU"/>
        </w:rPr>
        <w:t xml:space="preserve">следует </w:t>
      </w:r>
      <w:r w:rsidR="00785EB7" w:rsidRPr="00A54D09">
        <w:rPr>
          <w:szCs w:val="22"/>
          <w:lang w:val="ru-RU"/>
        </w:rPr>
        <w:t>более полно изложить</w:t>
      </w:r>
      <w:r w:rsidRPr="00A54D09">
        <w:rPr>
          <w:szCs w:val="22"/>
          <w:lang w:val="ru-RU"/>
        </w:rPr>
        <w:t xml:space="preserve"> в каком-либо </w:t>
      </w:r>
      <w:r w:rsidR="00D128BF">
        <w:rPr>
          <w:szCs w:val="22"/>
          <w:lang w:val="ru-RU"/>
        </w:rPr>
        <w:t>официальном</w:t>
      </w:r>
      <w:r w:rsidRPr="00A54D09">
        <w:rPr>
          <w:szCs w:val="22"/>
          <w:lang w:val="ru-RU"/>
        </w:rPr>
        <w:t xml:space="preserve"> соглашении, касающемся роли МСЭ как контролирующего органа, в целях обеспечения всесторонней защиты организации. Письмо, содержащееся в Документе </w:t>
      </w:r>
      <w:r w:rsidRPr="00A54D09">
        <w:rPr>
          <w:szCs w:val="22"/>
        </w:rPr>
        <w:t>C</w:t>
      </w:r>
      <w:r w:rsidRPr="00A54D09">
        <w:rPr>
          <w:szCs w:val="22"/>
          <w:lang w:val="ru-RU"/>
        </w:rPr>
        <w:t xml:space="preserve">17/94, вызывает у него удивление, в особенности с учетом </w:t>
      </w:r>
      <w:r w:rsidRPr="00A54D09">
        <w:rPr>
          <w:szCs w:val="22"/>
          <w:lang w:val="ru-RU"/>
        </w:rPr>
        <w:lastRenderedPageBreak/>
        <w:t xml:space="preserve">отсутствия принципиальных возражений </w:t>
      </w:r>
      <w:r w:rsidR="006903F6" w:rsidRPr="00A54D09">
        <w:rPr>
          <w:szCs w:val="22"/>
          <w:lang w:val="ru-RU"/>
        </w:rPr>
        <w:t xml:space="preserve">на </w:t>
      </w:r>
      <w:r w:rsidRPr="00A54D09">
        <w:rPr>
          <w:szCs w:val="22"/>
          <w:lang w:val="ru-RU"/>
        </w:rPr>
        <w:t>Совет</w:t>
      </w:r>
      <w:r w:rsidR="006903F6" w:rsidRPr="00A54D09">
        <w:rPr>
          <w:szCs w:val="22"/>
          <w:lang w:val="ru-RU"/>
        </w:rPr>
        <w:t>е</w:t>
      </w:r>
      <w:r w:rsidRPr="00A54D09">
        <w:rPr>
          <w:szCs w:val="22"/>
          <w:lang w:val="ru-RU"/>
        </w:rPr>
        <w:t xml:space="preserve">-16, и он </w:t>
      </w:r>
      <w:r w:rsidR="006903F6" w:rsidRPr="00A54D09">
        <w:rPr>
          <w:szCs w:val="22"/>
          <w:lang w:val="ru-RU"/>
        </w:rPr>
        <w:t>хотел бы узнать</w:t>
      </w:r>
      <w:r w:rsidRPr="00A54D09">
        <w:rPr>
          <w:szCs w:val="22"/>
          <w:lang w:val="ru-RU"/>
        </w:rPr>
        <w:t xml:space="preserve">, когда может продолжиться диалог с отраслью. </w:t>
      </w:r>
      <w:r w:rsidR="000C49A4" w:rsidRPr="00A54D09">
        <w:rPr>
          <w:szCs w:val="22"/>
          <w:lang w:val="ru-RU"/>
        </w:rPr>
        <w:t>Советник по правовым вопросам подтвер</w:t>
      </w:r>
      <w:r w:rsidR="000C49A4">
        <w:rPr>
          <w:szCs w:val="22"/>
          <w:lang w:val="ru-RU"/>
        </w:rPr>
        <w:t>ждает</w:t>
      </w:r>
      <w:r w:rsidR="000C49A4" w:rsidRPr="00A54D09">
        <w:rPr>
          <w:szCs w:val="22"/>
          <w:lang w:val="ru-RU"/>
        </w:rPr>
        <w:t>, что в случае принятия на себя роли контролирующего органа МСЭ не будет нарушать свой Устав</w:t>
      </w:r>
      <w:r w:rsidR="000C49A4">
        <w:rPr>
          <w:szCs w:val="22"/>
          <w:lang w:val="ru-RU"/>
        </w:rPr>
        <w:t>.</w:t>
      </w:r>
    </w:p>
    <w:p w:rsidR="008C539C" w:rsidRPr="00A54D09" w:rsidRDefault="008C539C" w:rsidP="000C49A4">
      <w:pPr>
        <w:snapToGrid w:val="0"/>
        <w:spacing w:after="120"/>
        <w:rPr>
          <w:szCs w:val="22"/>
          <w:lang w:val="ru-RU"/>
        </w:rPr>
      </w:pPr>
      <w:r w:rsidRPr="00A54D09">
        <w:rPr>
          <w:szCs w:val="22"/>
          <w:lang w:val="ru-RU"/>
        </w:rPr>
        <w:t>3.5</w:t>
      </w:r>
      <w:r w:rsidRPr="00A54D09">
        <w:rPr>
          <w:szCs w:val="22"/>
          <w:lang w:val="ru-RU"/>
        </w:rPr>
        <w:tab/>
      </w:r>
      <w:r w:rsidR="000C49A4">
        <w:rPr>
          <w:szCs w:val="22"/>
          <w:lang w:val="ru-RU"/>
        </w:rPr>
        <w:t>Некоторые</w:t>
      </w:r>
      <w:r w:rsidRPr="00A54D09">
        <w:rPr>
          <w:szCs w:val="22"/>
          <w:lang w:val="ru-RU"/>
        </w:rPr>
        <w:t xml:space="preserve"> </w:t>
      </w:r>
      <w:r w:rsidR="00611C0B" w:rsidRPr="00A54D09">
        <w:rPr>
          <w:szCs w:val="22"/>
          <w:lang w:val="ru-RU"/>
        </w:rPr>
        <w:t>советник</w:t>
      </w:r>
      <w:r w:rsidR="000C49A4">
        <w:rPr>
          <w:szCs w:val="22"/>
          <w:lang w:val="ru-RU"/>
        </w:rPr>
        <w:t>и</w:t>
      </w:r>
      <w:r w:rsidR="00611C0B" w:rsidRPr="00A54D09">
        <w:rPr>
          <w:szCs w:val="22"/>
          <w:lang w:val="ru-RU"/>
        </w:rPr>
        <w:t xml:space="preserve"> </w:t>
      </w:r>
      <w:r w:rsidRPr="00A54D09">
        <w:rPr>
          <w:szCs w:val="22"/>
          <w:lang w:val="ru-RU"/>
        </w:rPr>
        <w:t>заявля</w:t>
      </w:r>
      <w:r w:rsidR="00611C0B" w:rsidRPr="00A54D09">
        <w:rPr>
          <w:szCs w:val="22"/>
          <w:lang w:val="ru-RU"/>
        </w:rPr>
        <w:t>ю</w:t>
      </w:r>
      <w:r w:rsidRPr="00A54D09">
        <w:rPr>
          <w:szCs w:val="22"/>
          <w:lang w:val="ru-RU"/>
        </w:rPr>
        <w:t>т, что счита</w:t>
      </w:r>
      <w:r w:rsidR="00611C0B" w:rsidRPr="00A54D09">
        <w:rPr>
          <w:szCs w:val="22"/>
          <w:lang w:val="ru-RU"/>
        </w:rPr>
        <w:t>ю</w:t>
      </w:r>
      <w:r w:rsidRPr="00A54D09">
        <w:rPr>
          <w:szCs w:val="22"/>
          <w:lang w:val="ru-RU"/>
        </w:rPr>
        <w:t>т преждевременным одобрение Советом-17 вопроса об</w:t>
      </w:r>
      <w:r w:rsidR="006903F6" w:rsidRPr="00A54D09">
        <w:rPr>
          <w:szCs w:val="22"/>
          <w:lang w:val="ru-RU"/>
        </w:rPr>
        <w:t> </w:t>
      </w:r>
      <w:r w:rsidRPr="00A54D09">
        <w:rPr>
          <w:szCs w:val="22"/>
          <w:lang w:val="ru-RU"/>
        </w:rPr>
        <w:t xml:space="preserve">исполнении МСЭ обязанностей контролирующего органа, с учетом обеспокоенности, выраженной спутниковой отраслью, нерешенных финансовых вопросов и отсутствия определения понятия "космические средства". Окончательное решение должна принимать ПК-18. </w:t>
      </w:r>
    </w:p>
    <w:p w:rsidR="008C539C" w:rsidRPr="00913FF8" w:rsidRDefault="008C539C" w:rsidP="008C539C">
      <w:pPr>
        <w:snapToGrid w:val="0"/>
        <w:spacing w:after="120"/>
        <w:rPr>
          <w:szCs w:val="22"/>
          <w:lang w:val="ru-RU"/>
        </w:rPr>
      </w:pPr>
      <w:r w:rsidRPr="00A54D09">
        <w:rPr>
          <w:szCs w:val="22"/>
          <w:lang w:val="ru-RU"/>
        </w:rPr>
        <w:t>3.6</w:t>
      </w:r>
      <w:r w:rsidRPr="00A54D09">
        <w:rPr>
          <w:szCs w:val="22"/>
          <w:lang w:val="ru-RU"/>
        </w:rPr>
        <w:tab/>
      </w:r>
      <w:r w:rsidR="00611C0B" w:rsidRPr="00A54D09">
        <w:rPr>
          <w:szCs w:val="22"/>
          <w:lang w:val="ru-RU"/>
        </w:rPr>
        <w:t xml:space="preserve">Один из советников </w:t>
      </w:r>
      <w:r w:rsidRPr="00A54D09">
        <w:rPr>
          <w:szCs w:val="22"/>
          <w:lang w:val="ru-RU"/>
        </w:rPr>
        <w:t xml:space="preserve">подчеркивает, что решения должны определяться </w:t>
      </w:r>
      <w:r w:rsidR="006903F6" w:rsidRPr="00A54D09">
        <w:rPr>
          <w:szCs w:val="22"/>
          <w:lang w:val="ru-RU"/>
        </w:rPr>
        <w:t>желанием</w:t>
      </w:r>
      <w:r w:rsidRPr="00A54D09">
        <w:rPr>
          <w:szCs w:val="22"/>
          <w:lang w:val="ru-RU"/>
        </w:rPr>
        <w:t xml:space="preserve"> Государств-Членов, а не отрасли, стремящейся защищать интересы действующих операторов. Совету следует</w:t>
      </w:r>
      <w:r w:rsidRPr="00913FF8">
        <w:rPr>
          <w:szCs w:val="22"/>
          <w:lang w:val="ru-RU"/>
        </w:rPr>
        <w:t xml:space="preserve"> утвердить принятие МСЭ на себя функций контролирующего органа. </w:t>
      </w:r>
    </w:p>
    <w:p w:rsidR="008C539C" w:rsidRPr="00913FF8" w:rsidRDefault="008C539C" w:rsidP="008C539C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3.7</w:t>
      </w:r>
      <w:r w:rsidRPr="00913FF8">
        <w:rPr>
          <w:szCs w:val="22"/>
          <w:lang w:val="ru-RU"/>
        </w:rPr>
        <w:tab/>
        <w:t>Советник по правовым вопросам заявляет, что любое соответствующее соглашение между МСЭ и Международным институтом унификации частного права (</w:t>
      </w:r>
      <w:proofErr w:type="spellStart"/>
      <w:r w:rsidRPr="00913FF8">
        <w:rPr>
          <w:szCs w:val="22"/>
          <w:lang w:val="ru-RU"/>
        </w:rPr>
        <w:t>УНИДРУА</w:t>
      </w:r>
      <w:proofErr w:type="spellEnd"/>
      <w:r w:rsidRPr="00913FF8">
        <w:rPr>
          <w:szCs w:val="22"/>
          <w:lang w:val="ru-RU"/>
        </w:rPr>
        <w:t xml:space="preserve">) будет тщательно сформулировано, и отмечает, что многие вопросы, поднятые </w:t>
      </w:r>
      <w:r w:rsidR="00611C0B" w:rsidRPr="00913FF8">
        <w:rPr>
          <w:szCs w:val="22"/>
          <w:lang w:val="ru-RU"/>
        </w:rPr>
        <w:t>советниками</w:t>
      </w:r>
      <w:r w:rsidRPr="00913FF8">
        <w:rPr>
          <w:szCs w:val="22"/>
          <w:lang w:val="ru-RU"/>
        </w:rPr>
        <w:t xml:space="preserve">, уже были </w:t>
      </w:r>
      <w:r w:rsidR="006903F6">
        <w:rPr>
          <w:szCs w:val="22"/>
          <w:lang w:val="ru-RU"/>
        </w:rPr>
        <w:t>учтены</w:t>
      </w:r>
      <w:r w:rsidRPr="00913FF8">
        <w:rPr>
          <w:szCs w:val="22"/>
          <w:lang w:val="ru-RU"/>
        </w:rPr>
        <w:t xml:space="preserve">. Отвечая на замечание одного из </w:t>
      </w:r>
      <w:r w:rsidR="00611C0B" w:rsidRPr="00913FF8">
        <w:rPr>
          <w:szCs w:val="22"/>
          <w:lang w:val="ru-RU"/>
        </w:rPr>
        <w:t>советников</w:t>
      </w:r>
      <w:r w:rsidRPr="00913FF8">
        <w:rPr>
          <w:szCs w:val="22"/>
          <w:lang w:val="ru-RU"/>
        </w:rPr>
        <w:t xml:space="preserve">, </w:t>
      </w:r>
      <w:r w:rsidR="006903F6">
        <w:rPr>
          <w:szCs w:val="22"/>
          <w:lang w:val="ru-RU"/>
        </w:rPr>
        <w:t>оратор</w:t>
      </w:r>
      <w:r w:rsidRPr="00913FF8">
        <w:rPr>
          <w:szCs w:val="22"/>
          <w:lang w:val="ru-RU"/>
        </w:rPr>
        <w:t xml:space="preserve"> заявляет, что, поскольку роль контролирующего органа станет для МСЭ новой ролью, </w:t>
      </w:r>
      <w:r w:rsidRPr="00913FF8">
        <w:rPr>
          <w:bCs/>
          <w:szCs w:val="22"/>
          <w:lang w:val="ru-RU"/>
        </w:rPr>
        <w:t>было бы желательно</w:t>
      </w:r>
      <w:r w:rsidRPr="00913FF8">
        <w:rPr>
          <w:szCs w:val="22"/>
          <w:lang w:val="ru-RU"/>
        </w:rPr>
        <w:t>, чтобы любое официальное соглашение МСЭ имело ограниченный срок действия</w:t>
      </w:r>
      <w:r w:rsidR="006903F6">
        <w:rPr>
          <w:szCs w:val="22"/>
          <w:lang w:val="ru-RU"/>
        </w:rPr>
        <w:t>,</w:t>
      </w:r>
      <w:r w:rsidRPr="00913FF8">
        <w:rPr>
          <w:szCs w:val="22"/>
          <w:lang w:val="ru-RU"/>
        </w:rPr>
        <w:t xml:space="preserve"> с тем чтобы дать ПК-22 возможность принять решение о том, следует ли МСЭ продолжать эту деятельность. </w:t>
      </w:r>
    </w:p>
    <w:p w:rsidR="008C539C" w:rsidRPr="00913FF8" w:rsidRDefault="008C539C" w:rsidP="000C49A4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3.8</w:t>
      </w:r>
      <w:r w:rsidRPr="00913FF8">
        <w:rPr>
          <w:szCs w:val="22"/>
          <w:lang w:val="ru-RU"/>
        </w:rPr>
        <w:tab/>
        <w:t xml:space="preserve">Говоря о вопросах, вызывающих обеспокоенность и поднятых в Документе </w:t>
      </w:r>
      <w:r w:rsidRPr="00913FF8">
        <w:rPr>
          <w:szCs w:val="22"/>
        </w:rPr>
        <w:t>C</w:t>
      </w:r>
      <w:r w:rsidRPr="00913FF8">
        <w:rPr>
          <w:szCs w:val="22"/>
          <w:lang w:val="ru-RU"/>
        </w:rPr>
        <w:t xml:space="preserve">17/94, представитель БР заявляет, что </w:t>
      </w:r>
      <w:r w:rsidRPr="00913FF8">
        <w:rPr>
          <w:szCs w:val="22"/>
          <w:lang w:val="ru-RU" w:eastAsia="fr-FR"/>
        </w:rPr>
        <w:t>меры регулирования, предусмотренные</w:t>
      </w:r>
      <w:r w:rsidRPr="00913FF8">
        <w:rPr>
          <w:szCs w:val="22"/>
          <w:lang w:val="ru-RU"/>
        </w:rPr>
        <w:t xml:space="preserve"> Протоколом по космическим средствам</w:t>
      </w:r>
      <w:r w:rsidRPr="00913FF8">
        <w:rPr>
          <w:szCs w:val="22"/>
          <w:lang w:val="ru-RU" w:eastAsia="fr-FR"/>
        </w:rPr>
        <w:t>, будут применяться только к тем операторам, которые пожелают получить финансовые гарантии посредством этой процедуры регистрации на добровольной основе</w:t>
      </w:r>
      <w:r w:rsidRPr="00913FF8">
        <w:rPr>
          <w:szCs w:val="22"/>
          <w:lang w:val="ru-RU"/>
        </w:rPr>
        <w:t xml:space="preserve">. </w:t>
      </w:r>
      <w:r w:rsidR="000C49A4">
        <w:rPr>
          <w:szCs w:val="22"/>
          <w:lang w:val="ru-RU"/>
        </w:rPr>
        <w:t xml:space="preserve">МСЭ </w:t>
      </w:r>
      <w:r w:rsidR="000C49A4" w:rsidRPr="00913FF8">
        <w:rPr>
          <w:szCs w:val="22"/>
          <w:lang w:val="ru-RU"/>
        </w:rPr>
        <w:t>будет находиться в более благоприятном положении с точки зрения участия в обсуждении возможного будущего определения понятия "космические средства"</w:t>
      </w:r>
      <w:r w:rsidR="000C49A4">
        <w:rPr>
          <w:szCs w:val="22"/>
          <w:lang w:val="ru-RU"/>
        </w:rPr>
        <w:t>, е</w:t>
      </w:r>
      <w:r w:rsidRPr="00913FF8">
        <w:rPr>
          <w:szCs w:val="22"/>
          <w:lang w:val="ru-RU"/>
        </w:rPr>
        <w:t xml:space="preserve">сли </w:t>
      </w:r>
      <w:r w:rsidR="000C49A4">
        <w:rPr>
          <w:szCs w:val="22"/>
          <w:lang w:val="ru-RU"/>
        </w:rPr>
        <w:t xml:space="preserve">он </w:t>
      </w:r>
      <w:r w:rsidRPr="00913FF8">
        <w:rPr>
          <w:szCs w:val="22"/>
          <w:lang w:val="ru-RU"/>
        </w:rPr>
        <w:t xml:space="preserve">станет контролирующим органом, </w:t>
      </w:r>
      <w:r w:rsidR="000C49A4" w:rsidRPr="000C49A4">
        <w:rPr>
          <w:szCs w:val="22"/>
          <w:lang w:val="ru-RU"/>
        </w:rPr>
        <w:t>а не посторонним участником, которого не приглашают к обсуждению</w:t>
      </w:r>
      <w:r w:rsidRPr="00913FF8">
        <w:rPr>
          <w:szCs w:val="22"/>
          <w:lang w:val="ru-RU"/>
        </w:rPr>
        <w:t xml:space="preserve">. Принятие МСЭ на себя роли контролирующего органа не повлечет каких-либо финансовых последствий, так как расходы на </w:t>
      </w:r>
      <w:r w:rsidR="000C49A4">
        <w:rPr>
          <w:szCs w:val="22"/>
          <w:lang w:val="ru-RU"/>
        </w:rPr>
        <w:t xml:space="preserve">задействованный </w:t>
      </w:r>
      <w:r w:rsidRPr="00913FF8">
        <w:rPr>
          <w:szCs w:val="22"/>
          <w:lang w:val="ru-RU"/>
        </w:rPr>
        <w:t>персонал будут полностью возмещены.</w:t>
      </w:r>
    </w:p>
    <w:p w:rsidR="008C539C" w:rsidRPr="00913FF8" w:rsidRDefault="008C539C" w:rsidP="001A65ED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3.9</w:t>
      </w:r>
      <w:r w:rsidRPr="00913FF8">
        <w:rPr>
          <w:szCs w:val="22"/>
          <w:lang w:val="ru-RU"/>
        </w:rPr>
        <w:tab/>
        <w:t>Председатель отмечает</w:t>
      </w:r>
      <w:r w:rsidR="001A65ED">
        <w:rPr>
          <w:szCs w:val="22"/>
          <w:lang w:val="ru-RU"/>
        </w:rPr>
        <w:t>, что</w:t>
      </w:r>
      <w:r w:rsidR="00CB1B08">
        <w:rPr>
          <w:szCs w:val="22"/>
          <w:lang w:val="ru-RU"/>
        </w:rPr>
        <w:t>,</w:t>
      </w:r>
      <w:r w:rsidR="001A65ED">
        <w:rPr>
          <w:szCs w:val="22"/>
          <w:lang w:val="ru-RU"/>
        </w:rPr>
        <w:t xml:space="preserve"> </w:t>
      </w:r>
      <w:r w:rsidR="001A65ED" w:rsidRPr="001A65ED">
        <w:rPr>
          <w:szCs w:val="22"/>
          <w:lang w:val="ru-RU"/>
        </w:rPr>
        <w:t>в принципе</w:t>
      </w:r>
      <w:r w:rsidR="00CB1B08">
        <w:rPr>
          <w:szCs w:val="22"/>
          <w:lang w:val="ru-RU"/>
        </w:rPr>
        <w:t>,</w:t>
      </w:r>
      <w:r w:rsidR="001A65ED" w:rsidRPr="001A65ED">
        <w:rPr>
          <w:szCs w:val="22"/>
          <w:lang w:val="ru-RU"/>
        </w:rPr>
        <w:t xml:space="preserve"> не имеется возражений против того, чтобы МСЭ стал контролирующим органом</w:t>
      </w:r>
      <w:r w:rsidR="001A65ED">
        <w:rPr>
          <w:szCs w:val="22"/>
          <w:lang w:val="ru-RU"/>
        </w:rPr>
        <w:t xml:space="preserve">, и </w:t>
      </w:r>
      <w:r w:rsidRPr="00913FF8">
        <w:rPr>
          <w:szCs w:val="22"/>
          <w:lang w:val="ru-RU"/>
        </w:rPr>
        <w:t>что существует общее согласие относительно того, что окончательное решение должна принимать ПК-18.</w:t>
      </w:r>
    </w:p>
    <w:p w:rsidR="00B92308" w:rsidRPr="008C539C" w:rsidRDefault="008C539C" w:rsidP="008C539C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3.10</w:t>
      </w:r>
      <w:r w:rsidRPr="00913FF8">
        <w:rPr>
          <w:szCs w:val="22"/>
          <w:lang w:val="ru-RU"/>
        </w:rPr>
        <w:tab/>
        <w:t xml:space="preserve">Совет </w:t>
      </w:r>
      <w:r w:rsidRPr="00913FF8">
        <w:rPr>
          <w:b/>
          <w:bCs/>
          <w:szCs w:val="22"/>
          <w:lang w:val="ru-RU"/>
        </w:rPr>
        <w:t xml:space="preserve">принимает к сведению </w:t>
      </w:r>
      <w:r w:rsidRPr="00913FF8">
        <w:rPr>
          <w:szCs w:val="22"/>
          <w:lang w:val="ru-RU"/>
        </w:rPr>
        <w:t xml:space="preserve">Документ </w:t>
      </w:r>
      <w:r w:rsidRPr="00913FF8">
        <w:rPr>
          <w:szCs w:val="22"/>
        </w:rPr>
        <w:t>C</w:t>
      </w:r>
      <w:r w:rsidRPr="00913FF8">
        <w:rPr>
          <w:szCs w:val="22"/>
          <w:lang w:val="ru-RU"/>
        </w:rPr>
        <w:t>17/36(</w:t>
      </w:r>
      <w:r w:rsidRPr="00913FF8">
        <w:rPr>
          <w:szCs w:val="22"/>
        </w:rPr>
        <w:t>Rev</w:t>
      </w:r>
      <w:r w:rsidRPr="00913FF8">
        <w:rPr>
          <w:szCs w:val="22"/>
          <w:lang w:val="ru-RU"/>
        </w:rPr>
        <w:t xml:space="preserve">.1), </w:t>
      </w:r>
      <w:r w:rsidRPr="00913FF8">
        <w:rPr>
          <w:b/>
          <w:bCs/>
          <w:szCs w:val="22"/>
          <w:lang w:val="ru-RU"/>
        </w:rPr>
        <w:t xml:space="preserve">уполномочивает </w:t>
      </w:r>
      <w:r w:rsidRPr="00913FF8">
        <w:rPr>
          <w:bCs/>
          <w:szCs w:val="22"/>
          <w:lang w:val="ru-RU"/>
        </w:rPr>
        <w:t>Генерального секретаря (или его представителя) продолжать участвовать в работе Подготовительной комиссии и</w:t>
      </w:r>
      <w:r w:rsidR="00611C0B">
        <w:rPr>
          <w:bCs/>
          <w:szCs w:val="22"/>
          <w:lang w:val="ru-RU"/>
        </w:rPr>
        <w:t> </w:t>
      </w:r>
      <w:r w:rsidRPr="00913FF8">
        <w:rPr>
          <w:bCs/>
          <w:szCs w:val="22"/>
          <w:lang w:val="ru-RU"/>
        </w:rPr>
        <w:t>ее рабочих групп в качестве наблюдателя и поддерживает условия, изложенные в пунктах</w:t>
      </w:r>
      <w:r w:rsidR="006903F6">
        <w:rPr>
          <w:bCs/>
          <w:szCs w:val="22"/>
          <w:lang w:val="ru-RU"/>
        </w:rPr>
        <w:t> </w:t>
      </w:r>
      <w:r w:rsidRPr="00913FF8">
        <w:rPr>
          <w:bCs/>
          <w:szCs w:val="22"/>
          <w:lang w:val="ru-RU"/>
        </w:rPr>
        <w:t>4–</w:t>
      </w:r>
      <w:r w:rsidR="00611C0B">
        <w:rPr>
          <w:bCs/>
          <w:szCs w:val="22"/>
          <w:lang w:val="ru-RU"/>
        </w:rPr>
        <w:t>1</w:t>
      </w:r>
      <w:r w:rsidRPr="00913FF8">
        <w:rPr>
          <w:bCs/>
          <w:szCs w:val="22"/>
          <w:lang w:val="ru-RU"/>
        </w:rPr>
        <w:t xml:space="preserve">3 </w:t>
      </w:r>
      <w:r w:rsidR="00A54D09" w:rsidRPr="00913FF8">
        <w:rPr>
          <w:bCs/>
          <w:szCs w:val="22"/>
          <w:lang w:val="ru-RU"/>
        </w:rPr>
        <w:t>документа</w:t>
      </w:r>
      <w:r w:rsidRPr="00913FF8">
        <w:rPr>
          <w:bCs/>
          <w:szCs w:val="22"/>
          <w:lang w:val="ru-RU"/>
        </w:rPr>
        <w:t>, для представления рекомендации ПК-18</w:t>
      </w:r>
      <w:r w:rsidRPr="00913FF8">
        <w:rPr>
          <w:szCs w:val="22"/>
          <w:lang w:val="ru-RU"/>
        </w:rPr>
        <w:t>.</w:t>
      </w:r>
    </w:p>
    <w:p w:rsidR="00B92308" w:rsidRPr="00A25974" w:rsidRDefault="00B92308" w:rsidP="00A25974">
      <w:pPr>
        <w:pStyle w:val="Heading1"/>
        <w:rPr>
          <w:szCs w:val="26"/>
          <w:lang w:val="ru-RU"/>
        </w:rPr>
      </w:pPr>
      <w:r w:rsidRPr="00A25974">
        <w:rPr>
          <w:bCs/>
          <w:szCs w:val="26"/>
          <w:lang w:val="ru-RU"/>
        </w:rPr>
        <w:t>4</w:t>
      </w:r>
      <w:r w:rsidRPr="00A25974">
        <w:rPr>
          <w:bCs/>
          <w:szCs w:val="26"/>
          <w:lang w:val="ru-RU"/>
        </w:rPr>
        <w:tab/>
      </w:r>
      <w:r w:rsidR="004C1D2F" w:rsidRPr="00A25974">
        <w:rPr>
          <w:bCs/>
          <w:szCs w:val="26"/>
          <w:lang w:val="ru-RU"/>
        </w:rPr>
        <w:t xml:space="preserve">Проекты </w:t>
      </w:r>
      <w:r w:rsidR="004C1D2F" w:rsidRPr="00A25974">
        <w:rPr>
          <w:szCs w:val="26"/>
          <w:lang w:val="ru-RU"/>
        </w:rPr>
        <w:t>четырехгодичных</w:t>
      </w:r>
      <w:r w:rsidR="004C1D2F" w:rsidRPr="00A25974">
        <w:rPr>
          <w:bCs/>
          <w:szCs w:val="26"/>
          <w:lang w:val="ru-RU"/>
        </w:rPr>
        <w:t xml:space="preserve"> скользящих оперативных планов на 2018−2021</w:t>
      </w:r>
      <w:r w:rsidR="00A25974">
        <w:rPr>
          <w:bCs/>
          <w:szCs w:val="26"/>
          <w:lang w:val="ru-RU"/>
        </w:rPr>
        <w:t> </w:t>
      </w:r>
      <w:r w:rsidR="004C1D2F" w:rsidRPr="00A25974">
        <w:rPr>
          <w:bCs/>
          <w:szCs w:val="26"/>
          <w:lang w:val="ru-RU"/>
        </w:rPr>
        <w:t>годы (продолжение) (</w:t>
      </w:r>
      <w:r w:rsidR="00A54D09" w:rsidRPr="00A25974">
        <w:rPr>
          <w:bCs/>
          <w:szCs w:val="26"/>
          <w:lang w:val="ru-RU"/>
        </w:rPr>
        <w:t xml:space="preserve">Документы </w:t>
      </w:r>
      <w:hyperlink r:id="rId30" w:history="1">
        <w:r w:rsidRPr="00CB1B08">
          <w:rPr>
            <w:rStyle w:val="Hyperlink"/>
            <w:bCs/>
            <w:szCs w:val="26"/>
            <w:lang w:val="en-US"/>
          </w:rPr>
          <w:t>C</w:t>
        </w:r>
        <w:r w:rsidRPr="00CB1B08">
          <w:rPr>
            <w:rStyle w:val="Hyperlink"/>
            <w:bCs/>
            <w:szCs w:val="26"/>
            <w:lang w:val="ru-RU"/>
          </w:rPr>
          <w:t>17/28(</w:t>
        </w:r>
        <w:r w:rsidRPr="00CB1B08">
          <w:rPr>
            <w:rStyle w:val="Hyperlink"/>
            <w:bCs/>
            <w:szCs w:val="26"/>
            <w:lang w:val="en-US"/>
          </w:rPr>
          <w:t>Rev</w:t>
        </w:r>
        <w:r w:rsidRPr="00CB1B08">
          <w:rPr>
            <w:rStyle w:val="Hyperlink"/>
            <w:bCs/>
            <w:szCs w:val="26"/>
            <w:lang w:val="ru-RU"/>
          </w:rPr>
          <w:t>.1)</w:t>
        </w:r>
      </w:hyperlink>
      <w:r w:rsidRPr="00A25974">
        <w:rPr>
          <w:bCs/>
          <w:szCs w:val="26"/>
          <w:lang w:val="ru-RU"/>
        </w:rPr>
        <w:t xml:space="preserve">, </w:t>
      </w:r>
      <w:hyperlink r:id="rId31" w:history="1">
        <w:r w:rsidRPr="00A25974">
          <w:rPr>
            <w:rStyle w:val="Hyperlink"/>
            <w:bCs/>
            <w:szCs w:val="26"/>
            <w:lang w:val="en-US"/>
          </w:rPr>
          <w:t>C</w:t>
        </w:r>
        <w:r w:rsidRPr="00A25974">
          <w:rPr>
            <w:rStyle w:val="Hyperlink"/>
            <w:bCs/>
            <w:szCs w:val="26"/>
            <w:lang w:val="ru-RU"/>
          </w:rPr>
          <w:t>17/29</w:t>
        </w:r>
      </w:hyperlink>
      <w:r w:rsidRPr="00A25974">
        <w:rPr>
          <w:bCs/>
          <w:szCs w:val="26"/>
          <w:lang w:val="ru-RU"/>
        </w:rPr>
        <w:t xml:space="preserve">, </w:t>
      </w:r>
      <w:hyperlink r:id="rId32" w:history="1">
        <w:r w:rsidRPr="00CB1B08">
          <w:rPr>
            <w:rStyle w:val="Hyperlink"/>
            <w:bCs/>
            <w:szCs w:val="26"/>
            <w:lang w:val="en-US"/>
          </w:rPr>
          <w:t>C</w:t>
        </w:r>
        <w:r w:rsidRPr="00CB1B08">
          <w:rPr>
            <w:rStyle w:val="Hyperlink"/>
            <w:bCs/>
            <w:szCs w:val="26"/>
            <w:lang w:val="ru-RU"/>
          </w:rPr>
          <w:t>17/30(</w:t>
        </w:r>
        <w:r w:rsidRPr="00CB1B08">
          <w:rPr>
            <w:rStyle w:val="Hyperlink"/>
            <w:bCs/>
            <w:szCs w:val="26"/>
            <w:lang w:val="en-US"/>
          </w:rPr>
          <w:t>Rev</w:t>
        </w:r>
        <w:r w:rsidRPr="00CB1B08">
          <w:rPr>
            <w:rStyle w:val="Hyperlink"/>
            <w:bCs/>
            <w:szCs w:val="26"/>
            <w:lang w:val="ru-RU"/>
          </w:rPr>
          <w:t>.1)</w:t>
        </w:r>
      </w:hyperlink>
      <w:r w:rsidRPr="00A25974">
        <w:rPr>
          <w:bCs/>
          <w:szCs w:val="26"/>
          <w:lang w:val="ru-RU"/>
        </w:rPr>
        <w:t xml:space="preserve">, </w:t>
      </w:r>
      <w:hyperlink r:id="rId33" w:history="1">
        <w:r w:rsidRPr="00A25974">
          <w:rPr>
            <w:rStyle w:val="Hyperlink"/>
            <w:bCs/>
            <w:szCs w:val="26"/>
            <w:lang w:val="en-US"/>
          </w:rPr>
          <w:t>C</w:t>
        </w:r>
        <w:r w:rsidRPr="00A25974">
          <w:rPr>
            <w:rStyle w:val="Hyperlink"/>
            <w:bCs/>
            <w:szCs w:val="26"/>
            <w:lang w:val="ru-RU"/>
          </w:rPr>
          <w:t>17/31</w:t>
        </w:r>
      </w:hyperlink>
      <w:r w:rsidRPr="00A25974">
        <w:rPr>
          <w:bCs/>
          <w:szCs w:val="26"/>
          <w:lang w:val="ru-RU"/>
        </w:rPr>
        <w:t xml:space="preserve"> </w:t>
      </w:r>
      <w:r w:rsidR="004C1D2F" w:rsidRPr="00A25974">
        <w:rPr>
          <w:bCs/>
          <w:szCs w:val="26"/>
          <w:lang w:val="ru-RU"/>
        </w:rPr>
        <w:t>и</w:t>
      </w:r>
      <w:r w:rsidRPr="00A25974">
        <w:rPr>
          <w:bCs/>
          <w:szCs w:val="26"/>
          <w:lang w:val="ru-RU"/>
        </w:rPr>
        <w:t xml:space="preserve"> </w:t>
      </w:r>
      <w:hyperlink r:id="rId34" w:history="1">
        <w:r w:rsidRPr="00A25974">
          <w:rPr>
            <w:rStyle w:val="Hyperlink"/>
            <w:bCs/>
            <w:szCs w:val="26"/>
            <w:lang w:val="en-US"/>
          </w:rPr>
          <w:t>C</w:t>
        </w:r>
        <w:r w:rsidRPr="00A25974">
          <w:rPr>
            <w:rStyle w:val="Hyperlink"/>
            <w:bCs/>
            <w:szCs w:val="26"/>
            <w:lang w:val="ru-RU"/>
          </w:rPr>
          <w:t>17/32</w:t>
        </w:r>
      </w:hyperlink>
      <w:r w:rsidRPr="00A25974">
        <w:rPr>
          <w:bCs/>
          <w:szCs w:val="26"/>
          <w:lang w:val="ru-RU"/>
        </w:rPr>
        <w:t>)</w:t>
      </w:r>
    </w:p>
    <w:p w:rsidR="00B92308" w:rsidRPr="003B0952" w:rsidRDefault="00B92308" w:rsidP="00980F1D">
      <w:pPr>
        <w:snapToGrid w:val="0"/>
        <w:spacing w:after="120"/>
        <w:rPr>
          <w:szCs w:val="22"/>
          <w:lang w:val="ru-RU"/>
        </w:rPr>
      </w:pPr>
      <w:r w:rsidRPr="003B0952">
        <w:rPr>
          <w:szCs w:val="22"/>
          <w:lang w:val="ru-RU"/>
        </w:rPr>
        <w:t>4.1</w:t>
      </w:r>
      <w:r w:rsidRPr="003B0952">
        <w:rPr>
          <w:szCs w:val="22"/>
          <w:lang w:val="ru-RU"/>
        </w:rPr>
        <w:tab/>
      </w:r>
      <w:r w:rsidR="003B0952" w:rsidRPr="00913FF8">
        <w:rPr>
          <w:szCs w:val="22"/>
          <w:lang w:val="ru-RU"/>
        </w:rPr>
        <w:t xml:space="preserve">Совет </w:t>
      </w:r>
      <w:r w:rsidR="003B0952" w:rsidRPr="00913FF8">
        <w:rPr>
          <w:b/>
          <w:bCs/>
          <w:szCs w:val="22"/>
          <w:lang w:val="ru-RU"/>
        </w:rPr>
        <w:t>принимает</w:t>
      </w:r>
      <w:r w:rsidR="003B0952" w:rsidRPr="00913FF8">
        <w:rPr>
          <w:szCs w:val="22"/>
          <w:lang w:val="ru-RU"/>
        </w:rPr>
        <w:t xml:space="preserve"> резолюцию, содержащуюся в Документе </w:t>
      </w:r>
      <w:r w:rsidR="003B0952" w:rsidRPr="00913FF8">
        <w:rPr>
          <w:szCs w:val="22"/>
          <w:lang w:val="en-CA"/>
        </w:rPr>
        <w:t>C</w:t>
      </w:r>
      <w:r w:rsidR="003B0952" w:rsidRPr="00913FF8">
        <w:rPr>
          <w:szCs w:val="22"/>
          <w:lang w:val="ru-RU"/>
        </w:rPr>
        <w:t xml:space="preserve">17/32, и таким образом </w:t>
      </w:r>
      <w:r w:rsidR="003B0952" w:rsidRPr="00913FF8">
        <w:rPr>
          <w:b/>
          <w:szCs w:val="22"/>
          <w:lang w:val="ru-RU"/>
        </w:rPr>
        <w:t>утверждает</w:t>
      </w:r>
      <w:r w:rsidR="003B0952" w:rsidRPr="00913FF8">
        <w:rPr>
          <w:szCs w:val="22"/>
          <w:lang w:val="ru-RU"/>
        </w:rPr>
        <w:t xml:space="preserve"> </w:t>
      </w:r>
      <w:r w:rsidR="003B0952" w:rsidRPr="00913FF8">
        <w:rPr>
          <w:bCs/>
          <w:szCs w:val="22"/>
          <w:lang w:val="ru-RU"/>
        </w:rPr>
        <w:t>проекты четырехгодичных скользящих оперативных планов для МСЭ-</w:t>
      </w:r>
      <w:r w:rsidR="003B0952" w:rsidRPr="00913FF8">
        <w:rPr>
          <w:bCs/>
          <w:szCs w:val="22"/>
          <w:lang w:val="en-US"/>
        </w:rPr>
        <w:t>R</w:t>
      </w:r>
      <w:r w:rsidR="003B0952" w:rsidRPr="00913FF8">
        <w:rPr>
          <w:bCs/>
          <w:szCs w:val="22"/>
          <w:lang w:val="ru-RU"/>
        </w:rPr>
        <w:t>, МСЭ-</w:t>
      </w:r>
      <w:r w:rsidR="003B0952" w:rsidRPr="00913FF8">
        <w:rPr>
          <w:bCs/>
          <w:szCs w:val="22"/>
          <w:lang w:val="en-US"/>
        </w:rPr>
        <w:t>T</w:t>
      </w:r>
      <w:r w:rsidR="003B0952" w:rsidRPr="00913FF8">
        <w:rPr>
          <w:bCs/>
          <w:szCs w:val="22"/>
          <w:lang w:val="ru-RU"/>
        </w:rPr>
        <w:t>, МСЭ-</w:t>
      </w:r>
      <w:r w:rsidR="003B0952" w:rsidRPr="00913FF8">
        <w:rPr>
          <w:bCs/>
          <w:szCs w:val="22"/>
          <w:lang w:val="en-US"/>
        </w:rPr>
        <w:t>D</w:t>
      </w:r>
      <w:r w:rsidR="003B0952" w:rsidRPr="00913FF8">
        <w:rPr>
          <w:bCs/>
          <w:szCs w:val="22"/>
          <w:lang w:val="ru-RU"/>
        </w:rPr>
        <w:t xml:space="preserve"> и Генерального секретариата на 2018</w:t>
      </w:r>
      <w:r w:rsidR="003B0952">
        <w:rPr>
          <w:bCs/>
          <w:szCs w:val="22"/>
          <w:lang w:val="ru-RU"/>
        </w:rPr>
        <w:t>–</w:t>
      </w:r>
      <w:r w:rsidR="003B0952" w:rsidRPr="00913FF8">
        <w:rPr>
          <w:bCs/>
          <w:szCs w:val="22"/>
          <w:lang w:val="ru-RU"/>
        </w:rPr>
        <w:t xml:space="preserve">2021 годы (документы </w:t>
      </w:r>
      <w:r w:rsidR="003B0952" w:rsidRPr="00913FF8">
        <w:rPr>
          <w:bCs/>
          <w:szCs w:val="22"/>
          <w:lang w:val="en-CA"/>
        </w:rPr>
        <w:t>C</w:t>
      </w:r>
      <w:r w:rsidR="003B0952" w:rsidRPr="00913FF8">
        <w:rPr>
          <w:bCs/>
          <w:szCs w:val="22"/>
          <w:lang w:val="ru-RU"/>
        </w:rPr>
        <w:t>17/28(</w:t>
      </w:r>
      <w:r w:rsidR="003B0952" w:rsidRPr="00913FF8">
        <w:rPr>
          <w:bCs/>
          <w:szCs w:val="22"/>
          <w:lang w:val="en-CA"/>
        </w:rPr>
        <w:t>Rev</w:t>
      </w:r>
      <w:r w:rsidR="003B0952" w:rsidRPr="00913FF8">
        <w:rPr>
          <w:bCs/>
          <w:szCs w:val="22"/>
          <w:lang w:val="ru-RU"/>
        </w:rPr>
        <w:t xml:space="preserve">.1), </w:t>
      </w:r>
      <w:r w:rsidR="003B0952" w:rsidRPr="00913FF8">
        <w:rPr>
          <w:bCs/>
          <w:szCs w:val="22"/>
          <w:lang w:val="en-CA"/>
        </w:rPr>
        <w:t>C</w:t>
      </w:r>
      <w:r w:rsidR="003B0952" w:rsidRPr="00913FF8">
        <w:rPr>
          <w:bCs/>
          <w:szCs w:val="22"/>
          <w:lang w:val="ru-RU"/>
        </w:rPr>
        <w:t xml:space="preserve">17/29, </w:t>
      </w:r>
      <w:r w:rsidR="003B0952" w:rsidRPr="00913FF8">
        <w:rPr>
          <w:bCs/>
          <w:szCs w:val="22"/>
          <w:lang w:val="en-CA"/>
        </w:rPr>
        <w:t>C</w:t>
      </w:r>
      <w:r w:rsidR="003B0952" w:rsidRPr="00913FF8">
        <w:rPr>
          <w:bCs/>
          <w:szCs w:val="22"/>
          <w:lang w:val="ru-RU"/>
        </w:rPr>
        <w:t>17/30(</w:t>
      </w:r>
      <w:r w:rsidR="003B0952" w:rsidRPr="00913FF8">
        <w:rPr>
          <w:bCs/>
          <w:szCs w:val="22"/>
          <w:lang w:val="en-CA"/>
        </w:rPr>
        <w:t>Rev</w:t>
      </w:r>
      <w:r w:rsidR="003B0952" w:rsidRPr="00913FF8">
        <w:rPr>
          <w:bCs/>
          <w:szCs w:val="22"/>
          <w:lang w:val="ru-RU"/>
        </w:rPr>
        <w:t xml:space="preserve">.1) и </w:t>
      </w:r>
      <w:r w:rsidR="003B0952" w:rsidRPr="00913FF8">
        <w:rPr>
          <w:bCs/>
          <w:szCs w:val="22"/>
          <w:lang w:val="en-CA"/>
        </w:rPr>
        <w:t>C</w:t>
      </w:r>
      <w:r w:rsidR="003B0952" w:rsidRPr="00913FF8">
        <w:rPr>
          <w:bCs/>
          <w:szCs w:val="22"/>
          <w:lang w:val="ru-RU"/>
        </w:rPr>
        <w:t>17/31), при понимании того, что планы для МСЭ-</w:t>
      </w:r>
      <w:r w:rsidR="003B0952" w:rsidRPr="00913FF8">
        <w:rPr>
          <w:bCs/>
          <w:szCs w:val="22"/>
          <w:lang w:val="en-US"/>
        </w:rPr>
        <w:t>R</w:t>
      </w:r>
      <w:r w:rsidR="003B0952" w:rsidRPr="00913FF8">
        <w:rPr>
          <w:bCs/>
          <w:szCs w:val="22"/>
          <w:lang w:val="ru-RU"/>
        </w:rPr>
        <w:t xml:space="preserve"> и МСЭ-</w:t>
      </w:r>
      <w:r w:rsidR="003B0952" w:rsidRPr="00913FF8">
        <w:rPr>
          <w:bCs/>
          <w:szCs w:val="22"/>
          <w:lang w:val="en-US"/>
        </w:rPr>
        <w:t>T</w:t>
      </w:r>
      <w:r w:rsidR="003B0952" w:rsidRPr="00913FF8">
        <w:rPr>
          <w:bCs/>
          <w:szCs w:val="22"/>
          <w:lang w:val="ru-RU"/>
        </w:rPr>
        <w:t xml:space="preserve"> будут пересмотрены в соответствии с</w:t>
      </w:r>
      <w:r w:rsidR="003B0952">
        <w:rPr>
          <w:bCs/>
          <w:szCs w:val="22"/>
          <w:lang w:val="ru-RU"/>
        </w:rPr>
        <w:t> </w:t>
      </w:r>
      <w:r w:rsidR="003B0952" w:rsidRPr="00913FF8">
        <w:rPr>
          <w:bCs/>
          <w:szCs w:val="22"/>
          <w:lang w:val="ru-RU"/>
        </w:rPr>
        <w:t>обсуждениями Постоянного комитета по администрированию и управлению.</w:t>
      </w:r>
    </w:p>
    <w:p w:rsidR="00B92308" w:rsidRPr="00A25974" w:rsidRDefault="00B92308" w:rsidP="00A25974">
      <w:pPr>
        <w:pStyle w:val="Heading1"/>
        <w:rPr>
          <w:szCs w:val="26"/>
          <w:lang w:val="ru-RU"/>
        </w:rPr>
      </w:pPr>
      <w:r w:rsidRPr="00A25974">
        <w:rPr>
          <w:szCs w:val="26"/>
          <w:lang w:val="ru-RU"/>
        </w:rPr>
        <w:lastRenderedPageBreak/>
        <w:t>5</w:t>
      </w:r>
      <w:r w:rsidRPr="00A25974">
        <w:rPr>
          <w:szCs w:val="26"/>
          <w:lang w:val="ru-RU"/>
        </w:rPr>
        <w:tab/>
      </w:r>
      <w:r w:rsidR="009256A3" w:rsidRPr="00A25974">
        <w:rPr>
          <w:szCs w:val="26"/>
          <w:lang w:val="ru-RU"/>
        </w:rPr>
        <w:t>Программа по оценке соответствия и проверке на функциональную совместимость (</w:t>
      </w:r>
      <w:proofErr w:type="spellStart"/>
      <w:r w:rsidR="009256A3" w:rsidRPr="00A25974">
        <w:rPr>
          <w:szCs w:val="26"/>
          <w:lang w:val="ru-RU"/>
        </w:rPr>
        <w:t>C&amp;I</w:t>
      </w:r>
      <w:proofErr w:type="spellEnd"/>
      <w:r w:rsidR="009256A3" w:rsidRPr="00A25974">
        <w:rPr>
          <w:szCs w:val="26"/>
          <w:lang w:val="ru-RU"/>
        </w:rPr>
        <w:t>) – отчет о положении дел и план действий (Документ</w:t>
      </w:r>
      <w:r w:rsidR="00A25974" w:rsidRPr="00A25974">
        <w:rPr>
          <w:szCs w:val="26"/>
          <w:lang w:val="ru-RU"/>
        </w:rPr>
        <w:t> </w:t>
      </w:r>
      <w:hyperlink r:id="rId35" w:history="1">
        <w:r w:rsidRPr="00A25974">
          <w:rPr>
            <w:rStyle w:val="Hyperlink"/>
            <w:bCs/>
            <w:szCs w:val="26"/>
            <w:lang w:val="en-CA"/>
          </w:rPr>
          <w:t>C</w:t>
        </w:r>
        <w:r w:rsidRPr="00A25974">
          <w:rPr>
            <w:rStyle w:val="Hyperlink"/>
            <w:bCs/>
            <w:szCs w:val="26"/>
            <w:lang w:val="ru-RU"/>
          </w:rPr>
          <w:t>17/24</w:t>
        </w:r>
      </w:hyperlink>
      <w:r w:rsidRPr="00A25974">
        <w:rPr>
          <w:szCs w:val="26"/>
          <w:lang w:val="ru-RU"/>
        </w:rPr>
        <w:t>)</w:t>
      </w:r>
    </w:p>
    <w:p w:rsidR="007A2267" w:rsidRPr="00913FF8" w:rsidRDefault="00347EDF" w:rsidP="007A2267">
      <w:pPr>
        <w:snapToGrid w:val="0"/>
        <w:spacing w:after="120"/>
        <w:rPr>
          <w:szCs w:val="22"/>
          <w:lang w:val="ru-RU"/>
        </w:rPr>
      </w:pPr>
      <w:r w:rsidRPr="007A2267">
        <w:rPr>
          <w:szCs w:val="22"/>
          <w:lang w:val="ru-RU"/>
        </w:rPr>
        <w:t>5.1</w:t>
      </w:r>
      <w:r w:rsidR="00B92308" w:rsidRPr="007A2267">
        <w:rPr>
          <w:szCs w:val="22"/>
          <w:lang w:val="ru-RU"/>
        </w:rPr>
        <w:tab/>
      </w:r>
      <w:r w:rsidR="007A2267" w:rsidRPr="00913FF8">
        <w:rPr>
          <w:szCs w:val="22"/>
          <w:lang w:val="ru-RU"/>
        </w:rPr>
        <w:t xml:space="preserve">Представитель </w:t>
      </w:r>
      <w:proofErr w:type="spellStart"/>
      <w:r w:rsidR="007A2267" w:rsidRPr="00913FF8">
        <w:rPr>
          <w:szCs w:val="22"/>
          <w:lang w:val="ru-RU"/>
        </w:rPr>
        <w:t>БСЭ</w:t>
      </w:r>
      <w:proofErr w:type="spellEnd"/>
      <w:r w:rsidR="007A2267" w:rsidRPr="00913FF8">
        <w:rPr>
          <w:szCs w:val="22"/>
          <w:lang w:val="ru-RU"/>
        </w:rPr>
        <w:t xml:space="preserve"> представляет Документ </w:t>
      </w:r>
      <w:r w:rsidR="007A2267" w:rsidRPr="00913FF8">
        <w:rPr>
          <w:szCs w:val="22"/>
        </w:rPr>
        <w:t>C</w:t>
      </w:r>
      <w:r w:rsidR="007A2267" w:rsidRPr="00913FF8">
        <w:rPr>
          <w:szCs w:val="22"/>
          <w:lang w:val="ru-RU"/>
        </w:rPr>
        <w:t xml:space="preserve">17/24, </w:t>
      </w:r>
      <w:r w:rsidR="007A2267">
        <w:rPr>
          <w:szCs w:val="22"/>
          <w:lang w:val="ru-RU"/>
        </w:rPr>
        <w:t>в котором содержатся</w:t>
      </w:r>
      <w:r w:rsidR="007A2267" w:rsidRPr="00913FF8">
        <w:rPr>
          <w:szCs w:val="22"/>
          <w:lang w:val="ru-RU"/>
        </w:rPr>
        <w:t xml:space="preserve"> обновленные сведения о деятельности по четырем основным направлениям </w:t>
      </w:r>
      <w:r w:rsidR="007A2267">
        <w:rPr>
          <w:szCs w:val="22"/>
          <w:lang w:val="ru-RU"/>
        </w:rPr>
        <w:t xml:space="preserve">работы в рамках </w:t>
      </w:r>
      <w:r w:rsidR="007A2267" w:rsidRPr="00913FF8">
        <w:rPr>
          <w:szCs w:val="22"/>
          <w:lang w:val="ru-RU"/>
        </w:rPr>
        <w:t xml:space="preserve">Плана действий МСЭ по </w:t>
      </w:r>
      <w:r w:rsidR="007A2267" w:rsidRPr="00913FF8">
        <w:rPr>
          <w:szCs w:val="22"/>
          <w:lang w:val="en-US"/>
        </w:rPr>
        <w:t>C</w:t>
      </w:r>
      <w:r w:rsidR="007A2267" w:rsidRPr="00913FF8">
        <w:rPr>
          <w:szCs w:val="22"/>
          <w:lang w:val="ru-RU"/>
        </w:rPr>
        <w:t>&amp;</w:t>
      </w:r>
      <w:r w:rsidR="007A2267" w:rsidRPr="00913FF8">
        <w:rPr>
          <w:szCs w:val="22"/>
          <w:lang w:val="en-US"/>
        </w:rPr>
        <w:t>I</w:t>
      </w:r>
      <w:r w:rsidR="007A2267" w:rsidRPr="00913FF8">
        <w:rPr>
          <w:szCs w:val="22"/>
          <w:lang w:val="ru-RU"/>
        </w:rPr>
        <w:t>: 1)</w:t>
      </w:r>
      <w:r w:rsidR="00555DEC">
        <w:rPr>
          <w:szCs w:val="22"/>
          <w:lang w:val="ru-RU"/>
        </w:rPr>
        <w:t> </w:t>
      </w:r>
      <w:r w:rsidR="007A2267" w:rsidRPr="00913FF8">
        <w:rPr>
          <w:szCs w:val="22"/>
          <w:lang w:val="ru-RU"/>
        </w:rPr>
        <w:t>оценка соответствия, 2)</w:t>
      </w:r>
      <w:r w:rsidR="00555DEC">
        <w:rPr>
          <w:szCs w:val="22"/>
          <w:lang w:val="ru-RU"/>
        </w:rPr>
        <w:t> </w:t>
      </w:r>
      <w:r w:rsidR="007A2267" w:rsidRPr="00913FF8">
        <w:rPr>
          <w:szCs w:val="22"/>
          <w:lang w:val="ru-RU"/>
        </w:rPr>
        <w:t>мероприятия, касающиеся обеспечения функциональной совместимости, 3)</w:t>
      </w:r>
      <w:r w:rsidR="00555DEC">
        <w:rPr>
          <w:szCs w:val="22"/>
          <w:lang w:val="ru-RU"/>
        </w:rPr>
        <w:t> </w:t>
      </w:r>
      <w:r w:rsidR="007A2267" w:rsidRPr="00913FF8">
        <w:rPr>
          <w:szCs w:val="22"/>
          <w:lang w:val="ru-RU"/>
        </w:rPr>
        <w:t>создание потенциала и 4)</w:t>
      </w:r>
      <w:r w:rsidR="00555DEC">
        <w:rPr>
          <w:szCs w:val="22"/>
          <w:lang w:val="ru-RU"/>
        </w:rPr>
        <w:t> </w:t>
      </w:r>
      <w:r w:rsidR="007A2267" w:rsidRPr="00913FF8">
        <w:rPr>
          <w:szCs w:val="22"/>
          <w:lang w:val="ru-RU"/>
        </w:rPr>
        <w:t>содействие в создании центров тестирования и</w:t>
      </w:r>
      <w:r w:rsidR="00555DEC">
        <w:rPr>
          <w:szCs w:val="22"/>
          <w:lang w:val="ru-RU"/>
        </w:rPr>
        <w:t> </w:t>
      </w:r>
      <w:r w:rsidR="007A2267" w:rsidRPr="00913FF8">
        <w:rPr>
          <w:szCs w:val="22"/>
          <w:lang w:val="ru-RU"/>
        </w:rPr>
        <w:t xml:space="preserve">разработке программ по </w:t>
      </w:r>
      <w:proofErr w:type="spellStart"/>
      <w:r w:rsidR="007A2267" w:rsidRPr="00913FF8">
        <w:rPr>
          <w:szCs w:val="22"/>
          <w:lang w:val="ru-RU"/>
        </w:rPr>
        <w:t>C&amp;I</w:t>
      </w:r>
      <w:proofErr w:type="spellEnd"/>
      <w:r w:rsidR="007A2267" w:rsidRPr="00913FF8">
        <w:rPr>
          <w:szCs w:val="22"/>
          <w:lang w:val="ru-RU"/>
        </w:rPr>
        <w:t xml:space="preserve"> в развивающихся странах.</w:t>
      </w:r>
    </w:p>
    <w:p w:rsidR="007A2267" w:rsidRPr="00913FF8" w:rsidRDefault="007A2267" w:rsidP="007A2267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5.2</w:t>
      </w:r>
      <w:r w:rsidRPr="00913FF8">
        <w:rPr>
          <w:szCs w:val="22"/>
          <w:lang w:val="ru-RU"/>
        </w:rPr>
        <w:tab/>
        <w:t xml:space="preserve">Несколько </w:t>
      </w:r>
      <w:r w:rsidR="00611C0B" w:rsidRPr="00913FF8">
        <w:rPr>
          <w:szCs w:val="22"/>
          <w:lang w:val="ru-RU"/>
        </w:rPr>
        <w:t xml:space="preserve">советников </w:t>
      </w:r>
      <w:r w:rsidRPr="00913FF8">
        <w:rPr>
          <w:szCs w:val="22"/>
          <w:lang w:val="ru-RU"/>
        </w:rPr>
        <w:t xml:space="preserve">высказываются в поддержку деятельности, описанной в данном документе, и особо упоминают "белый список" наилучших средств связи без снятия телефонной трубки и мероприятия по созданию потенциала в рамках </w:t>
      </w:r>
      <w:r w:rsidR="00555DEC">
        <w:rPr>
          <w:szCs w:val="22"/>
          <w:lang w:val="ru-RU"/>
        </w:rPr>
        <w:t>направления работы</w:t>
      </w:r>
      <w:r w:rsidRPr="00913FF8">
        <w:rPr>
          <w:szCs w:val="22"/>
          <w:lang w:val="ru-RU"/>
        </w:rPr>
        <w:t xml:space="preserve"> 3.</w:t>
      </w:r>
    </w:p>
    <w:p w:rsidR="007A2267" w:rsidRPr="00913FF8" w:rsidRDefault="007A2267" w:rsidP="001A65ED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5.3</w:t>
      </w:r>
      <w:r w:rsidRPr="00913FF8">
        <w:rPr>
          <w:szCs w:val="22"/>
          <w:lang w:val="ru-RU"/>
        </w:rPr>
        <w:tab/>
      </w:r>
      <w:r w:rsidR="00611C0B" w:rsidRPr="00913FF8">
        <w:rPr>
          <w:szCs w:val="22"/>
          <w:lang w:val="ru-RU"/>
        </w:rPr>
        <w:t xml:space="preserve">Один </w:t>
      </w:r>
      <w:r w:rsidR="00611C0B">
        <w:rPr>
          <w:szCs w:val="22"/>
          <w:lang w:val="ru-RU"/>
        </w:rPr>
        <w:t>из советников</w:t>
      </w:r>
      <w:r w:rsidR="00611C0B" w:rsidRPr="00913FF8">
        <w:rPr>
          <w:szCs w:val="22"/>
          <w:lang w:val="ru-RU"/>
        </w:rPr>
        <w:t xml:space="preserve"> </w:t>
      </w:r>
      <w:r w:rsidRPr="00913FF8">
        <w:rPr>
          <w:szCs w:val="22"/>
          <w:lang w:val="ru-RU"/>
        </w:rPr>
        <w:t xml:space="preserve">выражает </w:t>
      </w:r>
      <w:r w:rsidR="00611C0B">
        <w:rPr>
          <w:szCs w:val="22"/>
          <w:lang w:val="ru-RU"/>
        </w:rPr>
        <w:t>обеспокоенность</w:t>
      </w:r>
      <w:r w:rsidRPr="00913FF8">
        <w:rPr>
          <w:szCs w:val="22"/>
          <w:lang w:val="ru-RU"/>
        </w:rPr>
        <w:t xml:space="preserve"> в связи с тем, что термин "белый список" может быть неправильно истолкован и понят таким образом, что устройства, </w:t>
      </w:r>
      <w:r w:rsidR="00555DEC">
        <w:rPr>
          <w:szCs w:val="22"/>
          <w:lang w:val="ru-RU"/>
        </w:rPr>
        <w:t>включенные</w:t>
      </w:r>
      <w:r w:rsidRPr="00913FF8">
        <w:rPr>
          <w:szCs w:val="22"/>
          <w:lang w:val="ru-RU"/>
        </w:rPr>
        <w:t xml:space="preserve"> в этот список, разреш</w:t>
      </w:r>
      <w:r w:rsidR="00611C0B">
        <w:rPr>
          <w:szCs w:val="22"/>
          <w:lang w:val="ru-RU"/>
        </w:rPr>
        <w:t>ается использовать в сетях или</w:t>
      </w:r>
      <w:r w:rsidRPr="00913FF8">
        <w:rPr>
          <w:szCs w:val="22"/>
          <w:lang w:val="ru-RU"/>
        </w:rPr>
        <w:t xml:space="preserve"> автотранспортных средствах, и заявляет, что было бы предпочтительнее использовать </w:t>
      </w:r>
      <w:r w:rsidR="00555DEC">
        <w:rPr>
          <w:szCs w:val="22"/>
          <w:lang w:val="ru-RU"/>
        </w:rPr>
        <w:t>термин</w:t>
      </w:r>
      <w:r w:rsidRPr="00913FF8">
        <w:rPr>
          <w:szCs w:val="22"/>
          <w:lang w:val="ru-RU"/>
        </w:rPr>
        <w:t xml:space="preserve"> "список устройств, соответствующих Рекомендациям МСЭ". Она также указывает на то, что использование логотипа МСЭ на экране терминала без снятия телефонной трубки в автомобиле может </w:t>
      </w:r>
      <w:r w:rsidR="001A65ED">
        <w:rPr>
          <w:szCs w:val="22"/>
          <w:lang w:val="ru-RU"/>
        </w:rPr>
        <w:t>быть неверно истолковано как то</w:t>
      </w:r>
      <w:r w:rsidR="00555DEC">
        <w:rPr>
          <w:szCs w:val="22"/>
          <w:lang w:val="ru-RU"/>
        </w:rPr>
        <w:t>, что</w:t>
      </w:r>
      <w:r w:rsidRPr="00913FF8">
        <w:rPr>
          <w:szCs w:val="22"/>
          <w:lang w:val="ru-RU"/>
        </w:rPr>
        <w:t xml:space="preserve"> МСЭ одобряет данное устройство или </w:t>
      </w:r>
      <w:r w:rsidR="00555DEC">
        <w:rPr>
          <w:szCs w:val="22"/>
          <w:lang w:val="ru-RU"/>
        </w:rPr>
        <w:t xml:space="preserve">данного </w:t>
      </w:r>
      <w:r w:rsidRPr="00913FF8">
        <w:rPr>
          <w:szCs w:val="22"/>
          <w:lang w:val="ru-RU"/>
        </w:rPr>
        <w:t xml:space="preserve">производителя автомобилей; следует отказаться от использования подобных логотипов. Другой </w:t>
      </w:r>
      <w:r w:rsidR="00611C0B" w:rsidRPr="00913FF8">
        <w:rPr>
          <w:szCs w:val="22"/>
          <w:lang w:val="ru-RU"/>
        </w:rPr>
        <w:t xml:space="preserve">советник </w:t>
      </w:r>
      <w:r w:rsidRPr="00913FF8">
        <w:rPr>
          <w:szCs w:val="22"/>
          <w:lang w:val="ru-RU"/>
        </w:rPr>
        <w:t xml:space="preserve">уточняет, что </w:t>
      </w:r>
      <w:r w:rsidR="00555DEC">
        <w:rPr>
          <w:szCs w:val="22"/>
          <w:lang w:val="ru-RU"/>
        </w:rPr>
        <w:t xml:space="preserve">хотя он </w:t>
      </w:r>
      <w:r w:rsidRPr="00913FF8">
        <w:rPr>
          <w:szCs w:val="22"/>
          <w:lang w:val="ru-RU"/>
        </w:rPr>
        <w:t xml:space="preserve">не </w:t>
      </w:r>
      <w:r w:rsidR="00555DEC">
        <w:rPr>
          <w:szCs w:val="22"/>
          <w:lang w:val="ru-RU"/>
        </w:rPr>
        <w:t>высказывается за категорический</w:t>
      </w:r>
      <w:r w:rsidRPr="00913FF8">
        <w:rPr>
          <w:szCs w:val="22"/>
          <w:lang w:val="ru-RU"/>
        </w:rPr>
        <w:t xml:space="preserve"> отказ от использования логотипов межправительственной организации, но </w:t>
      </w:r>
      <w:r w:rsidR="00555DEC">
        <w:rPr>
          <w:szCs w:val="22"/>
          <w:lang w:val="ru-RU"/>
        </w:rPr>
        <w:t>считает</w:t>
      </w:r>
      <w:r w:rsidRPr="00913FF8">
        <w:rPr>
          <w:szCs w:val="22"/>
          <w:lang w:val="ru-RU"/>
        </w:rPr>
        <w:t xml:space="preserve">, что этот вопрос </w:t>
      </w:r>
      <w:r w:rsidR="00555DEC">
        <w:rPr>
          <w:szCs w:val="22"/>
          <w:lang w:val="ru-RU"/>
        </w:rPr>
        <w:t>заслуживает</w:t>
      </w:r>
      <w:r w:rsidRPr="00913FF8">
        <w:rPr>
          <w:szCs w:val="22"/>
          <w:lang w:val="ru-RU"/>
        </w:rPr>
        <w:t xml:space="preserve"> дальнейшего рассмотрения. Третий </w:t>
      </w:r>
      <w:r w:rsidR="00611C0B" w:rsidRPr="00913FF8">
        <w:rPr>
          <w:szCs w:val="22"/>
          <w:lang w:val="ru-RU"/>
        </w:rPr>
        <w:t xml:space="preserve">советник </w:t>
      </w:r>
      <w:r w:rsidRPr="00913FF8">
        <w:rPr>
          <w:szCs w:val="22"/>
          <w:lang w:val="ru-RU"/>
        </w:rPr>
        <w:t>заявляет, что Директору МСЭ-</w:t>
      </w:r>
      <w:r w:rsidRPr="00913FF8">
        <w:rPr>
          <w:szCs w:val="22"/>
          <w:lang w:val="en-US"/>
        </w:rPr>
        <w:t>T</w:t>
      </w:r>
      <w:r w:rsidRPr="00913FF8">
        <w:rPr>
          <w:szCs w:val="22"/>
          <w:lang w:val="ru-RU"/>
        </w:rPr>
        <w:t xml:space="preserve"> следует продолжить изучение этого вопроса, основываясь на резолюциях Полномочной конференции и ВАСЭ. Еще один </w:t>
      </w:r>
      <w:r w:rsidR="00611C0B">
        <w:rPr>
          <w:szCs w:val="22"/>
          <w:lang w:val="ru-RU"/>
        </w:rPr>
        <w:t>советник</w:t>
      </w:r>
      <w:r w:rsidRPr="00913FF8">
        <w:rPr>
          <w:szCs w:val="22"/>
          <w:lang w:val="ru-RU"/>
        </w:rPr>
        <w:t>, указывая на большое значение вопросов "безопасности человеческой жизни", рассматриваемых 11</w:t>
      </w:r>
      <w:r w:rsidR="00611C0B">
        <w:rPr>
          <w:szCs w:val="22"/>
          <w:lang w:val="ru-RU"/>
        </w:rPr>
        <w:noBreakHyphen/>
      </w:r>
      <w:r w:rsidRPr="00913FF8">
        <w:rPr>
          <w:szCs w:val="22"/>
          <w:lang w:val="ru-RU"/>
        </w:rPr>
        <w:t>й</w:t>
      </w:r>
      <w:r w:rsidR="00611C0B">
        <w:rPr>
          <w:szCs w:val="22"/>
          <w:lang w:val="ru-RU"/>
        </w:rPr>
        <w:t> </w:t>
      </w:r>
      <w:r w:rsidRPr="00913FF8">
        <w:rPr>
          <w:szCs w:val="22"/>
          <w:lang w:val="ru-RU"/>
        </w:rPr>
        <w:t>Исследовательской комиссией МСЭ-</w:t>
      </w:r>
      <w:r w:rsidRPr="00913FF8">
        <w:rPr>
          <w:szCs w:val="22"/>
          <w:lang w:val="en-US"/>
        </w:rPr>
        <w:t>T</w:t>
      </w:r>
      <w:r w:rsidRPr="00913FF8">
        <w:rPr>
          <w:szCs w:val="22"/>
          <w:lang w:val="ru-RU"/>
        </w:rPr>
        <w:t xml:space="preserve">, заявляет, что данные логотипы вселяют уверенность в пользователей. </w:t>
      </w:r>
    </w:p>
    <w:p w:rsidR="007A2267" w:rsidRPr="00913FF8" w:rsidRDefault="007A2267" w:rsidP="007A2267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5.4</w:t>
      </w:r>
      <w:r w:rsidRPr="00913FF8">
        <w:rPr>
          <w:szCs w:val="22"/>
          <w:lang w:val="ru-RU"/>
        </w:rPr>
        <w:tab/>
        <w:t xml:space="preserve">Советник </w:t>
      </w:r>
      <w:r w:rsidR="00555DEC">
        <w:rPr>
          <w:szCs w:val="22"/>
          <w:lang w:val="ru-RU"/>
        </w:rPr>
        <w:t>от</w:t>
      </w:r>
      <w:r w:rsidRPr="00913FF8">
        <w:rPr>
          <w:szCs w:val="22"/>
          <w:lang w:val="ru-RU"/>
        </w:rPr>
        <w:t xml:space="preserve"> Алжира, </w:t>
      </w:r>
      <w:r w:rsidR="00555DEC">
        <w:rPr>
          <w:szCs w:val="22"/>
          <w:lang w:val="ru-RU"/>
        </w:rPr>
        <w:t>указывая</w:t>
      </w:r>
      <w:r w:rsidRPr="00913FF8">
        <w:rPr>
          <w:szCs w:val="22"/>
          <w:lang w:val="ru-RU"/>
        </w:rPr>
        <w:t xml:space="preserve"> на отсутствие исследовательских центров электросвязи в</w:t>
      </w:r>
      <w:r w:rsidR="00555DEC">
        <w:rPr>
          <w:szCs w:val="22"/>
          <w:lang w:val="ru-RU"/>
        </w:rPr>
        <w:t> </w:t>
      </w:r>
      <w:r w:rsidRPr="00913FF8">
        <w:rPr>
          <w:szCs w:val="22"/>
          <w:lang w:val="ru-RU"/>
        </w:rPr>
        <w:t>Африке, предлагает создать такой центр в его стране при поддержке МСЭ.</w:t>
      </w:r>
    </w:p>
    <w:p w:rsidR="007A2267" w:rsidRPr="00913FF8" w:rsidRDefault="007A2267" w:rsidP="007A2267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5.5</w:t>
      </w:r>
      <w:r w:rsidRPr="00913FF8">
        <w:rPr>
          <w:szCs w:val="22"/>
          <w:lang w:val="ru-RU"/>
        </w:rPr>
        <w:tab/>
        <w:t xml:space="preserve">Советник </w:t>
      </w:r>
      <w:r w:rsidR="00555DEC">
        <w:rPr>
          <w:szCs w:val="22"/>
          <w:lang w:val="ru-RU"/>
        </w:rPr>
        <w:t>от</w:t>
      </w:r>
      <w:r w:rsidRPr="00913FF8">
        <w:rPr>
          <w:szCs w:val="22"/>
          <w:lang w:val="ru-RU"/>
        </w:rPr>
        <w:t xml:space="preserve"> Ганы говорит, что центр тестирования, созданный в его стране в рамках работы по направлению 4, способен обслуживать все страны Западной Африки и весь континент в целом.</w:t>
      </w:r>
    </w:p>
    <w:p w:rsidR="007A2267" w:rsidRPr="00913FF8" w:rsidRDefault="007A2267" w:rsidP="00054FB2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5.6</w:t>
      </w:r>
      <w:r w:rsidRPr="00913FF8">
        <w:rPr>
          <w:szCs w:val="22"/>
          <w:lang w:val="ru-RU"/>
        </w:rPr>
        <w:tab/>
        <w:t xml:space="preserve">Советник </w:t>
      </w:r>
      <w:r w:rsidR="00555DEC">
        <w:rPr>
          <w:szCs w:val="22"/>
          <w:lang w:val="ru-RU"/>
        </w:rPr>
        <w:t>от</w:t>
      </w:r>
      <w:r w:rsidRPr="00913FF8">
        <w:rPr>
          <w:szCs w:val="22"/>
          <w:lang w:val="ru-RU"/>
        </w:rPr>
        <w:t xml:space="preserve"> Венесуэлы говорит, что ее страна </w:t>
      </w:r>
      <w:r w:rsidR="00054FB2">
        <w:rPr>
          <w:szCs w:val="22"/>
          <w:lang w:val="ru-RU"/>
        </w:rPr>
        <w:t>готова</w:t>
      </w:r>
      <w:r w:rsidRPr="00913FF8">
        <w:rPr>
          <w:szCs w:val="22"/>
          <w:lang w:val="ru-RU"/>
        </w:rPr>
        <w:t xml:space="preserve"> предоставить всем членам МСЭ доступ к своей инфраструктуре </w:t>
      </w:r>
      <w:r w:rsidRPr="00913FF8">
        <w:rPr>
          <w:szCs w:val="22"/>
        </w:rPr>
        <w:t>C</w:t>
      </w:r>
      <w:r w:rsidRPr="00913FF8">
        <w:rPr>
          <w:szCs w:val="22"/>
          <w:lang w:val="ru-RU"/>
        </w:rPr>
        <w:t>&amp;</w:t>
      </w:r>
      <w:r w:rsidRPr="00913FF8">
        <w:rPr>
          <w:szCs w:val="22"/>
        </w:rPr>
        <w:t>I</w:t>
      </w:r>
      <w:r w:rsidR="00054FB2">
        <w:rPr>
          <w:szCs w:val="22"/>
          <w:lang w:val="ru-RU"/>
        </w:rPr>
        <w:t xml:space="preserve">, предполагая </w:t>
      </w:r>
      <w:r w:rsidRPr="00913FF8">
        <w:rPr>
          <w:szCs w:val="22"/>
          <w:lang w:val="ru-RU"/>
        </w:rPr>
        <w:t>заключени</w:t>
      </w:r>
      <w:r w:rsidR="00054FB2">
        <w:rPr>
          <w:szCs w:val="22"/>
          <w:lang w:val="ru-RU"/>
        </w:rPr>
        <w:t>е</w:t>
      </w:r>
      <w:r w:rsidRPr="00913FF8">
        <w:rPr>
          <w:szCs w:val="22"/>
          <w:lang w:val="ru-RU"/>
        </w:rPr>
        <w:t xml:space="preserve"> соглашений о сотрудничестве.</w:t>
      </w:r>
    </w:p>
    <w:p w:rsidR="007A2267" w:rsidRPr="00913FF8" w:rsidRDefault="007A2267" w:rsidP="00054FB2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5.7</w:t>
      </w:r>
      <w:r w:rsidRPr="00913FF8">
        <w:rPr>
          <w:szCs w:val="22"/>
          <w:lang w:val="ru-RU"/>
        </w:rPr>
        <w:tab/>
        <w:t xml:space="preserve">Еще один </w:t>
      </w:r>
      <w:r w:rsidR="005D6651">
        <w:rPr>
          <w:szCs w:val="22"/>
          <w:lang w:val="ru-RU"/>
        </w:rPr>
        <w:t>советник</w:t>
      </w:r>
      <w:r w:rsidRPr="00913FF8">
        <w:rPr>
          <w:szCs w:val="22"/>
          <w:lang w:val="ru-RU"/>
        </w:rPr>
        <w:t xml:space="preserve">, ссылаясь на Резолюцию </w:t>
      </w:r>
      <w:r w:rsidRPr="00913FF8">
        <w:rPr>
          <w:spacing w:val="-2"/>
          <w:szCs w:val="22"/>
          <w:lang w:val="ru-RU"/>
        </w:rPr>
        <w:t>44 (ВАСЭ-12) и Резолюцию 177 (Пересм.</w:t>
      </w:r>
      <w:r w:rsidR="005D6651">
        <w:rPr>
          <w:spacing w:val="-2"/>
          <w:szCs w:val="22"/>
          <w:lang w:val="ru-RU"/>
        </w:rPr>
        <w:t> </w:t>
      </w:r>
      <w:proofErr w:type="spellStart"/>
      <w:r w:rsidRPr="00913FF8">
        <w:rPr>
          <w:spacing w:val="-2"/>
          <w:szCs w:val="22"/>
          <w:lang w:val="ru-RU"/>
        </w:rPr>
        <w:t>Пусан</w:t>
      </w:r>
      <w:proofErr w:type="spellEnd"/>
      <w:r w:rsidRPr="00913FF8">
        <w:rPr>
          <w:spacing w:val="-2"/>
          <w:szCs w:val="22"/>
          <w:lang w:val="ru-RU"/>
        </w:rPr>
        <w:t>, 2014 г</w:t>
      </w:r>
      <w:r w:rsidR="00A54D09">
        <w:rPr>
          <w:spacing w:val="-2"/>
          <w:szCs w:val="22"/>
          <w:lang w:val="ru-RU"/>
        </w:rPr>
        <w:t>.</w:t>
      </w:r>
      <w:r w:rsidRPr="00913FF8">
        <w:rPr>
          <w:spacing w:val="-2"/>
          <w:szCs w:val="22"/>
          <w:lang w:val="ru-RU"/>
        </w:rPr>
        <w:t>), отмечает, что работа по направлению 3 ведется, а работа по</w:t>
      </w:r>
      <w:r w:rsidR="00A54D09">
        <w:rPr>
          <w:spacing w:val="-2"/>
          <w:szCs w:val="22"/>
          <w:lang w:val="ru-RU"/>
        </w:rPr>
        <w:t> </w:t>
      </w:r>
      <w:r w:rsidRPr="00913FF8">
        <w:rPr>
          <w:spacing w:val="-2"/>
          <w:szCs w:val="22"/>
          <w:lang w:val="ru-RU"/>
        </w:rPr>
        <w:t>направлению</w:t>
      </w:r>
      <w:r w:rsidR="00A54D09">
        <w:rPr>
          <w:spacing w:val="-2"/>
          <w:szCs w:val="22"/>
          <w:lang w:val="ru-RU"/>
        </w:rPr>
        <w:t> </w:t>
      </w:r>
      <w:r w:rsidRPr="007A2267">
        <w:rPr>
          <w:spacing w:val="-2"/>
          <w:szCs w:val="22"/>
          <w:lang w:val="ru-RU"/>
        </w:rPr>
        <w:t>4</w:t>
      </w:r>
      <w:r w:rsidR="00A54D09">
        <w:rPr>
          <w:spacing w:val="-2"/>
          <w:szCs w:val="22"/>
          <w:lang w:val="ru-RU"/>
        </w:rPr>
        <w:t> </w:t>
      </w:r>
      <w:r w:rsidRPr="007A2267">
        <w:rPr>
          <w:spacing w:val="-2"/>
          <w:szCs w:val="22"/>
          <w:lang w:val="ru-RU"/>
        </w:rPr>
        <w:t xml:space="preserve">– </w:t>
      </w:r>
      <w:r w:rsidRPr="00913FF8">
        <w:rPr>
          <w:spacing w:val="-2"/>
          <w:szCs w:val="22"/>
          <w:lang w:val="ru-RU"/>
        </w:rPr>
        <w:t>нет</w:t>
      </w:r>
      <w:r w:rsidRPr="007A2267">
        <w:rPr>
          <w:szCs w:val="22"/>
          <w:lang w:val="ru-RU"/>
        </w:rPr>
        <w:t xml:space="preserve">. </w:t>
      </w:r>
      <w:r w:rsidR="00555DEC">
        <w:rPr>
          <w:szCs w:val="22"/>
          <w:lang w:val="ru-RU"/>
        </w:rPr>
        <w:t>Оратор</w:t>
      </w:r>
      <w:r w:rsidRPr="00913FF8">
        <w:rPr>
          <w:szCs w:val="22"/>
          <w:lang w:val="ru-RU"/>
        </w:rPr>
        <w:t xml:space="preserve"> призывает МСЭ обеспечить полномасштабное выполнение этой программы. </w:t>
      </w:r>
    </w:p>
    <w:p w:rsidR="007A2267" w:rsidRPr="00913FF8" w:rsidRDefault="007A2267" w:rsidP="007A2267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5.8</w:t>
      </w:r>
      <w:r w:rsidRPr="00913FF8">
        <w:rPr>
          <w:szCs w:val="22"/>
          <w:lang w:val="ru-RU"/>
        </w:rPr>
        <w:tab/>
        <w:t xml:space="preserve">Представитель </w:t>
      </w:r>
      <w:proofErr w:type="spellStart"/>
      <w:r w:rsidRPr="00913FF8">
        <w:rPr>
          <w:szCs w:val="22"/>
          <w:lang w:val="ru-RU"/>
        </w:rPr>
        <w:t>БСЭ</w:t>
      </w:r>
      <w:proofErr w:type="spellEnd"/>
      <w:r w:rsidRPr="00913FF8">
        <w:rPr>
          <w:szCs w:val="22"/>
          <w:lang w:val="ru-RU"/>
        </w:rPr>
        <w:t xml:space="preserve"> заявляет, что принимает к сведению полученные комментарии, с тем чтобы </w:t>
      </w:r>
      <w:r w:rsidR="006325B5" w:rsidRPr="00913FF8">
        <w:rPr>
          <w:szCs w:val="22"/>
          <w:lang w:val="ru-RU"/>
        </w:rPr>
        <w:t>МСЭ-</w:t>
      </w:r>
      <w:r w:rsidR="006325B5" w:rsidRPr="00913FF8">
        <w:rPr>
          <w:szCs w:val="22"/>
          <w:lang w:val="en-US"/>
        </w:rPr>
        <w:t>T</w:t>
      </w:r>
      <w:r w:rsidR="006325B5" w:rsidRPr="00913FF8">
        <w:rPr>
          <w:szCs w:val="22"/>
          <w:lang w:val="ru-RU"/>
        </w:rPr>
        <w:t xml:space="preserve"> </w:t>
      </w:r>
      <w:r w:rsidR="006325B5">
        <w:rPr>
          <w:szCs w:val="22"/>
          <w:lang w:val="ru-RU"/>
        </w:rPr>
        <w:t>руководствовался</w:t>
      </w:r>
      <w:r w:rsidRPr="00913FF8">
        <w:rPr>
          <w:szCs w:val="22"/>
          <w:lang w:val="ru-RU"/>
        </w:rPr>
        <w:t xml:space="preserve"> ими при выполнении Плана действий по </w:t>
      </w:r>
      <w:r w:rsidRPr="00913FF8">
        <w:rPr>
          <w:szCs w:val="22"/>
          <w:lang w:val="en-US"/>
        </w:rPr>
        <w:t>C</w:t>
      </w:r>
      <w:r w:rsidRPr="00913FF8">
        <w:rPr>
          <w:szCs w:val="22"/>
          <w:lang w:val="ru-RU"/>
        </w:rPr>
        <w:t>&amp;</w:t>
      </w:r>
      <w:r w:rsidRPr="00913FF8">
        <w:rPr>
          <w:szCs w:val="22"/>
          <w:lang w:val="en-US"/>
        </w:rPr>
        <w:t>I</w:t>
      </w:r>
      <w:r w:rsidRPr="00913FF8">
        <w:rPr>
          <w:szCs w:val="22"/>
          <w:lang w:val="ru-RU"/>
        </w:rPr>
        <w:t xml:space="preserve">, особенно в отношении деятельности по направлению 4 и использования термина "белый список". Что касается логотипов, то в ходе </w:t>
      </w:r>
      <w:r w:rsidR="005D6651">
        <w:rPr>
          <w:szCs w:val="22"/>
          <w:lang w:val="ru-RU"/>
        </w:rPr>
        <w:t xml:space="preserve">работы </w:t>
      </w:r>
      <w:r w:rsidRPr="00913FF8">
        <w:rPr>
          <w:szCs w:val="22"/>
          <w:lang w:val="ru-RU"/>
        </w:rPr>
        <w:t>круглого стола, организованного недавно 11-й Исследовательской комиссией МСЭ</w:t>
      </w:r>
      <w:r w:rsidR="00A54D09">
        <w:rPr>
          <w:szCs w:val="22"/>
          <w:lang w:val="ru-RU"/>
        </w:rPr>
        <w:noBreakHyphen/>
      </w:r>
      <w:r w:rsidRPr="00913FF8">
        <w:rPr>
          <w:szCs w:val="22"/>
          <w:lang w:val="en-US"/>
        </w:rPr>
        <w:t>T</w:t>
      </w:r>
      <w:r w:rsidRPr="00913FF8">
        <w:rPr>
          <w:szCs w:val="22"/>
          <w:lang w:val="ru-RU"/>
        </w:rPr>
        <w:t xml:space="preserve">, было выявлено </w:t>
      </w:r>
      <w:r w:rsidR="006325B5">
        <w:rPr>
          <w:szCs w:val="22"/>
          <w:lang w:val="ru-RU"/>
        </w:rPr>
        <w:t>наличие рыночного спроса на своего рода</w:t>
      </w:r>
      <w:r w:rsidRPr="00913FF8">
        <w:rPr>
          <w:szCs w:val="22"/>
          <w:lang w:val="ru-RU"/>
        </w:rPr>
        <w:t xml:space="preserve"> логотип, касающийся "безопасности человеческой жизни". 12-я Исследовательская комиссия выпустила Рекомендации по этому вопросу, над которыми впоследствии работала 11-я Исследовательская комиссия.</w:t>
      </w:r>
    </w:p>
    <w:p w:rsidR="00B92308" w:rsidRPr="007A2267" w:rsidRDefault="007A2267" w:rsidP="007A2267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5.9</w:t>
      </w:r>
      <w:r w:rsidRPr="00913FF8">
        <w:rPr>
          <w:szCs w:val="22"/>
          <w:lang w:val="ru-RU"/>
        </w:rPr>
        <w:tab/>
        <w:t xml:space="preserve">Совет </w:t>
      </w:r>
      <w:r w:rsidRPr="00913FF8">
        <w:rPr>
          <w:b/>
          <w:bCs/>
          <w:szCs w:val="22"/>
          <w:lang w:val="ru-RU"/>
        </w:rPr>
        <w:t>принимает к сведению</w:t>
      </w:r>
      <w:r w:rsidRPr="00913FF8">
        <w:rPr>
          <w:szCs w:val="22"/>
          <w:lang w:val="ru-RU"/>
        </w:rPr>
        <w:t xml:space="preserve"> Документ </w:t>
      </w:r>
      <w:r w:rsidRPr="00913FF8">
        <w:rPr>
          <w:szCs w:val="22"/>
        </w:rPr>
        <w:t>C</w:t>
      </w:r>
      <w:r w:rsidRPr="00913FF8">
        <w:rPr>
          <w:szCs w:val="22"/>
          <w:lang w:val="ru-RU"/>
        </w:rPr>
        <w:t>17/24.</w:t>
      </w:r>
    </w:p>
    <w:p w:rsidR="00B92308" w:rsidRPr="00A25974" w:rsidRDefault="00B92308" w:rsidP="00A25974">
      <w:pPr>
        <w:pStyle w:val="Heading1"/>
        <w:rPr>
          <w:szCs w:val="26"/>
          <w:lang w:val="ru-RU"/>
        </w:rPr>
      </w:pPr>
      <w:r w:rsidRPr="006325B5">
        <w:rPr>
          <w:lang w:val="ru-RU"/>
        </w:rPr>
        <w:lastRenderedPageBreak/>
        <w:t>6</w:t>
      </w:r>
      <w:r w:rsidRPr="006325B5">
        <w:rPr>
          <w:lang w:val="ru-RU"/>
        </w:rPr>
        <w:tab/>
      </w:r>
      <w:r w:rsidR="006325B5" w:rsidRPr="00913FF8">
        <w:rPr>
          <w:lang w:val="ru-RU"/>
        </w:rPr>
        <w:t xml:space="preserve">Содействие развитию интернета вещей для подготовки к глобально </w:t>
      </w:r>
      <w:r w:rsidR="006325B5" w:rsidRPr="00A25974">
        <w:rPr>
          <w:szCs w:val="26"/>
          <w:lang w:val="ru-RU"/>
        </w:rPr>
        <w:t xml:space="preserve">соединенному миру (Документ </w:t>
      </w:r>
      <w:hyperlink r:id="rId36" w:history="1">
        <w:r w:rsidRPr="00A25974">
          <w:rPr>
            <w:rStyle w:val="Hyperlink"/>
            <w:bCs/>
            <w:szCs w:val="26"/>
            <w:lang w:val="en-CA"/>
          </w:rPr>
          <w:t>C</w:t>
        </w:r>
        <w:r w:rsidRPr="00A25974">
          <w:rPr>
            <w:rStyle w:val="Hyperlink"/>
            <w:bCs/>
            <w:szCs w:val="26"/>
            <w:lang w:val="ru-RU"/>
          </w:rPr>
          <w:t>17/23</w:t>
        </w:r>
      </w:hyperlink>
      <w:r w:rsidRPr="00A25974">
        <w:rPr>
          <w:szCs w:val="26"/>
          <w:lang w:val="ru-RU"/>
        </w:rPr>
        <w:t>)</w:t>
      </w:r>
    </w:p>
    <w:p w:rsidR="00B65CB3" w:rsidRPr="00913FF8" w:rsidRDefault="00347EDF" w:rsidP="00B65CB3">
      <w:pPr>
        <w:snapToGrid w:val="0"/>
        <w:spacing w:after="120"/>
        <w:rPr>
          <w:szCs w:val="22"/>
          <w:lang w:val="ru-RU"/>
        </w:rPr>
      </w:pPr>
      <w:r w:rsidRPr="00B65CB3">
        <w:rPr>
          <w:szCs w:val="22"/>
          <w:lang w:val="ru-RU"/>
        </w:rPr>
        <w:t>6.1</w:t>
      </w:r>
      <w:r w:rsidR="00B92308" w:rsidRPr="00B65CB3">
        <w:rPr>
          <w:szCs w:val="22"/>
          <w:lang w:val="ru-RU"/>
        </w:rPr>
        <w:tab/>
      </w:r>
      <w:r w:rsidR="00B65CB3" w:rsidRPr="00913FF8">
        <w:rPr>
          <w:szCs w:val="22"/>
          <w:lang w:val="ru-RU"/>
        </w:rPr>
        <w:t xml:space="preserve">Представитель </w:t>
      </w:r>
      <w:proofErr w:type="spellStart"/>
      <w:r w:rsidR="00B65CB3" w:rsidRPr="00913FF8">
        <w:rPr>
          <w:szCs w:val="22"/>
          <w:lang w:val="ru-RU"/>
        </w:rPr>
        <w:t>БСЭ</w:t>
      </w:r>
      <w:proofErr w:type="spellEnd"/>
      <w:r w:rsidR="00B65CB3" w:rsidRPr="00913FF8">
        <w:rPr>
          <w:szCs w:val="22"/>
          <w:lang w:val="ru-RU"/>
        </w:rPr>
        <w:t xml:space="preserve"> представляет Документ </w:t>
      </w:r>
      <w:r w:rsidR="00B65CB3" w:rsidRPr="00913FF8">
        <w:rPr>
          <w:szCs w:val="22"/>
        </w:rPr>
        <w:t>C</w:t>
      </w:r>
      <w:r w:rsidR="00B65CB3" w:rsidRPr="00913FF8">
        <w:rPr>
          <w:szCs w:val="22"/>
          <w:lang w:val="ru-RU"/>
        </w:rPr>
        <w:t xml:space="preserve">17/23, в котором </w:t>
      </w:r>
      <w:r w:rsidR="00B65CB3">
        <w:rPr>
          <w:szCs w:val="22"/>
          <w:lang w:val="ru-RU"/>
        </w:rPr>
        <w:t>представлен отчет о деятельности</w:t>
      </w:r>
      <w:r w:rsidR="00B65CB3" w:rsidRPr="00913FF8">
        <w:rPr>
          <w:szCs w:val="22"/>
          <w:lang w:val="ru-RU"/>
        </w:rPr>
        <w:t xml:space="preserve"> МСЭ во исполнение Резолюции 197 (</w:t>
      </w:r>
      <w:proofErr w:type="spellStart"/>
      <w:r w:rsidR="00B65CB3" w:rsidRPr="00913FF8">
        <w:rPr>
          <w:szCs w:val="22"/>
          <w:lang w:val="ru-RU"/>
        </w:rPr>
        <w:t>Пусан</w:t>
      </w:r>
      <w:proofErr w:type="spellEnd"/>
      <w:r w:rsidR="00B65CB3" w:rsidRPr="00913FF8">
        <w:rPr>
          <w:szCs w:val="22"/>
          <w:lang w:val="ru-RU"/>
        </w:rPr>
        <w:t>, 2014 г).</w:t>
      </w:r>
    </w:p>
    <w:p w:rsidR="00B65CB3" w:rsidRPr="00913FF8" w:rsidRDefault="00B65CB3" w:rsidP="00B65CB3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6.2</w:t>
      </w:r>
      <w:r w:rsidRPr="00913FF8">
        <w:rPr>
          <w:szCs w:val="22"/>
          <w:lang w:val="ru-RU"/>
        </w:rPr>
        <w:tab/>
        <w:t xml:space="preserve">Советник </w:t>
      </w:r>
      <w:r>
        <w:rPr>
          <w:szCs w:val="22"/>
          <w:lang w:val="ru-RU"/>
        </w:rPr>
        <w:t>от</w:t>
      </w:r>
      <w:r w:rsidRPr="00913FF8">
        <w:rPr>
          <w:szCs w:val="22"/>
          <w:lang w:val="ru-RU"/>
        </w:rPr>
        <w:t xml:space="preserve"> Испании сообщает </w:t>
      </w:r>
      <w:r w:rsidR="005D6651" w:rsidRPr="00913FF8">
        <w:rPr>
          <w:szCs w:val="22"/>
          <w:lang w:val="ru-RU"/>
        </w:rPr>
        <w:t xml:space="preserve">советникам </w:t>
      </w:r>
      <w:r w:rsidRPr="00913FF8">
        <w:rPr>
          <w:szCs w:val="22"/>
          <w:lang w:val="ru-RU"/>
        </w:rPr>
        <w:t>точные даты проведения Всемирного форума по "умным" городам в Барселоне: с 11 по 16 ноября 2017 года.</w:t>
      </w:r>
    </w:p>
    <w:p w:rsidR="00B65CB3" w:rsidRPr="00913FF8" w:rsidRDefault="00B65CB3" w:rsidP="00B65CB3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6.3</w:t>
      </w:r>
      <w:r w:rsidRPr="00913FF8">
        <w:rPr>
          <w:szCs w:val="22"/>
          <w:lang w:val="ru-RU"/>
        </w:rPr>
        <w:tab/>
        <w:t xml:space="preserve">Один </w:t>
      </w:r>
      <w:r w:rsidR="005D6651">
        <w:rPr>
          <w:szCs w:val="22"/>
          <w:lang w:val="ru-RU"/>
        </w:rPr>
        <w:t>из советников</w:t>
      </w:r>
      <w:r w:rsidRPr="00913FF8">
        <w:rPr>
          <w:szCs w:val="22"/>
          <w:lang w:val="ru-RU"/>
        </w:rPr>
        <w:t xml:space="preserve"> просит указывать в следующих отчетах конкретные темы, исследуемые МСЭ-</w:t>
      </w:r>
      <w:r w:rsidRPr="00913FF8">
        <w:rPr>
          <w:szCs w:val="22"/>
          <w:lang w:val="en-US"/>
        </w:rPr>
        <w:t>R</w:t>
      </w:r>
      <w:r w:rsidRPr="00913FF8">
        <w:rPr>
          <w:szCs w:val="22"/>
          <w:lang w:val="ru-RU"/>
        </w:rPr>
        <w:t xml:space="preserve">; другой </w:t>
      </w:r>
      <w:r w:rsidR="005D6651" w:rsidRPr="00913FF8">
        <w:rPr>
          <w:szCs w:val="22"/>
          <w:lang w:val="ru-RU"/>
        </w:rPr>
        <w:t xml:space="preserve">советник </w:t>
      </w:r>
      <w:r w:rsidRPr="00913FF8">
        <w:rPr>
          <w:szCs w:val="22"/>
          <w:lang w:val="ru-RU"/>
        </w:rPr>
        <w:t xml:space="preserve">подчеркивает, что развивающиеся страны нуждаются в поддержке МСЭ в области создания потенциала, выражающейся в получении профессиональной подготовки в центрах профессионального мастерства </w:t>
      </w:r>
      <w:r>
        <w:rPr>
          <w:szCs w:val="22"/>
          <w:lang w:val="ru-RU"/>
        </w:rPr>
        <w:t xml:space="preserve">МСЭ </w:t>
      </w:r>
      <w:r w:rsidRPr="00913FF8">
        <w:rPr>
          <w:szCs w:val="22"/>
          <w:lang w:val="ru-RU"/>
        </w:rPr>
        <w:t xml:space="preserve">во всем мире и в </w:t>
      </w:r>
      <w:r>
        <w:rPr>
          <w:szCs w:val="22"/>
          <w:lang w:val="ru-RU"/>
        </w:rPr>
        <w:t>сфере</w:t>
      </w:r>
      <w:r w:rsidRPr="00913FF8">
        <w:rPr>
          <w:szCs w:val="22"/>
          <w:lang w:val="ru-RU"/>
        </w:rPr>
        <w:t xml:space="preserve"> адаптации соответствующих регуляторных положений; третий </w:t>
      </w:r>
      <w:r w:rsidR="005D6651" w:rsidRPr="00913FF8">
        <w:rPr>
          <w:szCs w:val="22"/>
          <w:lang w:val="ru-RU"/>
        </w:rPr>
        <w:t xml:space="preserve">советник </w:t>
      </w:r>
      <w:r w:rsidRPr="00913FF8">
        <w:rPr>
          <w:szCs w:val="22"/>
          <w:lang w:val="ru-RU"/>
        </w:rPr>
        <w:t>рекомендует МСЭ расширить сотрудничество с частным сектором.</w:t>
      </w:r>
    </w:p>
    <w:p w:rsidR="00B92308" w:rsidRPr="00B65CB3" w:rsidRDefault="00B65CB3" w:rsidP="00B65CB3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6.4</w:t>
      </w:r>
      <w:r w:rsidRPr="00913FF8">
        <w:rPr>
          <w:szCs w:val="22"/>
          <w:lang w:val="ru-RU"/>
        </w:rPr>
        <w:tab/>
        <w:t xml:space="preserve">Совет </w:t>
      </w:r>
      <w:r w:rsidRPr="00913FF8">
        <w:rPr>
          <w:b/>
          <w:bCs/>
          <w:szCs w:val="22"/>
          <w:lang w:val="ru-RU"/>
        </w:rPr>
        <w:t>принимает к сведению</w:t>
      </w:r>
      <w:r w:rsidRPr="00913FF8">
        <w:rPr>
          <w:szCs w:val="22"/>
          <w:lang w:val="ru-RU"/>
        </w:rPr>
        <w:t xml:space="preserve"> Документ </w:t>
      </w:r>
      <w:r w:rsidRPr="00913FF8">
        <w:rPr>
          <w:szCs w:val="22"/>
        </w:rPr>
        <w:t>C</w:t>
      </w:r>
      <w:r w:rsidRPr="00913FF8">
        <w:rPr>
          <w:szCs w:val="22"/>
          <w:lang w:val="ru-RU"/>
        </w:rPr>
        <w:t>17/23.</w:t>
      </w:r>
    </w:p>
    <w:p w:rsidR="00B92308" w:rsidRPr="00A25974" w:rsidRDefault="00347EDF" w:rsidP="00A25974">
      <w:pPr>
        <w:pStyle w:val="Heading1"/>
        <w:rPr>
          <w:szCs w:val="26"/>
          <w:lang w:val="ru-RU"/>
        </w:rPr>
      </w:pPr>
      <w:r w:rsidRPr="00A25974">
        <w:rPr>
          <w:bCs/>
          <w:szCs w:val="26"/>
          <w:lang w:val="ru-RU"/>
        </w:rPr>
        <w:t>7</w:t>
      </w:r>
      <w:r w:rsidR="00B92308" w:rsidRPr="00A25974">
        <w:rPr>
          <w:bCs/>
          <w:szCs w:val="26"/>
          <w:lang w:val="ru-RU"/>
        </w:rPr>
        <w:tab/>
      </w:r>
      <w:r w:rsidR="00B323CE" w:rsidRPr="00A25974">
        <w:rPr>
          <w:bCs/>
          <w:szCs w:val="26"/>
          <w:lang w:val="ru-RU"/>
        </w:rPr>
        <w:t xml:space="preserve">Цифровые финансовые услуги (Документ </w:t>
      </w:r>
      <w:hyperlink r:id="rId37" w:history="1">
        <w:r w:rsidR="00B92308" w:rsidRPr="00A25974">
          <w:rPr>
            <w:rStyle w:val="Hyperlink"/>
            <w:bCs/>
            <w:szCs w:val="26"/>
            <w:lang w:val="en-CA"/>
          </w:rPr>
          <w:t>C</w:t>
        </w:r>
        <w:r w:rsidR="00B92308" w:rsidRPr="00A25974">
          <w:rPr>
            <w:rStyle w:val="Hyperlink"/>
            <w:bCs/>
            <w:szCs w:val="26"/>
            <w:lang w:val="ru-RU"/>
          </w:rPr>
          <w:t>17/68</w:t>
        </w:r>
      </w:hyperlink>
      <w:r w:rsidR="00B92308" w:rsidRPr="00A25974">
        <w:rPr>
          <w:bCs/>
          <w:szCs w:val="26"/>
          <w:lang w:val="ru-RU"/>
        </w:rPr>
        <w:t>)</w:t>
      </w:r>
    </w:p>
    <w:p w:rsidR="00031CB7" w:rsidRPr="00913FF8" w:rsidRDefault="00347EDF" w:rsidP="00031CB7">
      <w:pPr>
        <w:snapToGrid w:val="0"/>
        <w:spacing w:after="120"/>
        <w:rPr>
          <w:szCs w:val="22"/>
          <w:lang w:val="ru-RU"/>
        </w:rPr>
      </w:pPr>
      <w:r w:rsidRPr="00031CB7">
        <w:rPr>
          <w:szCs w:val="22"/>
          <w:lang w:val="ru-RU"/>
        </w:rPr>
        <w:t>7.1</w:t>
      </w:r>
      <w:r w:rsidR="00B92308" w:rsidRPr="00031CB7">
        <w:rPr>
          <w:szCs w:val="22"/>
          <w:lang w:val="ru-RU"/>
        </w:rPr>
        <w:tab/>
      </w:r>
      <w:r w:rsidR="00031CB7" w:rsidRPr="00913FF8">
        <w:rPr>
          <w:szCs w:val="22"/>
          <w:lang w:val="ru-RU"/>
        </w:rPr>
        <w:t xml:space="preserve">Представитель </w:t>
      </w:r>
      <w:proofErr w:type="spellStart"/>
      <w:r w:rsidR="00031CB7" w:rsidRPr="00913FF8">
        <w:rPr>
          <w:szCs w:val="22"/>
          <w:lang w:val="ru-RU"/>
        </w:rPr>
        <w:t>БСЭ</w:t>
      </w:r>
      <w:proofErr w:type="spellEnd"/>
      <w:r w:rsidR="00031CB7" w:rsidRPr="00913FF8">
        <w:rPr>
          <w:szCs w:val="22"/>
          <w:lang w:val="ru-RU"/>
        </w:rPr>
        <w:t xml:space="preserve"> представляет Документ </w:t>
      </w:r>
      <w:r w:rsidR="00031CB7" w:rsidRPr="00913FF8">
        <w:rPr>
          <w:szCs w:val="22"/>
        </w:rPr>
        <w:t>C</w:t>
      </w:r>
      <w:r w:rsidR="00031CB7" w:rsidRPr="00913FF8">
        <w:rPr>
          <w:szCs w:val="22"/>
          <w:lang w:val="ru-RU"/>
        </w:rPr>
        <w:t>17/68, подготовленный в соответствии с</w:t>
      </w:r>
      <w:r w:rsidR="009571C0">
        <w:rPr>
          <w:szCs w:val="22"/>
          <w:lang w:val="ru-RU"/>
        </w:rPr>
        <w:t> </w:t>
      </w:r>
      <w:r w:rsidR="00031CB7" w:rsidRPr="00913FF8">
        <w:rPr>
          <w:szCs w:val="22"/>
          <w:lang w:val="ru-RU"/>
        </w:rPr>
        <w:t>Резолюцией 89 ВАСЭ-16.</w:t>
      </w:r>
    </w:p>
    <w:p w:rsidR="00031CB7" w:rsidRPr="00913FF8" w:rsidRDefault="00031CB7" w:rsidP="00031CB7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7.2</w:t>
      </w:r>
      <w:r w:rsidRPr="00913FF8">
        <w:rPr>
          <w:szCs w:val="22"/>
          <w:lang w:val="ru-RU"/>
        </w:rPr>
        <w:tab/>
        <w:t xml:space="preserve">Один </w:t>
      </w:r>
      <w:r w:rsidR="005D6651">
        <w:rPr>
          <w:szCs w:val="22"/>
          <w:lang w:val="ru-RU"/>
        </w:rPr>
        <w:t>из советников</w:t>
      </w:r>
      <w:r w:rsidRPr="00913FF8">
        <w:rPr>
          <w:szCs w:val="22"/>
          <w:lang w:val="ru-RU"/>
        </w:rPr>
        <w:t xml:space="preserve">, отмечая большое значение сотрудничества в области цифровых финансовых услуг, в том числе направленного на борьбу с незаконными транзакциями, настоятельно призывает Секретариат к более тесному взаимодействию с </w:t>
      </w:r>
      <w:r w:rsidR="009571C0" w:rsidRPr="00913FF8">
        <w:rPr>
          <w:szCs w:val="22"/>
          <w:lang w:val="ru-RU"/>
        </w:rPr>
        <w:t>Государствами</w:t>
      </w:r>
      <w:r w:rsidRPr="00913FF8">
        <w:rPr>
          <w:szCs w:val="22"/>
          <w:lang w:val="ru-RU"/>
        </w:rPr>
        <w:t>-</w:t>
      </w:r>
      <w:r w:rsidR="009571C0" w:rsidRPr="00913FF8">
        <w:rPr>
          <w:szCs w:val="22"/>
          <w:lang w:val="ru-RU"/>
        </w:rPr>
        <w:t xml:space="preserve">Членами </w:t>
      </w:r>
      <w:r w:rsidRPr="00913FF8">
        <w:rPr>
          <w:szCs w:val="22"/>
          <w:lang w:val="ru-RU"/>
        </w:rPr>
        <w:t xml:space="preserve">по вопросам, касающимся цифровой экономики, в особенности </w:t>
      </w:r>
      <w:r w:rsidR="009571C0">
        <w:rPr>
          <w:szCs w:val="22"/>
          <w:lang w:val="ru-RU"/>
        </w:rPr>
        <w:t>в плане</w:t>
      </w:r>
      <w:r w:rsidRPr="00913FF8">
        <w:rPr>
          <w:szCs w:val="22"/>
          <w:lang w:val="ru-RU"/>
        </w:rPr>
        <w:t xml:space="preserve"> обмена информацией и укрепления инфраструктуры. Другой </w:t>
      </w:r>
      <w:r w:rsidR="005D6651" w:rsidRPr="00913FF8">
        <w:rPr>
          <w:szCs w:val="22"/>
          <w:lang w:val="ru-RU"/>
        </w:rPr>
        <w:t xml:space="preserve">советник </w:t>
      </w:r>
      <w:r w:rsidRPr="00913FF8">
        <w:rPr>
          <w:szCs w:val="22"/>
          <w:lang w:val="ru-RU"/>
        </w:rPr>
        <w:t>настоятельно призывает МСЭ-</w:t>
      </w:r>
      <w:r w:rsidRPr="00913FF8">
        <w:rPr>
          <w:szCs w:val="22"/>
          <w:lang w:val="en-US"/>
        </w:rPr>
        <w:t>T</w:t>
      </w:r>
      <w:r w:rsidRPr="00913FF8">
        <w:rPr>
          <w:szCs w:val="22"/>
          <w:lang w:val="ru-RU"/>
        </w:rPr>
        <w:t xml:space="preserve"> и МСЭ-</w:t>
      </w:r>
      <w:r w:rsidRPr="00913FF8">
        <w:rPr>
          <w:szCs w:val="22"/>
          <w:lang w:val="en-US"/>
        </w:rPr>
        <w:t>D</w:t>
      </w:r>
      <w:r w:rsidRPr="00913FF8">
        <w:rPr>
          <w:szCs w:val="22"/>
          <w:lang w:val="ru-RU"/>
        </w:rPr>
        <w:t xml:space="preserve"> продолжать работать над преодолением разрывов в цифровой экономике.</w:t>
      </w:r>
    </w:p>
    <w:p w:rsidR="00B92308" w:rsidRPr="00031CB7" w:rsidRDefault="00031CB7" w:rsidP="00031CB7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7.3</w:t>
      </w:r>
      <w:r w:rsidRPr="00913FF8">
        <w:rPr>
          <w:szCs w:val="22"/>
          <w:lang w:val="ru-RU"/>
        </w:rPr>
        <w:tab/>
        <w:t xml:space="preserve">Совет </w:t>
      </w:r>
      <w:r w:rsidRPr="00913FF8">
        <w:rPr>
          <w:b/>
          <w:bCs/>
          <w:szCs w:val="22"/>
          <w:lang w:val="ru-RU"/>
        </w:rPr>
        <w:t>принимает к сведению</w:t>
      </w:r>
      <w:r w:rsidRPr="00913FF8">
        <w:rPr>
          <w:szCs w:val="22"/>
          <w:lang w:val="ru-RU"/>
        </w:rPr>
        <w:t xml:space="preserve"> Документ </w:t>
      </w:r>
      <w:r w:rsidRPr="00913FF8">
        <w:rPr>
          <w:szCs w:val="22"/>
        </w:rPr>
        <w:t>C</w:t>
      </w:r>
      <w:r w:rsidRPr="00913FF8">
        <w:rPr>
          <w:szCs w:val="22"/>
          <w:lang w:val="ru-RU"/>
        </w:rPr>
        <w:t>17/68.</w:t>
      </w:r>
    </w:p>
    <w:p w:rsidR="00B92308" w:rsidRPr="00A25974" w:rsidRDefault="00347EDF" w:rsidP="00A25974">
      <w:pPr>
        <w:pStyle w:val="Heading1"/>
        <w:rPr>
          <w:szCs w:val="26"/>
          <w:lang w:val="ru-RU"/>
        </w:rPr>
      </w:pPr>
      <w:r w:rsidRPr="00A25974">
        <w:rPr>
          <w:szCs w:val="26"/>
          <w:lang w:val="ru-RU"/>
        </w:rPr>
        <w:t>8</w:t>
      </w:r>
      <w:r w:rsidR="00B92308" w:rsidRPr="00A25974">
        <w:rPr>
          <w:szCs w:val="26"/>
          <w:lang w:val="ru-RU"/>
        </w:rPr>
        <w:tab/>
      </w:r>
      <w:r w:rsidR="000B2E30" w:rsidRPr="00A25974">
        <w:rPr>
          <w:szCs w:val="26"/>
          <w:lang w:val="ru-RU"/>
        </w:rPr>
        <w:t xml:space="preserve">Эффективность региональных групп в отношении преодоления разрыва в стандартизации (Документ </w:t>
      </w:r>
      <w:hyperlink r:id="rId38" w:history="1">
        <w:r w:rsidR="00B92308" w:rsidRPr="00A25974">
          <w:rPr>
            <w:rStyle w:val="Hyperlink"/>
            <w:bCs/>
            <w:szCs w:val="26"/>
            <w:lang w:val="en-CA"/>
          </w:rPr>
          <w:t>C</w:t>
        </w:r>
        <w:r w:rsidR="00B92308" w:rsidRPr="00A25974">
          <w:rPr>
            <w:rStyle w:val="Hyperlink"/>
            <w:bCs/>
            <w:szCs w:val="26"/>
            <w:lang w:val="ru-RU"/>
          </w:rPr>
          <w:t>17/72</w:t>
        </w:r>
      </w:hyperlink>
      <w:r w:rsidR="00B92308" w:rsidRPr="00A25974">
        <w:rPr>
          <w:szCs w:val="26"/>
          <w:lang w:val="ru-RU"/>
        </w:rPr>
        <w:t>)</w:t>
      </w:r>
    </w:p>
    <w:p w:rsidR="00A23F5E" w:rsidRPr="00913FF8" w:rsidRDefault="00B92308" w:rsidP="00A23F5E">
      <w:pPr>
        <w:snapToGrid w:val="0"/>
        <w:spacing w:after="120"/>
        <w:rPr>
          <w:szCs w:val="22"/>
          <w:lang w:val="ru-RU"/>
        </w:rPr>
      </w:pPr>
      <w:r w:rsidRPr="00A23F5E">
        <w:rPr>
          <w:szCs w:val="22"/>
          <w:lang w:val="ru-RU"/>
        </w:rPr>
        <w:t>8.1</w:t>
      </w:r>
      <w:r w:rsidRPr="00A23F5E">
        <w:rPr>
          <w:szCs w:val="22"/>
          <w:lang w:val="ru-RU"/>
        </w:rPr>
        <w:tab/>
      </w:r>
      <w:r w:rsidR="00A23F5E" w:rsidRPr="00913FF8">
        <w:rPr>
          <w:szCs w:val="22"/>
          <w:lang w:val="ru-RU"/>
        </w:rPr>
        <w:t xml:space="preserve">Представитель </w:t>
      </w:r>
      <w:proofErr w:type="spellStart"/>
      <w:r w:rsidR="00A23F5E" w:rsidRPr="00913FF8">
        <w:rPr>
          <w:szCs w:val="22"/>
          <w:lang w:val="ru-RU"/>
        </w:rPr>
        <w:t>БСЭ</w:t>
      </w:r>
      <w:proofErr w:type="spellEnd"/>
      <w:r w:rsidR="00A23F5E" w:rsidRPr="00913FF8">
        <w:rPr>
          <w:szCs w:val="22"/>
          <w:lang w:val="ru-RU"/>
        </w:rPr>
        <w:t xml:space="preserve"> представляет Документ </w:t>
      </w:r>
      <w:r w:rsidR="00A23F5E" w:rsidRPr="00913FF8">
        <w:rPr>
          <w:szCs w:val="22"/>
        </w:rPr>
        <w:t>C</w:t>
      </w:r>
      <w:r w:rsidR="00A23F5E" w:rsidRPr="00913FF8">
        <w:rPr>
          <w:szCs w:val="22"/>
          <w:lang w:val="ru-RU"/>
        </w:rPr>
        <w:t xml:space="preserve">17/72, </w:t>
      </w:r>
      <w:r w:rsidR="00A23F5E">
        <w:rPr>
          <w:szCs w:val="22"/>
          <w:lang w:val="ru-RU"/>
        </w:rPr>
        <w:t>в котором содержится отчет</w:t>
      </w:r>
      <w:r w:rsidR="00A23F5E" w:rsidRPr="00913FF8">
        <w:rPr>
          <w:szCs w:val="22"/>
          <w:lang w:val="ru-RU"/>
        </w:rPr>
        <w:t xml:space="preserve"> об</w:t>
      </w:r>
      <w:r w:rsidR="00A23F5E">
        <w:rPr>
          <w:szCs w:val="22"/>
          <w:lang w:val="ru-RU"/>
        </w:rPr>
        <w:t> </w:t>
      </w:r>
      <w:r w:rsidR="00A23F5E" w:rsidRPr="00913FF8">
        <w:rPr>
          <w:szCs w:val="22"/>
          <w:lang w:val="ru-RU"/>
        </w:rPr>
        <w:t>эффективности деятельности региональных групп согласно инструкциям, изложенным в</w:t>
      </w:r>
      <w:r w:rsidR="005D6651">
        <w:rPr>
          <w:szCs w:val="22"/>
          <w:lang w:val="ru-RU"/>
        </w:rPr>
        <w:t> </w:t>
      </w:r>
      <w:r w:rsidR="00A23F5E" w:rsidRPr="00913FF8">
        <w:rPr>
          <w:szCs w:val="22"/>
          <w:lang w:val="ru-RU"/>
        </w:rPr>
        <w:t>Резолюции 44 ВАСЭ-16.</w:t>
      </w:r>
    </w:p>
    <w:p w:rsidR="00A23F5E" w:rsidRPr="00913FF8" w:rsidRDefault="00A23F5E" w:rsidP="00A23F5E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8.2</w:t>
      </w:r>
      <w:r w:rsidRPr="00913FF8">
        <w:rPr>
          <w:szCs w:val="22"/>
          <w:lang w:val="ru-RU"/>
        </w:rPr>
        <w:tab/>
        <w:t xml:space="preserve">Несколько </w:t>
      </w:r>
      <w:r w:rsidR="005D6651" w:rsidRPr="00913FF8">
        <w:rPr>
          <w:szCs w:val="22"/>
          <w:lang w:val="ru-RU"/>
        </w:rPr>
        <w:t xml:space="preserve">советников </w:t>
      </w:r>
      <w:r w:rsidRPr="00913FF8">
        <w:rPr>
          <w:szCs w:val="22"/>
          <w:lang w:val="ru-RU"/>
        </w:rPr>
        <w:t>призывают МСЭ-</w:t>
      </w:r>
      <w:r w:rsidRPr="00913FF8">
        <w:rPr>
          <w:szCs w:val="22"/>
          <w:lang w:val="en-US"/>
        </w:rPr>
        <w:t>T</w:t>
      </w:r>
      <w:r w:rsidRPr="00913FF8">
        <w:rPr>
          <w:szCs w:val="22"/>
          <w:lang w:val="ru-RU"/>
        </w:rPr>
        <w:t xml:space="preserve"> продолжать оказывать поддержку региональным исследовательским комиссиям, </w:t>
      </w:r>
      <w:r>
        <w:rPr>
          <w:szCs w:val="22"/>
          <w:lang w:val="ru-RU"/>
        </w:rPr>
        <w:t>которые играют</w:t>
      </w:r>
      <w:r w:rsidRPr="00913FF8">
        <w:rPr>
          <w:szCs w:val="22"/>
          <w:lang w:val="ru-RU"/>
        </w:rPr>
        <w:t xml:space="preserve"> важную роль в преодолении разрыва между развивающимися и развитыми странами и </w:t>
      </w:r>
      <w:r>
        <w:rPr>
          <w:szCs w:val="22"/>
          <w:lang w:val="ru-RU"/>
        </w:rPr>
        <w:t>в работе котор</w:t>
      </w:r>
      <w:r w:rsidR="005D6651">
        <w:rPr>
          <w:szCs w:val="22"/>
          <w:lang w:val="ru-RU"/>
        </w:rPr>
        <w:t>ых</w:t>
      </w:r>
      <w:r>
        <w:rPr>
          <w:szCs w:val="22"/>
          <w:lang w:val="ru-RU"/>
        </w:rPr>
        <w:t xml:space="preserve"> участву</w:t>
      </w:r>
      <w:r w:rsidR="005D6651">
        <w:rPr>
          <w:szCs w:val="22"/>
          <w:lang w:val="ru-RU"/>
        </w:rPr>
        <w:t>е</w:t>
      </w:r>
      <w:r>
        <w:rPr>
          <w:szCs w:val="22"/>
          <w:lang w:val="ru-RU"/>
        </w:rPr>
        <w:t>т все большее число экспертов</w:t>
      </w:r>
      <w:r w:rsidRPr="00913FF8">
        <w:rPr>
          <w:szCs w:val="22"/>
          <w:lang w:val="ru-RU"/>
        </w:rPr>
        <w:t xml:space="preserve">. Один </w:t>
      </w:r>
      <w:r w:rsidR="005D6651">
        <w:rPr>
          <w:szCs w:val="22"/>
          <w:lang w:val="ru-RU"/>
        </w:rPr>
        <w:t>из советников</w:t>
      </w:r>
      <w:r w:rsidRPr="00913FF8">
        <w:rPr>
          <w:szCs w:val="22"/>
          <w:lang w:val="ru-RU"/>
        </w:rPr>
        <w:t xml:space="preserve"> замечает, что можно улучшить распространение информации о семинарах, например, при помощи публикаций, направляемых всем Государствам-Членам.</w:t>
      </w:r>
    </w:p>
    <w:p w:rsidR="00A23F5E" w:rsidRPr="00913FF8" w:rsidRDefault="00A23F5E" w:rsidP="00A23F5E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8.3</w:t>
      </w:r>
      <w:r w:rsidRPr="00913FF8">
        <w:rPr>
          <w:szCs w:val="22"/>
          <w:lang w:val="ru-RU"/>
        </w:rPr>
        <w:tab/>
      </w:r>
      <w:r w:rsidR="005D6651" w:rsidRPr="00913FF8">
        <w:rPr>
          <w:szCs w:val="22"/>
          <w:lang w:val="ru-RU"/>
        </w:rPr>
        <w:t xml:space="preserve">Один </w:t>
      </w:r>
      <w:r w:rsidR="005D6651">
        <w:rPr>
          <w:szCs w:val="22"/>
          <w:lang w:val="ru-RU"/>
        </w:rPr>
        <w:t>из советников</w:t>
      </w:r>
      <w:r w:rsidR="005D6651" w:rsidRPr="00913FF8">
        <w:rPr>
          <w:szCs w:val="22"/>
          <w:lang w:val="ru-RU"/>
        </w:rPr>
        <w:t xml:space="preserve"> </w:t>
      </w:r>
      <w:r w:rsidRPr="00913FF8">
        <w:rPr>
          <w:szCs w:val="22"/>
          <w:lang w:val="ru-RU"/>
        </w:rPr>
        <w:t xml:space="preserve">выражает обеспокоенность в связи с увеличением количества региональных групп. Решение о создании подобной группы, принятое несколькими странами, способно повлиять на весь регион и отрицательно сказаться на работе региональной организации. Следует </w:t>
      </w:r>
      <w:r>
        <w:rPr>
          <w:szCs w:val="22"/>
          <w:lang w:val="ru-RU"/>
        </w:rPr>
        <w:t>учредить</w:t>
      </w:r>
      <w:r w:rsidRPr="00913FF8">
        <w:rPr>
          <w:szCs w:val="22"/>
          <w:lang w:val="ru-RU"/>
        </w:rPr>
        <w:t xml:space="preserve"> механизм, предусматривающий, что для создания новой региональной группы </w:t>
      </w:r>
      <w:r>
        <w:rPr>
          <w:szCs w:val="22"/>
          <w:lang w:val="ru-RU"/>
        </w:rPr>
        <w:t>необходимо</w:t>
      </w:r>
      <w:r w:rsidRPr="00913FF8">
        <w:rPr>
          <w:szCs w:val="22"/>
          <w:lang w:val="ru-RU"/>
        </w:rPr>
        <w:t xml:space="preserve"> будет получить одобрение региональной организации. Другие </w:t>
      </w:r>
      <w:r w:rsidR="005D6651" w:rsidRPr="00913FF8">
        <w:rPr>
          <w:szCs w:val="22"/>
          <w:lang w:val="ru-RU"/>
        </w:rPr>
        <w:t xml:space="preserve">советники </w:t>
      </w:r>
      <w:r w:rsidRPr="00913FF8">
        <w:rPr>
          <w:szCs w:val="22"/>
          <w:lang w:val="ru-RU"/>
        </w:rPr>
        <w:t xml:space="preserve">поддерживают эту точку зрения; один из </w:t>
      </w:r>
      <w:r w:rsidR="005D6651" w:rsidRPr="00913FF8">
        <w:rPr>
          <w:szCs w:val="22"/>
          <w:lang w:val="ru-RU"/>
        </w:rPr>
        <w:t xml:space="preserve">советников </w:t>
      </w:r>
      <w:r>
        <w:rPr>
          <w:szCs w:val="22"/>
          <w:lang w:val="ru-RU"/>
        </w:rPr>
        <w:t>привлекает внимание к документу</w:t>
      </w:r>
      <w:r w:rsidRPr="00913FF8">
        <w:rPr>
          <w:szCs w:val="22"/>
          <w:lang w:val="ru-RU"/>
        </w:rPr>
        <w:t xml:space="preserve"> </w:t>
      </w:r>
      <w:r w:rsidRPr="00913FF8">
        <w:rPr>
          <w:szCs w:val="22"/>
        </w:rPr>
        <w:t>C</w:t>
      </w:r>
      <w:r w:rsidRPr="00913FF8">
        <w:rPr>
          <w:szCs w:val="22"/>
          <w:lang w:val="ru-RU"/>
        </w:rPr>
        <w:t>17/97; она заявляет, что региональные группы должны быть открыты для всех членов МСЭ. Дв</w:t>
      </w:r>
      <w:r w:rsidR="005D6651">
        <w:rPr>
          <w:szCs w:val="22"/>
          <w:lang w:val="ru-RU"/>
        </w:rPr>
        <w:t>ое</w:t>
      </w:r>
      <w:r w:rsidRPr="00913FF8">
        <w:rPr>
          <w:szCs w:val="22"/>
          <w:lang w:val="ru-RU"/>
        </w:rPr>
        <w:t xml:space="preserve"> </w:t>
      </w:r>
      <w:r w:rsidR="005D6651">
        <w:rPr>
          <w:szCs w:val="22"/>
          <w:lang w:val="ru-RU"/>
        </w:rPr>
        <w:t>советников</w:t>
      </w:r>
      <w:r w:rsidRPr="00913FF8">
        <w:rPr>
          <w:szCs w:val="22"/>
          <w:lang w:val="ru-RU"/>
        </w:rPr>
        <w:t xml:space="preserve"> подчеркивают необходимость координации с региональными организациями, с тем чтобы избежать дублирования </w:t>
      </w:r>
      <w:r>
        <w:rPr>
          <w:szCs w:val="22"/>
          <w:lang w:val="ru-RU"/>
        </w:rPr>
        <w:t>работы</w:t>
      </w:r>
      <w:r w:rsidRPr="00913FF8">
        <w:rPr>
          <w:szCs w:val="22"/>
          <w:lang w:val="ru-RU"/>
        </w:rPr>
        <w:t>.</w:t>
      </w:r>
    </w:p>
    <w:p w:rsidR="00A23F5E" w:rsidRPr="00913FF8" w:rsidRDefault="00A23F5E" w:rsidP="00262009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lastRenderedPageBreak/>
        <w:t>8.4</w:t>
      </w:r>
      <w:r w:rsidRPr="00913FF8">
        <w:rPr>
          <w:szCs w:val="22"/>
          <w:lang w:val="ru-RU"/>
        </w:rPr>
        <w:tab/>
        <w:t xml:space="preserve">Еще </w:t>
      </w:r>
      <w:r w:rsidR="005D6651" w:rsidRPr="00913FF8">
        <w:rPr>
          <w:szCs w:val="22"/>
          <w:lang w:val="ru-RU"/>
        </w:rPr>
        <w:t xml:space="preserve">один </w:t>
      </w:r>
      <w:r w:rsidR="005D6651">
        <w:rPr>
          <w:szCs w:val="22"/>
          <w:lang w:val="ru-RU"/>
        </w:rPr>
        <w:t>советник</w:t>
      </w:r>
      <w:r w:rsidRPr="00913FF8">
        <w:rPr>
          <w:szCs w:val="22"/>
          <w:lang w:val="ru-RU"/>
        </w:rPr>
        <w:t>, заме</w:t>
      </w:r>
      <w:r w:rsidR="00262009">
        <w:rPr>
          <w:szCs w:val="22"/>
          <w:lang w:val="ru-RU"/>
        </w:rPr>
        <w:t>чая</w:t>
      </w:r>
      <w:r w:rsidRPr="00913FF8">
        <w:rPr>
          <w:szCs w:val="22"/>
          <w:lang w:val="ru-RU"/>
        </w:rPr>
        <w:t xml:space="preserve">, что вопрос об участии в региональных группах часто обсуждался, но решение по нему так и не было </w:t>
      </w:r>
      <w:r w:rsidR="005D6651">
        <w:rPr>
          <w:szCs w:val="22"/>
          <w:lang w:val="ru-RU"/>
        </w:rPr>
        <w:t>вынесено</w:t>
      </w:r>
      <w:r w:rsidRPr="00913FF8">
        <w:rPr>
          <w:szCs w:val="22"/>
          <w:lang w:val="ru-RU"/>
        </w:rPr>
        <w:t xml:space="preserve">, напоминает </w:t>
      </w:r>
      <w:r w:rsidR="005D6651" w:rsidRPr="00913FF8">
        <w:rPr>
          <w:szCs w:val="22"/>
          <w:lang w:val="ru-RU"/>
        </w:rPr>
        <w:t>советникам</w:t>
      </w:r>
      <w:r w:rsidRPr="00913FF8">
        <w:rPr>
          <w:szCs w:val="22"/>
          <w:lang w:val="ru-RU"/>
        </w:rPr>
        <w:t xml:space="preserve">, что председатели исследовательских комиссий имеют право приглашать экспертов для участия в работе. Другие </w:t>
      </w:r>
      <w:r w:rsidR="005D6651" w:rsidRPr="00913FF8">
        <w:rPr>
          <w:szCs w:val="22"/>
          <w:lang w:val="ru-RU"/>
        </w:rPr>
        <w:t xml:space="preserve">советники </w:t>
      </w:r>
      <w:r w:rsidRPr="00913FF8">
        <w:rPr>
          <w:szCs w:val="22"/>
          <w:lang w:val="ru-RU"/>
        </w:rPr>
        <w:t>поддерживают эту точку зрения. Дв</w:t>
      </w:r>
      <w:r w:rsidR="005D6651">
        <w:rPr>
          <w:szCs w:val="22"/>
          <w:lang w:val="ru-RU"/>
        </w:rPr>
        <w:t>ое</w:t>
      </w:r>
      <w:r w:rsidRPr="00913FF8">
        <w:rPr>
          <w:szCs w:val="22"/>
          <w:lang w:val="ru-RU"/>
        </w:rPr>
        <w:t xml:space="preserve"> </w:t>
      </w:r>
      <w:r w:rsidR="005D6651" w:rsidRPr="00913FF8">
        <w:rPr>
          <w:szCs w:val="22"/>
          <w:lang w:val="ru-RU"/>
        </w:rPr>
        <w:t>советник</w:t>
      </w:r>
      <w:r w:rsidR="005D6651">
        <w:rPr>
          <w:szCs w:val="22"/>
          <w:lang w:val="ru-RU"/>
        </w:rPr>
        <w:t>ов</w:t>
      </w:r>
      <w:r w:rsidRPr="00913FF8">
        <w:rPr>
          <w:szCs w:val="22"/>
          <w:lang w:val="ru-RU"/>
        </w:rPr>
        <w:t>, указав, что некоторые страны не являются членами региональных организаций, подчеркивают важность создания открытых, универсальных пространств, в которых можно проводить обсуждение технических вопросов на региональном уровне.</w:t>
      </w:r>
    </w:p>
    <w:p w:rsidR="00A23F5E" w:rsidRPr="00913FF8" w:rsidRDefault="00A23F5E" w:rsidP="00262009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8.5</w:t>
      </w:r>
      <w:r w:rsidRPr="00913FF8">
        <w:rPr>
          <w:szCs w:val="22"/>
          <w:lang w:val="ru-RU"/>
        </w:rPr>
        <w:tab/>
      </w:r>
      <w:r w:rsidRPr="00913FF8">
        <w:rPr>
          <w:spacing w:val="2"/>
          <w:szCs w:val="22"/>
          <w:lang w:val="ru-RU"/>
        </w:rPr>
        <w:t xml:space="preserve">Представитель </w:t>
      </w:r>
      <w:proofErr w:type="spellStart"/>
      <w:r w:rsidRPr="00913FF8">
        <w:rPr>
          <w:spacing w:val="2"/>
          <w:szCs w:val="22"/>
          <w:lang w:val="ru-RU"/>
        </w:rPr>
        <w:t>БСЭ</w:t>
      </w:r>
      <w:proofErr w:type="spellEnd"/>
      <w:r w:rsidRPr="00913FF8">
        <w:rPr>
          <w:spacing w:val="2"/>
          <w:szCs w:val="22"/>
          <w:lang w:val="ru-RU"/>
        </w:rPr>
        <w:t xml:space="preserve"> заявляет, что создание региональных групп регулируется Резолюцией 54 ВАСЭ-16, а участие в работе таких групп </w:t>
      </w:r>
      <w:r>
        <w:rPr>
          <w:spacing w:val="2"/>
          <w:szCs w:val="22"/>
          <w:lang w:val="ru-RU"/>
        </w:rPr>
        <w:t>–</w:t>
      </w:r>
      <w:r w:rsidRPr="00913FF8">
        <w:rPr>
          <w:spacing w:val="2"/>
          <w:szCs w:val="22"/>
          <w:lang w:val="ru-RU"/>
        </w:rPr>
        <w:t xml:space="preserve"> Резолюцией 1 ВАСЭ-16</w:t>
      </w:r>
      <w:r w:rsidRPr="00913FF8">
        <w:rPr>
          <w:szCs w:val="22"/>
          <w:lang w:val="ru-RU"/>
        </w:rPr>
        <w:t>. Он подтверждает, что председател</w:t>
      </w:r>
      <w:r>
        <w:rPr>
          <w:szCs w:val="22"/>
          <w:lang w:val="ru-RU"/>
        </w:rPr>
        <w:t>и</w:t>
      </w:r>
      <w:r w:rsidRPr="00913FF8">
        <w:rPr>
          <w:szCs w:val="22"/>
          <w:lang w:val="ru-RU"/>
        </w:rPr>
        <w:t xml:space="preserve"> исследовательск</w:t>
      </w:r>
      <w:r w:rsidR="005D6651">
        <w:rPr>
          <w:szCs w:val="22"/>
          <w:lang w:val="ru-RU"/>
        </w:rPr>
        <w:t>их</w:t>
      </w:r>
      <w:r w:rsidRPr="00913FF8">
        <w:rPr>
          <w:szCs w:val="22"/>
          <w:lang w:val="ru-RU"/>
        </w:rPr>
        <w:t xml:space="preserve"> комисси</w:t>
      </w:r>
      <w:r w:rsidR="005D6651">
        <w:rPr>
          <w:szCs w:val="22"/>
          <w:lang w:val="ru-RU"/>
        </w:rPr>
        <w:t>й</w:t>
      </w:r>
      <w:r w:rsidRPr="00913FF8">
        <w:rPr>
          <w:szCs w:val="22"/>
          <w:lang w:val="ru-RU"/>
        </w:rPr>
        <w:t xml:space="preserve"> име</w:t>
      </w:r>
      <w:r>
        <w:rPr>
          <w:szCs w:val="22"/>
          <w:lang w:val="ru-RU"/>
        </w:rPr>
        <w:t>ю</w:t>
      </w:r>
      <w:r w:rsidRPr="00913FF8">
        <w:rPr>
          <w:szCs w:val="22"/>
          <w:lang w:val="ru-RU"/>
        </w:rPr>
        <w:t>т право в любое время приглашать</w:t>
      </w:r>
      <w:r w:rsidRPr="00A23F5E">
        <w:rPr>
          <w:szCs w:val="22"/>
          <w:lang w:val="ru-RU"/>
        </w:rPr>
        <w:t xml:space="preserve"> </w:t>
      </w:r>
      <w:r w:rsidRPr="00913FF8">
        <w:rPr>
          <w:szCs w:val="22"/>
          <w:lang w:val="ru-RU"/>
        </w:rPr>
        <w:t>для участия в</w:t>
      </w:r>
      <w:r>
        <w:rPr>
          <w:szCs w:val="22"/>
          <w:lang w:val="ru-RU"/>
        </w:rPr>
        <w:t> </w:t>
      </w:r>
      <w:r w:rsidRPr="00913FF8">
        <w:rPr>
          <w:szCs w:val="22"/>
          <w:lang w:val="ru-RU"/>
        </w:rPr>
        <w:t>работе региональной группы экспертов</w:t>
      </w:r>
      <w:r>
        <w:rPr>
          <w:szCs w:val="22"/>
          <w:lang w:val="ru-RU"/>
        </w:rPr>
        <w:t xml:space="preserve"> не из </w:t>
      </w:r>
      <w:r w:rsidRPr="00913FF8">
        <w:rPr>
          <w:szCs w:val="22"/>
          <w:lang w:val="ru-RU"/>
        </w:rPr>
        <w:t>Государств-Членов данного региона.</w:t>
      </w:r>
    </w:p>
    <w:p w:rsidR="00B92308" w:rsidRPr="00A23F5E" w:rsidRDefault="00A23F5E" w:rsidP="00A23F5E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8.6</w:t>
      </w:r>
      <w:r w:rsidRPr="00913FF8">
        <w:rPr>
          <w:szCs w:val="22"/>
          <w:lang w:val="ru-RU"/>
        </w:rPr>
        <w:tab/>
        <w:t xml:space="preserve">Совет </w:t>
      </w:r>
      <w:r w:rsidRPr="00913FF8">
        <w:rPr>
          <w:b/>
          <w:bCs/>
          <w:szCs w:val="22"/>
          <w:lang w:val="ru-RU"/>
        </w:rPr>
        <w:t>принимает к сведению</w:t>
      </w:r>
      <w:r w:rsidRPr="00913FF8">
        <w:rPr>
          <w:szCs w:val="22"/>
          <w:lang w:val="ru-RU"/>
        </w:rPr>
        <w:t xml:space="preserve"> Документ </w:t>
      </w:r>
      <w:r w:rsidRPr="00913FF8">
        <w:rPr>
          <w:szCs w:val="22"/>
        </w:rPr>
        <w:t>C</w:t>
      </w:r>
      <w:r w:rsidRPr="00913FF8">
        <w:rPr>
          <w:szCs w:val="22"/>
          <w:lang w:val="ru-RU"/>
        </w:rPr>
        <w:t>17/72.</w:t>
      </w:r>
    </w:p>
    <w:p w:rsidR="00B92308" w:rsidRPr="00A25974" w:rsidRDefault="00347EDF" w:rsidP="00A25974">
      <w:pPr>
        <w:pStyle w:val="Heading1"/>
        <w:rPr>
          <w:szCs w:val="26"/>
          <w:lang w:val="ru-RU"/>
        </w:rPr>
      </w:pPr>
      <w:r w:rsidRPr="00A25974">
        <w:rPr>
          <w:szCs w:val="26"/>
          <w:lang w:val="ru-RU"/>
        </w:rPr>
        <w:t>9</w:t>
      </w:r>
      <w:r w:rsidR="00B92308" w:rsidRPr="00A25974">
        <w:rPr>
          <w:szCs w:val="26"/>
          <w:lang w:val="ru-RU"/>
        </w:rPr>
        <w:tab/>
      </w:r>
      <w:r w:rsidR="00AE621E" w:rsidRPr="00A25974">
        <w:rPr>
          <w:szCs w:val="26"/>
          <w:lang w:val="ru-RU"/>
        </w:rPr>
        <w:t>Отчет Рабочей группы Совета по языкам (продолжение) (Документ</w:t>
      </w:r>
      <w:r w:rsidR="00A25974">
        <w:rPr>
          <w:szCs w:val="26"/>
          <w:lang w:val="ru-RU"/>
        </w:rPr>
        <w:t> </w:t>
      </w:r>
      <w:hyperlink r:id="rId39" w:history="1">
        <w:r w:rsidR="00B92308" w:rsidRPr="00A25974">
          <w:rPr>
            <w:rStyle w:val="Hyperlink"/>
            <w:bCs/>
            <w:szCs w:val="26"/>
            <w:lang w:val="en-CA"/>
          </w:rPr>
          <w:t>C</w:t>
        </w:r>
        <w:r w:rsidR="00B92308" w:rsidRPr="00A25974">
          <w:rPr>
            <w:rStyle w:val="Hyperlink"/>
            <w:bCs/>
            <w:szCs w:val="26"/>
            <w:lang w:val="ru-RU"/>
          </w:rPr>
          <w:t>17/</w:t>
        </w:r>
        <w:r w:rsidR="00B92308" w:rsidRPr="00A25974">
          <w:rPr>
            <w:rStyle w:val="Hyperlink"/>
            <w:bCs/>
            <w:szCs w:val="26"/>
            <w:lang w:val="en-CA"/>
          </w:rPr>
          <w:t>DT</w:t>
        </w:r>
        <w:r w:rsidR="00B92308" w:rsidRPr="00A25974">
          <w:rPr>
            <w:rStyle w:val="Hyperlink"/>
            <w:bCs/>
            <w:szCs w:val="26"/>
            <w:lang w:val="ru-RU"/>
          </w:rPr>
          <w:t>/4</w:t>
        </w:r>
      </w:hyperlink>
      <w:r w:rsidR="00B92308" w:rsidRPr="00A25974">
        <w:rPr>
          <w:szCs w:val="26"/>
          <w:lang w:val="ru-RU"/>
        </w:rPr>
        <w:t xml:space="preserve">) </w:t>
      </w:r>
    </w:p>
    <w:p w:rsidR="00B92308" w:rsidRPr="000436D3" w:rsidRDefault="00347EDF" w:rsidP="00262009">
      <w:pPr>
        <w:snapToGrid w:val="0"/>
        <w:spacing w:after="120"/>
        <w:rPr>
          <w:szCs w:val="22"/>
          <w:lang w:val="ru-RU"/>
        </w:rPr>
      </w:pPr>
      <w:r w:rsidRPr="000436D3">
        <w:rPr>
          <w:szCs w:val="22"/>
          <w:lang w:val="ru-RU"/>
        </w:rPr>
        <w:t>9.1</w:t>
      </w:r>
      <w:r w:rsidR="00B92308" w:rsidRPr="000436D3">
        <w:rPr>
          <w:szCs w:val="22"/>
          <w:lang w:val="ru-RU"/>
        </w:rPr>
        <w:tab/>
      </w:r>
      <w:r w:rsidR="000436D3" w:rsidRPr="00913FF8">
        <w:rPr>
          <w:szCs w:val="22"/>
          <w:lang w:val="ru-RU"/>
        </w:rPr>
        <w:t xml:space="preserve">Совет </w:t>
      </w:r>
      <w:r w:rsidR="000436D3" w:rsidRPr="00913FF8">
        <w:rPr>
          <w:b/>
          <w:bCs/>
          <w:szCs w:val="22"/>
          <w:lang w:val="ru-RU"/>
        </w:rPr>
        <w:t>принимает</w:t>
      </w:r>
      <w:r w:rsidR="000436D3" w:rsidRPr="00913FF8">
        <w:rPr>
          <w:szCs w:val="22"/>
          <w:lang w:val="ru-RU"/>
        </w:rPr>
        <w:t xml:space="preserve"> проект новой резолюции </w:t>
      </w:r>
      <w:r w:rsidR="00262009">
        <w:rPr>
          <w:szCs w:val="22"/>
          <w:lang w:val="ru-RU"/>
        </w:rPr>
        <w:t xml:space="preserve">о </w:t>
      </w:r>
      <w:r w:rsidR="000436D3" w:rsidRPr="00913FF8">
        <w:rPr>
          <w:szCs w:val="22"/>
          <w:lang w:val="ru-RU"/>
        </w:rPr>
        <w:t>Координационно</w:t>
      </w:r>
      <w:r w:rsidR="00262009">
        <w:rPr>
          <w:szCs w:val="22"/>
          <w:lang w:val="ru-RU"/>
        </w:rPr>
        <w:t>м</w:t>
      </w:r>
      <w:r w:rsidR="000436D3" w:rsidRPr="00913FF8">
        <w:rPr>
          <w:szCs w:val="22"/>
          <w:lang w:val="ru-RU"/>
        </w:rPr>
        <w:t xml:space="preserve"> комитет</w:t>
      </w:r>
      <w:r w:rsidR="00262009">
        <w:rPr>
          <w:szCs w:val="22"/>
          <w:lang w:val="ru-RU"/>
        </w:rPr>
        <w:t>е</w:t>
      </w:r>
      <w:r w:rsidR="000436D3" w:rsidRPr="00913FF8">
        <w:rPr>
          <w:szCs w:val="22"/>
          <w:lang w:val="ru-RU"/>
        </w:rPr>
        <w:t xml:space="preserve"> МСЭ по</w:t>
      </w:r>
      <w:r w:rsidR="000436D3">
        <w:rPr>
          <w:szCs w:val="22"/>
          <w:lang w:val="ru-RU"/>
        </w:rPr>
        <w:t> </w:t>
      </w:r>
      <w:r w:rsidR="000436D3" w:rsidRPr="00913FF8">
        <w:rPr>
          <w:szCs w:val="22"/>
          <w:lang w:val="ru-RU"/>
        </w:rPr>
        <w:t xml:space="preserve">терминологии, представленный в Документе </w:t>
      </w:r>
      <w:r w:rsidR="000436D3" w:rsidRPr="00913FF8">
        <w:rPr>
          <w:szCs w:val="22"/>
        </w:rPr>
        <w:t>C</w:t>
      </w:r>
      <w:r w:rsidR="000436D3" w:rsidRPr="00913FF8">
        <w:rPr>
          <w:szCs w:val="22"/>
          <w:lang w:val="ru-RU"/>
        </w:rPr>
        <w:t>17/</w:t>
      </w:r>
      <w:r w:rsidR="000436D3" w:rsidRPr="00913FF8">
        <w:rPr>
          <w:szCs w:val="22"/>
        </w:rPr>
        <w:t>DT</w:t>
      </w:r>
      <w:r w:rsidR="000436D3" w:rsidRPr="00913FF8">
        <w:rPr>
          <w:szCs w:val="22"/>
          <w:lang w:val="ru-RU"/>
        </w:rPr>
        <w:t>/4, который был разработан специальной группой, учрежденной Советом на его первом пленарном заседании.</w:t>
      </w:r>
    </w:p>
    <w:p w:rsidR="00B92308" w:rsidRPr="00A25974" w:rsidRDefault="00347EDF" w:rsidP="00A25974">
      <w:pPr>
        <w:pStyle w:val="Heading1"/>
        <w:rPr>
          <w:szCs w:val="26"/>
          <w:lang w:val="ru-RU"/>
        </w:rPr>
      </w:pPr>
      <w:r w:rsidRPr="00A25974">
        <w:rPr>
          <w:szCs w:val="26"/>
          <w:lang w:val="ru-RU"/>
        </w:rPr>
        <w:t>10</w:t>
      </w:r>
      <w:r w:rsidR="00B92308" w:rsidRPr="00A25974">
        <w:rPr>
          <w:szCs w:val="26"/>
          <w:lang w:val="ru-RU"/>
        </w:rPr>
        <w:tab/>
      </w:r>
      <w:r w:rsidR="00A04D9B" w:rsidRPr="00A25974">
        <w:rPr>
          <w:szCs w:val="26"/>
          <w:lang w:val="ru-RU"/>
        </w:rPr>
        <w:t xml:space="preserve">Укрепление регионального присутствия (Документ </w:t>
      </w:r>
      <w:hyperlink r:id="rId40" w:history="1">
        <w:r w:rsidR="00B92308" w:rsidRPr="00A25974">
          <w:rPr>
            <w:rStyle w:val="Hyperlink"/>
            <w:bCs/>
            <w:szCs w:val="26"/>
            <w:lang w:val="en-CA"/>
          </w:rPr>
          <w:t>C</w:t>
        </w:r>
        <w:r w:rsidR="00B92308" w:rsidRPr="00A25974">
          <w:rPr>
            <w:rStyle w:val="Hyperlink"/>
            <w:bCs/>
            <w:szCs w:val="26"/>
            <w:lang w:val="ru-RU"/>
          </w:rPr>
          <w:t>17/25</w:t>
        </w:r>
      </w:hyperlink>
      <w:r w:rsidR="00B92308" w:rsidRPr="00A25974">
        <w:rPr>
          <w:szCs w:val="26"/>
          <w:lang w:val="ru-RU"/>
        </w:rPr>
        <w:t xml:space="preserve">) </w:t>
      </w:r>
    </w:p>
    <w:p w:rsidR="00A04D9B" w:rsidRPr="00913FF8" w:rsidRDefault="00347EDF" w:rsidP="00A04D9B">
      <w:pPr>
        <w:snapToGrid w:val="0"/>
        <w:spacing w:after="120"/>
        <w:rPr>
          <w:szCs w:val="22"/>
          <w:lang w:val="ru-RU"/>
        </w:rPr>
      </w:pPr>
      <w:r w:rsidRPr="00A04D9B">
        <w:rPr>
          <w:szCs w:val="22"/>
          <w:lang w:val="ru-RU"/>
        </w:rPr>
        <w:t>10.1</w:t>
      </w:r>
      <w:r w:rsidR="00B92308" w:rsidRPr="00A04D9B">
        <w:rPr>
          <w:szCs w:val="22"/>
          <w:lang w:val="ru-RU"/>
        </w:rPr>
        <w:tab/>
      </w:r>
      <w:r w:rsidR="00A04D9B" w:rsidRPr="00913FF8">
        <w:rPr>
          <w:szCs w:val="22"/>
          <w:lang w:val="ru-RU"/>
        </w:rPr>
        <w:t xml:space="preserve">Представитель </w:t>
      </w:r>
      <w:proofErr w:type="spellStart"/>
      <w:r w:rsidR="00A04D9B" w:rsidRPr="00913FF8">
        <w:rPr>
          <w:szCs w:val="22"/>
          <w:lang w:val="ru-RU"/>
        </w:rPr>
        <w:t>Б</w:t>
      </w:r>
      <w:r w:rsidR="005D6651">
        <w:rPr>
          <w:szCs w:val="22"/>
          <w:lang w:val="ru-RU"/>
        </w:rPr>
        <w:t>Р</w:t>
      </w:r>
      <w:r w:rsidR="00A04D9B" w:rsidRPr="00913FF8">
        <w:rPr>
          <w:szCs w:val="22"/>
          <w:lang w:val="ru-RU"/>
        </w:rPr>
        <w:t>Э</w:t>
      </w:r>
      <w:proofErr w:type="spellEnd"/>
      <w:r w:rsidR="00A04D9B" w:rsidRPr="00913FF8">
        <w:rPr>
          <w:szCs w:val="22"/>
          <w:lang w:val="ru-RU"/>
        </w:rPr>
        <w:t xml:space="preserve"> представляет Документ </w:t>
      </w:r>
      <w:r w:rsidR="00A04D9B" w:rsidRPr="00913FF8">
        <w:rPr>
          <w:szCs w:val="22"/>
        </w:rPr>
        <w:t>C</w:t>
      </w:r>
      <w:r w:rsidR="00A04D9B" w:rsidRPr="00913FF8">
        <w:rPr>
          <w:szCs w:val="22"/>
          <w:lang w:val="ru-RU"/>
        </w:rPr>
        <w:t xml:space="preserve">17/25, содержащий отчет об общих результатах выполнения Резолюции 25 (Пересм. </w:t>
      </w:r>
      <w:proofErr w:type="spellStart"/>
      <w:r w:rsidR="00A04D9B" w:rsidRPr="00913FF8">
        <w:rPr>
          <w:szCs w:val="22"/>
          <w:lang w:val="ru-RU"/>
        </w:rPr>
        <w:t>Пусан</w:t>
      </w:r>
      <w:proofErr w:type="spellEnd"/>
      <w:r w:rsidR="00A04D9B" w:rsidRPr="00913FF8">
        <w:rPr>
          <w:szCs w:val="22"/>
          <w:lang w:val="ru-RU"/>
        </w:rPr>
        <w:t>, 2014 г</w:t>
      </w:r>
      <w:r w:rsidR="00A54D09">
        <w:rPr>
          <w:szCs w:val="22"/>
          <w:lang w:val="ru-RU"/>
        </w:rPr>
        <w:t>.</w:t>
      </w:r>
      <w:r w:rsidR="00A04D9B" w:rsidRPr="00913FF8">
        <w:rPr>
          <w:szCs w:val="22"/>
          <w:lang w:val="ru-RU"/>
        </w:rPr>
        <w:t xml:space="preserve">) и дополненный Документом </w:t>
      </w:r>
      <w:r w:rsidR="00A04D9B" w:rsidRPr="00913FF8">
        <w:rPr>
          <w:szCs w:val="22"/>
        </w:rPr>
        <w:t>C</w:t>
      </w:r>
      <w:r w:rsidR="00A04D9B" w:rsidRPr="00913FF8">
        <w:rPr>
          <w:szCs w:val="22"/>
          <w:lang w:val="ru-RU"/>
        </w:rPr>
        <w:t>17/</w:t>
      </w:r>
      <w:r w:rsidR="00A04D9B" w:rsidRPr="00913FF8">
        <w:rPr>
          <w:szCs w:val="22"/>
        </w:rPr>
        <w:t>INF</w:t>
      </w:r>
      <w:r w:rsidR="00A04D9B" w:rsidRPr="00913FF8">
        <w:rPr>
          <w:szCs w:val="22"/>
          <w:lang w:val="ru-RU"/>
        </w:rPr>
        <w:t>/11.</w:t>
      </w:r>
    </w:p>
    <w:p w:rsidR="00A04D9B" w:rsidRPr="00913FF8" w:rsidRDefault="00A04D9B" w:rsidP="00A04D9B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10.2</w:t>
      </w:r>
      <w:r w:rsidRPr="00913FF8">
        <w:rPr>
          <w:szCs w:val="22"/>
          <w:lang w:val="ru-RU"/>
        </w:rPr>
        <w:tab/>
      </w:r>
      <w:r w:rsidR="005D6651" w:rsidRPr="00913FF8">
        <w:rPr>
          <w:szCs w:val="22"/>
          <w:lang w:val="ru-RU"/>
        </w:rPr>
        <w:t xml:space="preserve">Один </w:t>
      </w:r>
      <w:r w:rsidR="005D6651">
        <w:rPr>
          <w:szCs w:val="22"/>
          <w:lang w:val="ru-RU"/>
        </w:rPr>
        <w:t>из советников</w:t>
      </w:r>
      <w:r w:rsidR="005D6651" w:rsidRPr="00913FF8">
        <w:rPr>
          <w:szCs w:val="22"/>
          <w:lang w:val="ru-RU"/>
        </w:rPr>
        <w:t xml:space="preserve"> </w:t>
      </w:r>
      <w:r w:rsidRPr="00913FF8">
        <w:rPr>
          <w:szCs w:val="22"/>
          <w:lang w:val="ru-RU"/>
        </w:rPr>
        <w:t xml:space="preserve">обращается к Директору </w:t>
      </w:r>
      <w:proofErr w:type="spellStart"/>
      <w:r w:rsidRPr="00913FF8">
        <w:rPr>
          <w:szCs w:val="22"/>
          <w:lang w:val="ru-RU"/>
        </w:rPr>
        <w:t>БРЭ</w:t>
      </w:r>
      <w:proofErr w:type="spellEnd"/>
      <w:r w:rsidRPr="00913FF8">
        <w:rPr>
          <w:szCs w:val="22"/>
          <w:lang w:val="ru-RU"/>
        </w:rPr>
        <w:t xml:space="preserve"> с просьбой </w:t>
      </w:r>
      <w:r>
        <w:rPr>
          <w:szCs w:val="22"/>
          <w:lang w:val="ru-RU"/>
        </w:rPr>
        <w:t>усилить</w:t>
      </w:r>
      <w:r w:rsidRPr="00913FF8">
        <w:rPr>
          <w:szCs w:val="22"/>
          <w:lang w:val="ru-RU"/>
        </w:rPr>
        <w:t xml:space="preserve"> роль Регионального отделения МСЭ </w:t>
      </w:r>
      <w:r>
        <w:rPr>
          <w:szCs w:val="22"/>
          <w:lang w:val="ru-RU"/>
        </w:rPr>
        <w:t>для</w:t>
      </w:r>
      <w:r w:rsidRPr="00913FF8">
        <w:rPr>
          <w:szCs w:val="22"/>
          <w:lang w:val="ru-RU"/>
        </w:rPr>
        <w:t xml:space="preserve"> Северной и Южной Америк</w:t>
      </w:r>
      <w:r>
        <w:rPr>
          <w:szCs w:val="22"/>
          <w:lang w:val="ru-RU"/>
        </w:rPr>
        <w:t>и</w:t>
      </w:r>
      <w:r w:rsidRPr="00913FF8">
        <w:rPr>
          <w:szCs w:val="22"/>
          <w:lang w:val="ru-RU"/>
        </w:rPr>
        <w:t xml:space="preserve">, снабдив его эффективным механизмом, позволяющим обеспечивать </w:t>
      </w:r>
      <w:r>
        <w:rPr>
          <w:szCs w:val="22"/>
          <w:lang w:val="ru-RU"/>
        </w:rPr>
        <w:t>полномасштабное</w:t>
      </w:r>
      <w:r w:rsidRPr="00913FF8">
        <w:rPr>
          <w:szCs w:val="22"/>
          <w:lang w:val="ru-RU"/>
        </w:rPr>
        <w:t xml:space="preserve"> участие всех членов этого региона в рассмотрении всех документов и процессов в связи со всеми заседаниям</w:t>
      </w:r>
      <w:r w:rsidR="005D6651">
        <w:rPr>
          <w:szCs w:val="22"/>
          <w:lang w:val="ru-RU"/>
        </w:rPr>
        <w:t>и</w:t>
      </w:r>
      <w:r w:rsidRPr="00913FF8">
        <w:rPr>
          <w:szCs w:val="22"/>
          <w:lang w:val="ru-RU"/>
        </w:rPr>
        <w:t xml:space="preserve"> МСЭ. В дальнейших отчетах следует приводить подробную разбивку средств, выделенных для этой цели.</w:t>
      </w:r>
    </w:p>
    <w:p w:rsidR="00B92308" w:rsidRPr="00A04D9B" w:rsidRDefault="00A04D9B" w:rsidP="00A04D9B">
      <w:pPr>
        <w:snapToGrid w:val="0"/>
        <w:spacing w:after="120"/>
        <w:rPr>
          <w:szCs w:val="22"/>
          <w:lang w:val="ru-RU"/>
        </w:rPr>
      </w:pPr>
      <w:r w:rsidRPr="00913FF8">
        <w:rPr>
          <w:szCs w:val="22"/>
          <w:lang w:val="ru-RU"/>
        </w:rPr>
        <w:t>10.3</w:t>
      </w:r>
      <w:r w:rsidRPr="00913FF8">
        <w:rPr>
          <w:szCs w:val="22"/>
          <w:lang w:val="ru-RU"/>
        </w:rPr>
        <w:tab/>
        <w:t xml:space="preserve">Совет </w:t>
      </w:r>
      <w:r w:rsidRPr="00913FF8">
        <w:rPr>
          <w:b/>
          <w:bCs/>
          <w:szCs w:val="22"/>
          <w:lang w:val="ru-RU"/>
        </w:rPr>
        <w:t>принимает к сведению</w:t>
      </w:r>
      <w:r w:rsidRPr="00913FF8">
        <w:rPr>
          <w:szCs w:val="22"/>
          <w:lang w:val="ru-RU"/>
        </w:rPr>
        <w:t xml:space="preserve"> Документ </w:t>
      </w:r>
      <w:r w:rsidRPr="00913FF8">
        <w:rPr>
          <w:szCs w:val="22"/>
        </w:rPr>
        <w:t>C</w:t>
      </w:r>
      <w:r w:rsidRPr="00913FF8">
        <w:rPr>
          <w:szCs w:val="22"/>
          <w:lang w:val="ru-RU"/>
        </w:rPr>
        <w:t>17/25.</w:t>
      </w:r>
    </w:p>
    <w:p w:rsidR="00264425" w:rsidRPr="00A04D9B" w:rsidRDefault="00A04D9B" w:rsidP="00A25974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napToGrid w:val="0"/>
        <w:spacing w:before="1080"/>
        <w:rPr>
          <w:szCs w:val="22"/>
          <w:lang w:val="ru-RU"/>
        </w:rPr>
      </w:pPr>
      <w:r>
        <w:rPr>
          <w:szCs w:val="22"/>
          <w:lang w:val="ru-RU"/>
        </w:rPr>
        <w:t xml:space="preserve">Генеральный </w:t>
      </w:r>
      <w:proofErr w:type="gramStart"/>
      <w:r>
        <w:rPr>
          <w:szCs w:val="22"/>
          <w:lang w:val="ru-RU"/>
        </w:rPr>
        <w:t>секретарь</w:t>
      </w:r>
      <w:r w:rsidR="00B92308" w:rsidRPr="00A04D9B">
        <w:rPr>
          <w:szCs w:val="22"/>
          <w:lang w:val="ru-RU"/>
        </w:rPr>
        <w:t>:</w:t>
      </w:r>
      <w:r w:rsidR="00B92308" w:rsidRPr="00A04D9B">
        <w:rPr>
          <w:szCs w:val="22"/>
          <w:lang w:val="ru-RU"/>
        </w:rPr>
        <w:tab/>
      </w:r>
      <w:proofErr w:type="gramEnd"/>
      <w:r>
        <w:rPr>
          <w:szCs w:val="22"/>
          <w:lang w:val="ru-RU"/>
        </w:rPr>
        <w:t>Председатель</w:t>
      </w:r>
      <w:r w:rsidR="00B92308" w:rsidRPr="00A04D9B">
        <w:rPr>
          <w:szCs w:val="22"/>
          <w:lang w:val="ru-RU"/>
        </w:rPr>
        <w:t>:</w:t>
      </w:r>
      <w:r w:rsidR="00A25974">
        <w:rPr>
          <w:szCs w:val="22"/>
          <w:lang w:val="ru-RU"/>
        </w:rPr>
        <w:br/>
      </w:r>
      <w:r>
        <w:rPr>
          <w:szCs w:val="22"/>
          <w:lang w:val="ru-RU"/>
        </w:rPr>
        <w:t xml:space="preserve">Х. </w:t>
      </w:r>
      <w:proofErr w:type="spellStart"/>
      <w:r>
        <w:rPr>
          <w:szCs w:val="22"/>
          <w:lang w:val="ru-RU"/>
        </w:rPr>
        <w:t>ЧЖАО</w:t>
      </w:r>
      <w:proofErr w:type="spellEnd"/>
      <w:r w:rsidR="00B92308" w:rsidRPr="00A04D9B">
        <w:rPr>
          <w:szCs w:val="22"/>
          <w:lang w:val="ru-RU"/>
        </w:rPr>
        <w:tab/>
      </w:r>
      <w:r>
        <w:rPr>
          <w:szCs w:val="22"/>
          <w:lang w:val="ru-RU"/>
        </w:rPr>
        <w:t>Э. СПИНА</w:t>
      </w:r>
    </w:p>
    <w:sectPr w:rsidR="00264425" w:rsidRPr="00A04D9B" w:rsidSect="004D1851">
      <w:headerReference w:type="default" r:id="rId41"/>
      <w:footerReference w:type="default" r:id="rId42"/>
      <w:footerReference w:type="first" r:id="rId4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24" w:rsidRDefault="00392324">
      <w:r>
        <w:separator/>
      </w:r>
    </w:p>
  </w:endnote>
  <w:endnote w:type="continuationSeparator" w:id="0">
    <w:p w:rsidR="00392324" w:rsidRDefault="0039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974" w:rsidRPr="00A25974" w:rsidRDefault="00A25974" w:rsidP="00A25974">
    <w:pPr>
      <w:pStyle w:val="Footer"/>
      <w:tabs>
        <w:tab w:val="clear" w:pos="5954"/>
        <w:tab w:val="center" w:pos="6804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A25974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="00D50BAA">
      <w:rPr>
        <w:szCs w:val="16"/>
        <w:lang w:val="fr-CH"/>
      </w:rPr>
      <w:t>P:\RUS\SG\CONSEIL\C17\100\128V2R.docx</w:t>
    </w:r>
    <w:r w:rsidRPr="00275522">
      <w:rPr>
        <w:szCs w:val="16"/>
      </w:rPr>
      <w:fldChar w:fldCharType="end"/>
    </w:r>
    <w:r w:rsidRPr="00A25974">
      <w:rPr>
        <w:szCs w:val="16"/>
        <w:lang w:val="fr-CH"/>
      </w:rPr>
      <w:t xml:space="preserve"> (419332)</w:t>
    </w:r>
    <w:r w:rsidRPr="00A25974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D50BAA">
      <w:rPr>
        <w:szCs w:val="16"/>
      </w:rPr>
      <w:t>13.06.2017</w:t>
    </w:r>
    <w:r w:rsidRPr="00275522">
      <w:rPr>
        <w:szCs w:val="16"/>
      </w:rPr>
      <w:fldChar w:fldCharType="end"/>
    </w:r>
    <w:r w:rsidRPr="00A25974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D50BAA">
      <w:rPr>
        <w:szCs w:val="16"/>
      </w:rPr>
      <w:t>13.06.2017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B7" w:rsidRDefault="00031CB7">
    <w:pPr>
      <w:spacing w:after="120"/>
      <w:jc w:val="center"/>
      <w:rPr>
        <w:szCs w:val="22"/>
      </w:rPr>
    </w:pPr>
    <w:r w:rsidRPr="0018656D">
      <w:rPr>
        <w:szCs w:val="22"/>
      </w:rPr>
      <w:t xml:space="preserve">• </w:t>
    </w:r>
    <w:hyperlink r:id="rId1" w:history="1">
      <w:r w:rsidRPr="0018656D">
        <w:rPr>
          <w:rStyle w:val="Hyperlink"/>
          <w:szCs w:val="22"/>
        </w:rPr>
        <w:t>http://www.itu.int/council</w:t>
      </w:r>
    </w:hyperlink>
    <w:r w:rsidRPr="0018656D">
      <w:rPr>
        <w:szCs w:val="22"/>
      </w:rPr>
      <w:t xml:space="preserve"> •</w:t>
    </w:r>
  </w:p>
  <w:p w:rsidR="00A25974" w:rsidRPr="00A25974" w:rsidRDefault="00A25974" w:rsidP="00A25974">
    <w:pPr>
      <w:pStyle w:val="Footer"/>
      <w:tabs>
        <w:tab w:val="clear" w:pos="5954"/>
        <w:tab w:val="center" w:pos="6804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A25974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="00D50BAA">
      <w:rPr>
        <w:szCs w:val="16"/>
        <w:lang w:val="fr-CH"/>
      </w:rPr>
      <w:t>P:\RUS\SG\CONSEIL\C17\100\128V2R.docx</w:t>
    </w:r>
    <w:r w:rsidRPr="00275522">
      <w:rPr>
        <w:szCs w:val="16"/>
      </w:rPr>
      <w:fldChar w:fldCharType="end"/>
    </w:r>
    <w:r w:rsidRPr="00A25974">
      <w:rPr>
        <w:szCs w:val="16"/>
        <w:lang w:val="fr-CH"/>
      </w:rPr>
      <w:t xml:space="preserve"> (419332)</w:t>
    </w:r>
    <w:r w:rsidRPr="00A25974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D50BAA">
      <w:rPr>
        <w:szCs w:val="16"/>
      </w:rPr>
      <w:t>13.06.2017</w:t>
    </w:r>
    <w:r w:rsidRPr="00275522">
      <w:rPr>
        <w:szCs w:val="16"/>
      </w:rPr>
      <w:fldChar w:fldCharType="end"/>
    </w:r>
    <w:r w:rsidRPr="00A25974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D50BAA">
      <w:rPr>
        <w:szCs w:val="16"/>
      </w:rPr>
      <w:t>13.06.2017</w:t>
    </w:r>
    <w:r w:rsidRPr="0027552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24" w:rsidRDefault="00392324">
      <w:r>
        <w:t>____________________</w:t>
      </w:r>
    </w:p>
  </w:footnote>
  <w:footnote w:type="continuationSeparator" w:id="0">
    <w:p w:rsidR="00392324" w:rsidRDefault="0039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B7" w:rsidRDefault="00031CB7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50BAA">
      <w:rPr>
        <w:noProof/>
      </w:rPr>
      <w:t>7</w:t>
    </w:r>
    <w:r>
      <w:rPr>
        <w:noProof/>
      </w:rPr>
      <w:fldChar w:fldCharType="end"/>
    </w:r>
  </w:p>
  <w:p w:rsidR="00031CB7" w:rsidRDefault="00031CB7" w:rsidP="005243FF">
    <w:pPr>
      <w:pStyle w:val="Header"/>
    </w:pPr>
    <w:proofErr w:type="spellStart"/>
    <w:r>
      <w:t>C17</w:t>
    </w:r>
    <w:proofErr w:type="spellEnd"/>
    <w:r>
      <w:t>/128-R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08"/>
    <w:rsid w:val="000210D4"/>
    <w:rsid w:val="00031CB7"/>
    <w:rsid w:val="000436D3"/>
    <w:rsid w:val="00054FB2"/>
    <w:rsid w:val="00063016"/>
    <w:rsid w:val="00066795"/>
    <w:rsid w:val="00076AF6"/>
    <w:rsid w:val="00085CF2"/>
    <w:rsid w:val="000B1705"/>
    <w:rsid w:val="000B2E30"/>
    <w:rsid w:val="000C49A4"/>
    <w:rsid w:val="000D75B2"/>
    <w:rsid w:val="000F379D"/>
    <w:rsid w:val="001121F5"/>
    <w:rsid w:val="001400DC"/>
    <w:rsid w:val="00140CE1"/>
    <w:rsid w:val="0017539C"/>
    <w:rsid w:val="00175AC2"/>
    <w:rsid w:val="0017609F"/>
    <w:rsid w:val="0018656D"/>
    <w:rsid w:val="001A65ED"/>
    <w:rsid w:val="001C628E"/>
    <w:rsid w:val="001E0F7B"/>
    <w:rsid w:val="00201121"/>
    <w:rsid w:val="002119FD"/>
    <w:rsid w:val="002130E0"/>
    <w:rsid w:val="00262009"/>
    <w:rsid w:val="00264425"/>
    <w:rsid w:val="00265875"/>
    <w:rsid w:val="0027303B"/>
    <w:rsid w:val="0028109B"/>
    <w:rsid w:val="00295F9F"/>
    <w:rsid w:val="002B1F58"/>
    <w:rsid w:val="002C1C7A"/>
    <w:rsid w:val="0030160F"/>
    <w:rsid w:val="00322D0D"/>
    <w:rsid w:val="003239A7"/>
    <w:rsid w:val="00347EDF"/>
    <w:rsid w:val="00392324"/>
    <w:rsid w:val="003942D4"/>
    <w:rsid w:val="003958A8"/>
    <w:rsid w:val="003B0952"/>
    <w:rsid w:val="003C2533"/>
    <w:rsid w:val="0040435A"/>
    <w:rsid w:val="004054D9"/>
    <w:rsid w:val="00416A24"/>
    <w:rsid w:val="00431D9E"/>
    <w:rsid w:val="00433CE8"/>
    <w:rsid w:val="00434A5C"/>
    <w:rsid w:val="004544D9"/>
    <w:rsid w:val="00490E72"/>
    <w:rsid w:val="00491157"/>
    <w:rsid w:val="004921C8"/>
    <w:rsid w:val="004C1D2F"/>
    <w:rsid w:val="004D1851"/>
    <w:rsid w:val="004D599D"/>
    <w:rsid w:val="004E2EA5"/>
    <w:rsid w:val="004E3AEB"/>
    <w:rsid w:val="0050223C"/>
    <w:rsid w:val="005243FF"/>
    <w:rsid w:val="00533038"/>
    <w:rsid w:val="005351A7"/>
    <w:rsid w:val="0054240C"/>
    <w:rsid w:val="00555DEC"/>
    <w:rsid w:val="00564FBC"/>
    <w:rsid w:val="00582442"/>
    <w:rsid w:val="005B3546"/>
    <w:rsid w:val="005D6651"/>
    <w:rsid w:val="00611C0B"/>
    <w:rsid w:val="006325B5"/>
    <w:rsid w:val="0064737F"/>
    <w:rsid w:val="00650CD0"/>
    <w:rsid w:val="006535F1"/>
    <w:rsid w:val="0065557D"/>
    <w:rsid w:val="00662984"/>
    <w:rsid w:val="006716BB"/>
    <w:rsid w:val="006903F6"/>
    <w:rsid w:val="006B389B"/>
    <w:rsid w:val="006B6680"/>
    <w:rsid w:val="006B6C62"/>
    <w:rsid w:val="006B6DCC"/>
    <w:rsid w:val="00702DEF"/>
    <w:rsid w:val="00706861"/>
    <w:rsid w:val="0075051B"/>
    <w:rsid w:val="00785EB7"/>
    <w:rsid w:val="00794D34"/>
    <w:rsid w:val="007A2267"/>
    <w:rsid w:val="00813E5E"/>
    <w:rsid w:val="0083581B"/>
    <w:rsid w:val="00864AFF"/>
    <w:rsid w:val="008B4A6A"/>
    <w:rsid w:val="008C539C"/>
    <w:rsid w:val="008C7E27"/>
    <w:rsid w:val="009173EF"/>
    <w:rsid w:val="009256A3"/>
    <w:rsid w:val="00932906"/>
    <w:rsid w:val="009571C0"/>
    <w:rsid w:val="00961B0B"/>
    <w:rsid w:val="00980F1D"/>
    <w:rsid w:val="009A44AD"/>
    <w:rsid w:val="009B38C3"/>
    <w:rsid w:val="009E17BD"/>
    <w:rsid w:val="00A04CEC"/>
    <w:rsid w:val="00A04D9B"/>
    <w:rsid w:val="00A23F5E"/>
    <w:rsid w:val="00A25974"/>
    <w:rsid w:val="00A27F92"/>
    <w:rsid w:val="00A32257"/>
    <w:rsid w:val="00A36D20"/>
    <w:rsid w:val="00A54D09"/>
    <w:rsid w:val="00A55622"/>
    <w:rsid w:val="00A83502"/>
    <w:rsid w:val="00A875CA"/>
    <w:rsid w:val="00AD15B3"/>
    <w:rsid w:val="00AD6693"/>
    <w:rsid w:val="00AE621E"/>
    <w:rsid w:val="00AF6E49"/>
    <w:rsid w:val="00B04A67"/>
    <w:rsid w:val="00B0583C"/>
    <w:rsid w:val="00B323CE"/>
    <w:rsid w:val="00B40A81"/>
    <w:rsid w:val="00B44910"/>
    <w:rsid w:val="00B65CB3"/>
    <w:rsid w:val="00B72267"/>
    <w:rsid w:val="00B76EB6"/>
    <w:rsid w:val="00B7737B"/>
    <w:rsid w:val="00B824C8"/>
    <w:rsid w:val="00B92308"/>
    <w:rsid w:val="00BC251A"/>
    <w:rsid w:val="00BD032B"/>
    <w:rsid w:val="00BE2640"/>
    <w:rsid w:val="00BF00B6"/>
    <w:rsid w:val="00C01189"/>
    <w:rsid w:val="00C374DE"/>
    <w:rsid w:val="00C47AD4"/>
    <w:rsid w:val="00C52D81"/>
    <w:rsid w:val="00C55198"/>
    <w:rsid w:val="00CA6393"/>
    <w:rsid w:val="00CB18FF"/>
    <w:rsid w:val="00CB1B08"/>
    <w:rsid w:val="00CD0C08"/>
    <w:rsid w:val="00CD2DEA"/>
    <w:rsid w:val="00CE03FB"/>
    <w:rsid w:val="00CE433C"/>
    <w:rsid w:val="00CF33F3"/>
    <w:rsid w:val="00D06183"/>
    <w:rsid w:val="00D128BF"/>
    <w:rsid w:val="00D22C42"/>
    <w:rsid w:val="00D47959"/>
    <w:rsid w:val="00D50BAA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3337C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B551452-F07D-4B27-8C35-5CAD5331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B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2597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A2597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25974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A2597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A25974"/>
    <w:pPr>
      <w:outlineLvl w:val="4"/>
    </w:pPr>
  </w:style>
  <w:style w:type="paragraph" w:styleId="Heading6">
    <w:name w:val="heading 6"/>
    <w:basedOn w:val="Heading4"/>
    <w:next w:val="Normal"/>
    <w:qFormat/>
    <w:rsid w:val="00A25974"/>
    <w:pPr>
      <w:outlineLvl w:val="5"/>
    </w:pPr>
  </w:style>
  <w:style w:type="paragraph" w:styleId="Heading7">
    <w:name w:val="heading 7"/>
    <w:basedOn w:val="Heading6"/>
    <w:next w:val="Normal"/>
    <w:qFormat/>
    <w:rsid w:val="00A25974"/>
    <w:pPr>
      <w:outlineLvl w:val="6"/>
    </w:pPr>
  </w:style>
  <w:style w:type="paragraph" w:styleId="Heading8">
    <w:name w:val="heading 8"/>
    <w:basedOn w:val="Heading6"/>
    <w:next w:val="Normal"/>
    <w:qFormat/>
    <w:rsid w:val="00A25974"/>
    <w:pPr>
      <w:outlineLvl w:val="7"/>
    </w:pPr>
  </w:style>
  <w:style w:type="paragraph" w:styleId="Heading9">
    <w:name w:val="heading 9"/>
    <w:basedOn w:val="Heading6"/>
    <w:next w:val="Normal"/>
    <w:qFormat/>
    <w:rsid w:val="00A259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A25974"/>
  </w:style>
  <w:style w:type="paragraph" w:styleId="TOC4">
    <w:name w:val="toc 4"/>
    <w:basedOn w:val="TOC3"/>
    <w:rsid w:val="00A25974"/>
    <w:pPr>
      <w:spacing w:before="80"/>
    </w:pPr>
  </w:style>
  <w:style w:type="paragraph" w:styleId="TOC3">
    <w:name w:val="toc 3"/>
    <w:basedOn w:val="TOC2"/>
    <w:rsid w:val="00A25974"/>
  </w:style>
  <w:style w:type="paragraph" w:styleId="TOC2">
    <w:name w:val="toc 2"/>
    <w:basedOn w:val="TOC1"/>
    <w:rsid w:val="00A25974"/>
    <w:pPr>
      <w:spacing w:before="160"/>
    </w:pPr>
  </w:style>
  <w:style w:type="paragraph" w:styleId="TOC1">
    <w:name w:val="toc 1"/>
    <w:basedOn w:val="Normal"/>
    <w:rsid w:val="00A2597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25974"/>
  </w:style>
  <w:style w:type="paragraph" w:styleId="TOC6">
    <w:name w:val="toc 6"/>
    <w:basedOn w:val="TOC4"/>
    <w:rsid w:val="00A25974"/>
  </w:style>
  <w:style w:type="paragraph" w:styleId="TOC5">
    <w:name w:val="toc 5"/>
    <w:basedOn w:val="TOC4"/>
    <w:rsid w:val="00A25974"/>
  </w:style>
  <w:style w:type="paragraph" w:styleId="Index7">
    <w:name w:val="index 7"/>
    <w:basedOn w:val="Normal"/>
    <w:next w:val="Normal"/>
    <w:rsid w:val="00A25974"/>
    <w:pPr>
      <w:ind w:left="1698"/>
    </w:pPr>
  </w:style>
  <w:style w:type="paragraph" w:styleId="Index6">
    <w:name w:val="index 6"/>
    <w:basedOn w:val="Normal"/>
    <w:next w:val="Normal"/>
    <w:rsid w:val="00A25974"/>
    <w:pPr>
      <w:ind w:left="1415"/>
    </w:pPr>
  </w:style>
  <w:style w:type="paragraph" w:styleId="Index5">
    <w:name w:val="index 5"/>
    <w:basedOn w:val="Normal"/>
    <w:next w:val="Normal"/>
    <w:rsid w:val="00A25974"/>
    <w:pPr>
      <w:ind w:left="1132"/>
    </w:pPr>
  </w:style>
  <w:style w:type="paragraph" w:styleId="Index4">
    <w:name w:val="index 4"/>
    <w:basedOn w:val="Normal"/>
    <w:next w:val="Normal"/>
    <w:rsid w:val="00A25974"/>
    <w:pPr>
      <w:ind w:left="849"/>
    </w:pPr>
  </w:style>
  <w:style w:type="paragraph" w:styleId="Index3">
    <w:name w:val="index 3"/>
    <w:basedOn w:val="Normal"/>
    <w:next w:val="Normal"/>
    <w:rsid w:val="00A25974"/>
    <w:pPr>
      <w:ind w:left="566"/>
    </w:pPr>
  </w:style>
  <w:style w:type="paragraph" w:styleId="Index2">
    <w:name w:val="index 2"/>
    <w:basedOn w:val="Normal"/>
    <w:next w:val="Normal"/>
    <w:rsid w:val="00A25974"/>
    <w:pPr>
      <w:ind w:left="283"/>
    </w:pPr>
  </w:style>
  <w:style w:type="paragraph" w:styleId="Index1">
    <w:name w:val="index 1"/>
    <w:basedOn w:val="Normal"/>
    <w:next w:val="Normal"/>
    <w:rsid w:val="00A25974"/>
  </w:style>
  <w:style w:type="character" w:styleId="LineNumber">
    <w:name w:val="line number"/>
    <w:basedOn w:val="DefaultParagraphFont"/>
    <w:rsid w:val="00A25974"/>
  </w:style>
  <w:style w:type="paragraph" w:styleId="IndexHeading">
    <w:name w:val="index heading"/>
    <w:basedOn w:val="Normal"/>
    <w:next w:val="Index1"/>
    <w:rsid w:val="00A25974"/>
  </w:style>
  <w:style w:type="paragraph" w:styleId="Footer">
    <w:name w:val="footer"/>
    <w:basedOn w:val="Normal"/>
    <w:link w:val="FooterChar"/>
    <w:rsid w:val="00A259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A259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A25974"/>
    <w:rPr>
      <w:position w:val="6"/>
      <w:sz w:val="16"/>
    </w:rPr>
  </w:style>
  <w:style w:type="paragraph" w:styleId="FootnoteText">
    <w:name w:val="footnote text"/>
    <w:basedOn w:val="Normal"/>
    <w:rsid w:val="00A2597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A25974"/>
    <w:pPr>
      <w:ind w:left="794"/>
    </w:pPr>
  </w:style>
  <w:style w:type="paragraph" w:customStyle="1" w:styleId="enumlev1">
    <w:name w:val="enumlev1"/>
    <w:basedOn w:val="Normal"/>
    <w:rsid w:val="00A2597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25974"/>
    <w:pPr>
      <w:ind w:left="1191" w:hanging="397"/>
    </w:pPr>
  </w:style>
  <w:style w:type="paragraph" w:customStyle="1" w:styleId="enumlev3">
    <w:name w:val="enumlev3"/>
    <w:basedOn w:val="enumlev2"/>
    <w:rsid w:val="00A25974"/>
    <w:pPr>
      <w:ind w:left="1588"/>
    </w:pPr>
  </w:style>
  <w:style w:type="paragraph" w:customStyle="1" w:styleId="Normalaftertitle">
    <w:name w:val="Normal after title"/>
    <w:basedOn w:val="Normal"/>
    <w:next w:val="Normal"/>
    <w:rsid w:val="00A25974"/>
    <w:pPr>
      <w:spacing w:before="320"/>
    </w:pPr>
  </w:style>
  <w:style w:type="paragraph" w:customStyle="1" w:styleId="Equation">
    <w:name w:val="Equation"/>
    <w:basedOn w:val="Normal"/>
    <w:rsid w:val="00A259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2597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2597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A259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A259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A25974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25974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2597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25974"/>
  </w:style>
  <w:style w:type="paragraph" w:customStyle="1" w:styleId="Data">
    <w:name w:val="Data"/>
    <w:basedOn w:val="Subject"/>
    <w:next w:val="Subject"/>
    <w:rsid w:val="00A25974"/>
  </w:style>
  <w:style w:type="paragraph" w:customStyle="1" w:styleId="Reasons">
    <w:name w:val="Reasons"/>
    <w:basedOn w:val="Normal"/>
    <w:rsid w:val="00A259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A25974"/>
    <w:rPr>
      <w:color w:val="0000FF"/>
      <w:u w:val="single"/>
    </w:rPr>
  </w:style>
  <w:style w:type="paragraph" w:customStyle="1" w:styleId="FirstFooter">
    <w:name w:val="FirstFooter"/>
    <w:basedOn w:val="Footer"/>
    <w:rsid w:val="00A259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2597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A25974"/>
  </w:style>
  <w:style w:type="paragraph" w:customStyle="1" w:styleId="Headingb">
    <w:name w:val="Heading_b"/>
    <w:basedOn w:val="Heading3"/>
    <w:next w:val="Normal"/>
    <w:rsid w:val="00A2597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A25974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259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259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2597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25974"/>
    <w:rPr>
      <w:b/>
    </w:rPr>
  </w:style>
  <w:style w:type="paragraph" w:customStyle="1" w:styleId="dnum">
    <w:name w:val="dnum"/>
    <w:basedOn w:val="Normal"/>
    <w:rsid w:val="00A2597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2597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2597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259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2597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25974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25974"/>
  </w:style>
  <w:style w:type="paragraph" w:customStyle="1" w:styleId="Appendixtitle">
    <w:name w:val="Appendix_title"/>
    <w:basedOn w:val="Annextitle"/>
    <w:next w:val="Appendixref"/>
    <w:rsid w:val="00A25974"/>
  </w:style>
  <w:style w:type="paragraph" w:customStyle="1" w:styleId="Appendixref">
    <w:name w:val="Appendix_ref"/>
    <w:basedOn w:val="Annexref"/>
    <w:next w:val="Normalaftertitle"/>
    <w:rsid w:val="00A25974"/>
  </w:style>
  <w:style w:type="paragraph" w:customStyle="1" w:styleId="Call">
    <w:name w:val="Call"/>
    <w:basedOn w:val="Normal"/>
    <w:next w:val="Normal"/>
    <w:rsid w:val="00A25974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A259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25974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25974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25974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25974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259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259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25974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25974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25974"/>
    <w:pPr>
      <w:spacing w:before="160"/>
    </w:pPr>
    <w:rPr>
      <w:b w:val="0"/>
    </w:rPr>
  </w:style>
  <w:style w:type="character" w:styleId="PageNumber">
    <w:name w:val="page number"/>
    <w:basedOn w:val="DefaultParagraphFont"/>
    <w:rsid w:val="00A2597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25974"/>
  </w:style>
  <w:style w:type="paragraph" w:customStyle="1" w:styleId="Parttitle">
    <w:name w:val="Part_title"/>
    <w:basedOn w:val="Annextitle"/>
    <w:next w:val="Partref"/>
    <w:rsid w:val="00A25974"/>
  </w:style>
  <w:style w:type="paragraph" w:customStyle="1" w:styleId="Partref">
    <w:name w:val="Part_ref"/>
    <w:basedOn w:val="Annexref"/>
    <w:next w:val="Normalaftertitle"/>
    <w:rsid w:val="00A25974"/>
  </w:style>
  <w:style w:type="paragraph" w:customStyle="1" w:styleId="RecNo">
    <w:name w:val="Rec_No"/>
    <w:basedOn w:val="Normal"/>
    <w:next w:val="Rectitle"/>
    <w:rsid w:val="00A259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2597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259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2597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5974"/>
  </w:style>
  <w:style w:type="paragraph" w:customStyle="1" w:styleId="QuestionNo">
    <w:name w:val="Question_No"/>
    <w:basedOn w:val="RecNo"/>
    <w:next w:val="Questiontitle"/>
    <w:rsid w:val="00A25974"/>
  </w:style>
  <w:style w:type="paragraph" w:customStyle="1" w:styleId="Questionref">
    <w:name w:val="Question_ref"/>
    <w:basedOn w:val="Recref"/>
    <w:next w:val="Questiondate"/>
    <w:rsid w:val="00A25974"/>
  </w:style>
  <w:style w:type="paragraph" w:customStyle="1" w:styleId="Questiontitle">
    <w:name w:val="Question_title"/>
    <w:basedOn w:val="Rectitle"/>
    <w:next w:val="Questionref"/>
    <w:rsid w:val="00A25974"/>
  </w:style>
  <w:style w:type="paragraph" w:customStyle="1" w:styleId="Reftext">
    <w:name w:val="Ref_text"/>
    <w:basedOn w:val="Normal"/>
    <w:rsid w:val="00A25974"/>
    <w:pPr>
      <w:ind w:left="794" w:hanging="794"/>
    </w:pPr>
  </w:style>
  <w:style w:type="paragraph" w:customStyle="1" w:styleId="Reftitle">
    <w:name w:val="Ref_title"/>
    <w:basedOn w:val="Normal"/>
    <w:next w:val="Reftext"/>
    <w:rsid w:val="00A2597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25974"/>
  </w:style>
  <w:style w:type="paragraph" w:customStyle="1" w:styleId="RepNo">
    <w:name w:val="Rep_No"/>
    <w:basedOn w:val="RecNo"/>
    <w:next w:val="Reptitle"/>
    <w:rsid w:val="00A25974"/>
  </w:style>
  <w:style w:type="paragraph" w:customStyle="1" w:styleId="Reptitle">
    <w:name w:val="Rep_title"/>
    <w:basedOn w:val="Rectitle"/>
    <w:next w:val="Repref"/>
    <w:rsid w:val="00A25974"/>
  </w:style>
  <w:style w:type="paragraph" w:customStyle="1" w:styleId="Repref">
    <w:name w:val="Rep_ref"/>
    <w:basedOn w:val="Recref"/>
    <w:next w:val="Repdate"/>
    <w:rsid w:val="00A25974"/>
  </w:style>
  <w:style w:type="paragraph" w:customStyle="1" w:styleId="Resdate">
    <w:name w:val="Res_date"/>
    <w:basedOn w:val="Recdate"/>
    <w:next w:val="Normalaftertitle"/>
    <w:rsid w:val="00A25974"/>
  </w:style>
  <w:style w:type="paragraph" w:customStyle="1" w:styleId="ResNo">
    <w:name w:val="Res_No"/>
    <w:basedOn w:val="RecNo"/>
    <w:next w:val="Restitle"/>
    <w:rsid w:val="00A25974"/>
  </w:style>
  <w:style w:type="paragraph" w:customStyle="1" w:styleId="Restitle">
    <w:name w:val="Res_title"/>
    <w:basedOn w:val="Rectitle"/>
    <w:next w:val="Resref"/>
    <w:rsid w:val="00A25974"/>
  </w:style>
  <w:style w:type="paragraph" w:customStyle="1" w:styleId="Resref">
    <w:name w:val="Res_ref"/>
    <w:basedOn w:val="Recref"/>
    <w:next w:val="Resdate"/>
    <w:rsid w:val="00A25974"/>
  </w:style>
  <w:style w:type="paragraph" w:customStyle="1" w:styleId="SectionNo">
    <w:name w:val="Section_No"/>
    <w:basedOn w:val="AnnexNo"/>
    <w:next w:val="Sectiontitle"/>
    <w:rsid w:val="00A25974"/>
  </w:style>
  <w:style w:type="paragraph" w:customStyle="1" w:styleId="Sectiontitle">
    <w:name w:val="Section_title"/>
    <w:basedOn w:val="Normal"/>
    <w:next w:val="Normalaftertitle"/>
    <w:rsid w:val="00A25974"/>
    <w:rPr>
      <w:sz w:val="26"/>
    </w:rPr>
  </w:style>
  <w:style w:type="paragraph" w:customStyle="1" w:styleId="SpecialFooter">
    <w:name w:val="Special Footer"/>
    <w:basedOn w:val="Footer"/>
    <w:rsid w:val="00A259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2597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25974"/>
    <w:pPr>
      <w:spacing w:before="120"/>
    </w:pPr>
  </w:style>
  <w:style w:type="paragraph" w:customStyle="1" w:styleId="Tableref">
    <w:name w:val="Table_ref"/>
    <w:basedOn w:val="Normal"/>
    <w:next w:val="Tabletitle"/>
    <w:rsid w:val="00A25974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2597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2597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25974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25974"/>
    <w:rPr>
      <w:b/>
    </w:rPr>
  </w:style>
  <w:style w:type="paragraph" w:customStyle="1" w:styleId="Chaptitle">
    <w:name w:val="Chap_title"/>
    <w:basedOn w:val="Arttitle"/>
    <w:next w:val="Normalaftertitle"/>
    <w:rsid w:val="00A25974"/>
  </w:style>
  <w:style w:type="paragraph" w:customStyle="1" w:styleId="Table">
    <w:name w:val="Table_#"/>
    <w:basedOn w:val="Normal"/>
    <w:next w:val="Normal"/>
    <w:rsid w:val="00B9230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odyText">
    <w:name w:val="Body Text"/>
    <w:basedOn w:val="Normal"/>
    <w:link w:val="BodyTextChar"/>
    <w:uiPriority w:val="99"/>
    <w:unhideWhenUsed/>
    <w:rsid w:val="00B92308"/>
    <w:pPr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B92308"/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F379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379D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5974"/>
    <w:rPr>
      <w:rFonts w:ascii="Calibri" w:hAnsi="Calibri"/>
      <w:caps/>
      <w:noProof/>
      <w:sz w:val="16"/>
      <w:lang w:val="fr-FR" w:eastAsia="en-US"/>
    </w:rPr>
  </w:style>
  <w:style w:type="paragraph" w:customStyle="1" w:styleId="docnoted">
    <w:name w:val="docnoted"/>
    <w:basedOn w:val="Normal"/>
    <w:next w:val="Head"/>
    <w:rsid w:val="00A259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A25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111/en" TargetMode="External"/><Relationship Id="rId18" Type="http://schemas.openxmlformats.org/officeDocument/2006/relationships/hyperlink" Target="https://www.itu.int/md/S17-CL-C-0032/en" TargetMode="External"/><Relationship Id="rId26" Type="http://schemas.openxmlformats.org/officeDocument/2006/relationships/hyperlink" Target="https://www.itu.int/md/S17-CL-C-0065/en" TargetMode="External"/><Relationship Id="rId39" Type="http://schemas.openxmlformats.org/officeDocument/2006/relationships/hyperlink" Target="https://www.itu.int/md/S17-CL-170515-TD-GEN-0004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7-CL-C-0068/en" TargetMode="External"/><Relationship Id="rId34" Type="http://schemas.openxmlformats.org/officeDocument/2006/relationships/hyperlink" Target="https://www.itu.int/md/S17-CL-C-00632/en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94/en" TargetMode="External"/><Relationship Id="rId17" Type="http://schemas.openxmlformats.org/officeDocument/2006/relationships/hyperlink" Target="https://www.itu.int/md/S17-CL-C-0031/en" TargetMode="External"/><Relationship Id="rId25" Type="http://schemas.openxmlformats.org/officeDocument/2006/relationships/hyperlink" Target="https://www.itu.int/md/S17-CL-C-0059/en" TargetMode="External"/><Relationship Id="rId33" Type="http://schemas.openxmlformats.org/officeDocument/2006/relationships/hyperlink" Target="https://www.itu.int/md/S17-CL-C-0031/en" TargetMode="External"/><Relationship Id="rId38" Type="http://schemas.openxmlformats.org/officeDocument/2006/relationships/hyperlink" Target="https://www.itu.int/md/S17-CL-C-007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30/en" TargetMode="External"/><Relationship Id="rId20" Type="http://schemas.openxmlformats.org/officeDocument/2006/relationships/hyperlink" Target="https://www.itu.int/md/S17-CL-C-0023/en" TargetMode="External"/><Relationship Id="rId29" Type="http://schemas.openxmlformats.org/officeDocument/2006/relationships/hyperlink" Target="https://www.itu.int/md/S17-CL-C-0111/en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36/en" TargetMode="External"/><Relationship Id="rId24" Type="http://schemas.openxmlformats.org/officeDocument/2006/relationships/hyperlink" Target="https://www.itu.int/md/S17-CL-C-0025/en" TargetMode="External"/><Relationship Id="rId32" Type="http://schemas.openxmlformats.org/officeDocument/2006/relationships/hyperlink" Target="https://www.itu.int/md/S17-CL-C-0030/en" TargetMode="External"/><Relationship Id="rId37" Type="http://schemas.openxmlformats.org/officeDocument/2006/relationships/hyperlink" Target="https://www.itu.int/md/S17-CL-C-0068/en" TargetMode="External"/><Relationship Id="rId40" Type="http://schemas.openxmlformats.org/officeDocument/2006/relationships/hyperlink" Target="https://www.itu.int/md/S17-CL-C-0025/e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029/en" TargetMode="External"/><Relationship Id="rId23" Type="http://schemas.openxmlformats.org/officeDocument/2006/relationships/hyperlink" Target="https://www.itu.int/md/S17-CL-170515-TD-GEN-0004/en" TargetMode="External"/><Relationship Id="rId28" Type="http://schemas.openxmlformats.org/officeDocument/2006/relationships/hyperlink" Target="https://www.itu.int/md/S17-CL-C-0094/en" TargetMode="External"/><Relationship Id="rId36" Type="http://schemas.openxmlformats.org/officeDocument/2006/relationships/hyperlink" Target="https://www.itu.int/md/S17-CL-C-0023/en" TargetMode="External"/><Relationship Id="rId10" Type="http://schemas.openxmlformats.org/officeDocument/2006/relationships/hyperlink" Target="https://www.itu.int/md/S17-CL-C-0065/en" TargetMode="External"/><Relationship Id="rId19" Type="http://schemas.openxmlformats.org/officeDocument/2006/relationships/hyperlink" Target="https://www.itu.int/md/S17-CL-C-0024/en" TargetMode="External"/><Relationship Id="rId31" Type="http://schemas.openxmlformats.org/officeDocument/2006/relationships/hyperlink" Target="https://www.itu.int/md/S17-CL-C-0029/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59/en" TargetMode="External"/><Relationship Id="rId14" Type="http://schemas.openxmlformats.org/officeDocument/2006/relationships/hyperlink" Target="https://www.itu.int/md/S17-CL-C-0028/en" TargetMode="External"/><Relationship Id="rId22" Type="http://schemas.openxmlformats.org/officeDocument/2006/relationships/hyperlink" Target="https://www.itu.int/md/S17-CL-C-0072/en" TargetMode="External"/><Relationship Id="rId27" Type="http://schemas.openxmlformats.org/officeDocument/2006/relationships/hyperlink" Target="https://www.itu.int/md/S17-CL-C-0036/en" TargetMode="External"/><Relationship Id="rId30" Type="http://schemas.openxmlformats.org/officeDocument/2006/relationships/hyperlink" Target="https://www.itu.int/md/S17-CL-C-0028/en" TargetMode="External"/><Relationship Id="rId35" Type="http://schemas.openxmlformats.org/officeDocument/2006/relationships/hyperlink" Target="https://www.itu.int/md/S17-CL-C-0024/en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35EC-BAD7-4DC4-9199-320453C0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25</TotalTime>
  <Pages>7</Pages>
  <Words>2594</Words>
  <Characters>19420</Characters>
  <Application>Microsoft Office Word</Application>
  <DocSecurity>0</DocSecurity>
  <Lines>161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record of the seventh Plenary meeting</vt:lpstr>
      <vt:lpstr>Summary record of the seventh Plenary meeting</vt:lpstr>
    </vt:vector>
  </TitlesOfParts>
  <Manager>General Secretariat - Pool</Manager>
  <Company>International Telecommunication Union (ITU)</Company>
  <LinksUpToDate>false</LinksUpToDate>
  <CharactersWithSpaces>21971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seventh Plenary meeting</dc:title>
  <dc:subject>Council 2017</dc:subject>
  <dc:creator>Brouard, Ricarda</dc:creator>
  <cp:keywords>C2017, C17</cp:keywords>
  <cp:lastModifiedBy>Maloletkova, Svetlana</cp:lastModifiedBy>
  <cp:revision>6</cp:revision>
  <cp:lastPrinted>2017-06-13T09:35:00Z</cp:lastPrinted>
  <dcterms:created xsi:type="dcterms:W3CDTF">2017-06-13T15:33:00Z</dcterms:created>
  <dcterms:modified xsi:type="dcterms:W3CDTF">2017-06-28T10:12:00Z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