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90"/>
        <w:tblW w:w="10173" w:type="dxa"/>
        <w:tblLayout w:type="fixed"/>
        <w:tblLook w:val="0000" w:firstRow="0" w:lastRow="0" w:firstColumn="0" w:lastColumn="0" w:noHBand="0" w:noVBand="0"/>
      </w:tblPr>
      <w:tblGrid>
        <w:gridCol w:w="6912"/>
        <w:gridCol w:w="3261"/>
      </w:tblGrid>
      <w:tr w:rsidR="00520F36" w:rsidRPr="00D03A47">
        <w:trPr>
          <w:cantSplit/>
        </w:trPr>
        <w:tc>
          <w:tcPr>
            <w:tcW w:w="6912" w:type="dxa"/>
          </w:tcPr>
          <w:p w:rsidR="00520F36" w:rsidRPr="00D03A47" w:rsidRDefault="00520F36" w:rsidP="00EB4203">
            <w:pPr>
              <w:spacing w:before="360"/>
            </w:pPr>
            <w:bookmarkStart w:id="0" w:name="dc06"/>
            <w:bookmarkStart w:id="1" w:name="_GoBack"/>
            <w:bookmarkEnd w:id="0"/>
            <w:bookmarkEnd w:id="1"/>
            <w:r w:rsidRPr="00D03A47">
              <w:rPr>
                <w:b/>
                <w:bCs/>
                <w:sz w:val="30"/>
                <w:szCs w:val="30"/>
              </w:rPr>
              <w:t>Conseil 2017</w:t>
            </w:r>
            <w:r w:rsidRPr="00D03A47">
              <w:rPr>
                <w:rFonts w:ascii="Verdana" w:hAnsi="Verdana"/>
                <w:b/>
                <w:bCs/>
                <w:sz w:val="26"/>
                <w:szCs w:val="26"/>
              </w:rPr>
              <w:br/>
            </w:r>
            <w:r w:rsidRPr="00D03A47">
              <w:rPr>
                <w:b/>
                <w:bCs/>
                <w:szCs w:val="24"/>
              </w:rPr>
              <w:t>Genève, 15-25 mai 2017</w:t>
            </w:r>
          </w:p>
        </w:tc>
        <w:tc>
          <w:tcPr>
            <w:tcW w:w="3261" w:type="dxa"/>
          </w:tcPr>
          <w:p w:rsidR="00520F36" w:rsidRPr="00D03A47" w:rsidRDefault="00520F36" w:rsidP="00EB4203">
            <w:pPr>
              <w:spacing w:before="0"/>
              <w:jc w:val="right"/>
            </w:pPr>
            <w:bookmarkStart w:id="2" w:name="ditulogo"/>
            <w:bookmarkEnd w:id="2"/>
            <w:r w:rsidRPr="00D03A47">
              <w:rPr>
                <w:rFonts w:cstheme="minorHAnsi"/>
                <w:b/>
                <w:bCs/>
                <w:noProof/>
                <w:lang w:val="en-GB" w:eastAsia="zh-CN"/>
              </w:rPr>
              <w:drawing>
                <wp:inline distT="0" distB="0" distL="0" distR="0" wp14:anchorId="483F5B98" wp14:editId="41A9B441">
                  <wp:extent cx="1781175" cy="695325"/>
                  <wp:effectExtent l="0" t="0" r="9525" b="9525"/>
                  <wp:docPr id="3" name="Picture 3" descr="logo_F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F_"/>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81175" cy="695325"/>
                          </a:xfrm>
                          <a:prstGeom prst="rect">
                            <a:avLst/>
                          </a:prstGeom>
                          <a:noFill/>
                          <a:ln>
                            <a:noFill/>
                          </a:ln>
                        </pic:spPr>
                      </pic:pic>
                    </a:graphicData>
                  </a:graphic>
                </wp:inline>
              </w:drawing>
            </w:r>
          </w:p>
        </w:tc>
      </w:tr>
      <w:tr w:rsidR="00520F36" w:rsidRPr="00D03A47" w:rsidTr="00EF41DD">
        <w:trPr>
          <w:cantSplit/>
          <w:trHeight w:val="20"/>
        </w:trPr>
        <w:tc>
          <w:tcPr>
            <w:tcW w:w="6912" w:type="dxa"/>
            <w:tcBorders>
              <w:bottom w:val="single" w:sz="12" w:space="0" w:color="auto"/>
            </w:tcBorders>
            <w:vAlign w:val="center"/>
          </w:tcPr>
          <w:p w:rsidR="00520F36" w:rsidRPr="00D03A47" w:rsidRDefault="00520F36" w:rsidP="00EB4203">
            <w:pPr>
              <w:spacing w:before="0"/>
              <w:rPr>
                <w:b/>
                <w:bCs/>
                <w:sz w:val="26"/>
                <w:szCs w:val="26"/>
              </w:rPr>
            </w:pPr>
          </w:p>
        </w:tc>
        <w:tc>
          <w:tcPr>
            <w:tcW w:w="3261" w:type="dxa"/>
            <w:tcBorders>
              <w:bottom w:val="single" w:sz="12" w:space="0" w:color="auto"/>
            </w:tcBorders>
          </w:tcPr>
          <w:p w:rsidR="00520F36" w:rsidRPr="00D03A47" w:rsidRDefault="00520F36" w:rsidP="00EB4203">
            <w:pPr>
              <w:spacing w:before="0"/>
              <w:rPr>
                <w:b/>
                <w:bCs/>
              </w:rPr>
            </w:pPr>
          </w:p>
        </w:tc>
      </w:tr>
      <w:tr w:rsidR="00520F36" w:rsidRPr="00D03A47">
        <w:trPr>
          <w:cantSplit/>
          <w:trHeight w:val="20"/>
        </w:trPr>
        <w:tc>
          <w:tcPr>
            <w:tcW w:w="6912" w:type="dxa"/>
            <w:tcBorders>
              <w:top w:val="single" w:sz="12" w:space="0" w:color="auto"/>
            </w:tcBorders>
          </w:tcPr>
          <w:p w:rsidR="00520F36" w:rsidRPr="00D03A47" w:rsidRDefault="00520F36" w:rsidP="00EB4203">
            <w:pPr>
              <w:spacing w:before="0"/>
              <w:rPr>
                <w:smallCaps/>
                <w:sz w:val="22"/>
              </w:rPr>
            </w:pPr>
          </w:p>
        </w:tc>
        <w:tc>
          <w:tcPr>
            <w:tcW w:w="3261" w:type="dxa"/>
            <w:tcBorders>
              <w:top w:val="single" w:sz="12" w:space="0" w:color="auto"/>
            </w:tcBorders>
          </w:tcPr>
          <w:p w:rsidR="00520F36" w:rsidRPr="00D03A47" w:rsidRDefault="00520F36" w:rsidP="00EB4203">
            <w:pPr>
              <w:spacing w:before="0"/>
              <w:rPr>
                <w:b/>
                <w:bCs/>
              </w:rPr>
            </w:pPr>
          </w:p>
        </w:tc>
      </w:tr>
      <w:tr w:rsidR="00520F36" w:rsidRPr="00D03A47">
        <w:trPr>
          <w:cantSplit/>
          <w:trHeight w:val="20"/>
        </w:trPr>
        <w:tc>
          <w:tcPr>
            <w:tcW w:w="6912" w:type="dxa"/>
            <w:vMerge w:val="restart"/>
          </w:tcPr>
          <w:p w:rsidR="00520F36" w:rsidRPr="00D03A47" w:rsidRDefault="00520F36" w:rsidP="00EB4203">
            <w:pPr>
              <w:spacing w:before="0"/>
              <w:rPr>
                <w:rFonts w:cs="Times"/>
                <w:b/>
                <w:bCs/>
                <w:szCs w:val="24"/>
              </w:rPr>
            </w:pPr>
            <w:bookmarkStart w:id="3" w:name="dnum" w:colFirst="1" w:colLast="1"/>
            <w:bookmarkStart w:id="4" w:name="dmeeting" w:colFirst="0" w:colLast="0"/>
          </w:p>
        </w:tc>
        <w:tc>
          <w:tcPr>
            <w:tcW w:w="3261" w:type="dxa"/>
          </w:tcPr>
          <w:p w:rsidR="00520F36" w:rsidRPr="00D03A47" w:rsidRDefault="00520F36" w:rsidP="00EB4203">
            <w:pPr>
              <w:spacing w:before="0"/>
              <w:rPr>
                <w:b/>
                <w:bCs/>
              </w:rPr>
            </w:pPr>
            <w:r w:rsidRPr="00D03A47">
              <w:rPr>
                <w:b/>
                <w:bCs/>
              </w:rPr>
              <w:t>Document C17/</w:t>
            </w:r>
            <w:r w:rsidR="00C155DC" w:rsidRPr="00D03A47">
              <w:rPr>
                <w:b/>
                <w:bCs/>
              </w:rPr>
              <w:t>128</w:t>
            </w:r>
            <w:r w:rsidRPr="00D03A47">
              <w:rPr>
                <w:b/>
                <w:bCs/>
              </w:rPr>
              <w:t>-F</w:t>
            </w:r>
          </w:p>
        </w:tc>
      </w:tr>
      <w:tr w:rsidR="00520F36" w:rsidRPr="00D03A47">
        <w:trPr>
          <w:cantSplit/>
          <w:trHeight w:val="20"/>
        </w:trPr>
        <w:tc>
          <w:tcPr>
            <w:tcW w:w="6912" w:type="dxa"/>
            <w:vMerge/>
          </w:tcPr>
          <w:p w:rsidR="00520F36" w:rsidRPr="00D03A47" w:rsidRDefault="00520F36" w:rsidP="00EB4203">
            <w:pPr>
              <w:shd w:val="solid" w:color="FFFFFF" w:fill="FFFFFF"/>
              <w:spacing w:before="180"/>
              <w:rPr>
                <w:smallCaps/>
              </w:rPr>
            </w:pPr>
            <w:bookmarkStart w:id="5" w:name="ddate" w:colFirst="1" w:colLast="1"/>
            <w:bookmarkEnd w:id="3"/>
            <w:bookmarkEnd w:id="4"/>
          </w:p>
        </w:tc>
        <w:tc>
          <w:tcPr>
            <w:tcW w:w="3261" w:type="dxa"/>
          </w:tcPr>
          <w:p w:rsidR="00520F36" w:rsidRPr="00D03A47" w:rsidRDefault="00C155DC" w:rsidP="00EB4203">
            <w:pPr>
              <w:spacing w:before="0"/>
              <w:rPr>
                <w:b/>
                <w:bCs/>
              </w:rPr>
            </w:pPr>
            <w:r w:rsidRPr="00D03A47">
              <w:rPr>
                <w:b/>
                <w:bCs/>
              </w:rPr>
              <w:t>1er juin</w:t>
            </w:r>
            <w:r w:rsidR="00520F36" w:rsidRPr="00D03A47">
              <w:rPr>
                <w:b/>
                <w:bCs/>
              </w:rPr>
              <w:t xml:space="preserve"> 2017</w:t>
            </w:r>
          </w:p>
        </w:tc>
      </w:tr>
      <w:tr w:rsidR="00520F36" w:rsidRPr="00D03A47">
        <w:trPr>
          <w:cantSplit/>
          <w:trHeight w:val="20"/>
        </w:trPr>
        <w:tc>
          <w:tcPr>
            <w:tcW w:w="6912" w:type="dxa"/>
            <w:vMerge/>
          </w:tcPr>
          <w:p w:rsidR="00520F36" w:rsidRPr="00D03A47" w:rsidRDefault="00520F36" w:rsidP="00EB4203">
            <w:pPr>
              <w:shd w:val="solid" w:color="FFFFFF" w:fill="FFFFFF"/>
              <w:spacing w:before="180"/>
              <w:rPr>
                <w:smallCaps/>
              </w:rPr>
            </w:pPr>
            <w:bookmarkStart w:id="6" w:name="dorlang" w:colFirst="1" w:colLast="1"/>
            <w:bookmarkEnd w:id="5"/>
          </w:p>
        </w:tc>
        <w:tc>
          <w:tcPr>
            <w:tcW w:w="3261" w:type="dxa"/>
          </w:tcPr>
          <w:p w:rsidR="00520F36" w:rsidRPr="00D03A47" w:rsidRDefault="00520F36" w:rsidP="00EB4203">
            <w:pPr>
              <w:spacing w:before="0"/>
              <w:rPr>
                <w:b/>
                <w:bCs/>
              </w:rPr>
            </w:pPr>
            <w:r w:rsidRPr="00D03A47">
              <w:rPr>
                <w:b/>
                <w:bCs/>
              </w:rPr>
              <w:t>Original: anglais</w:t>
            </w:r>
          </w:p>
        </w:tc>
      </w:tr>
      <w:tr w:rsidR="00520F36" w:rsidRPr="00D03A47">
        <w:trPr>
          <w:cantSplit/>
        </w:trPr>
        <w:tc>
          <w:tcPr>
            <w:tcW w:w="10173" w:type="dxa"/>
            <w:gridSpan w:val="2"/>
          </w:tcPr>
          <w:p w:rsidR="00EF20E4" w:rsidRPr="00D03A47" w:rsidRDefault="00A626E5" w:rsidP="00EF20E4">
            <w:pPr>
              <w:pStyle w:val="Title1"/>
            </w:pPr>
            <w:bookmarkStart w:id="7" w:name="dsource" w:colFirst="0" w:colLast="0"/>
            <w:bookmarkEnd w:id="6"/>
            <w:r w:rsidRPr="00D03A47">
              <w:t>COMPTE RENDU</w:t>
            </w:r>
            <w:r w:rsidR="0002095B" w:rsidRPr="00D03A47">
              <w:t xml:space="preserve"> </w:t>
            </w:r>
          </w:p>
          <w:p w:rsidR="00A626E5" w:rsidRPr="00D03A47" w:rsidRDefault="00A626E5" w:rsidP="00EF20E4">
            <w:pPr>
              <w:pStyle w:val="Title1"/>
            </w:pPr>
            <w:r w:rsidRPr="00D03A47">
              <w:t>DE LA</w:t>
            </w:r>
          </w:p>
          <w:p w:rsidR="00520F36" w:rsidRPr="00D03A47" w:rsidRDefault="0002095B" w:rsidP="00EF20E4">
            <w:pPr>
              <w:pStyle w:val="Title1"/>
            </w:pPr>
            <w:r w:rsidRPr="00D03A47">
              <w:t>septième SÉANCE PLÉNIÈRE</w:t>
            </w:r>
          </w:p>
        </w:tc>
      </w:tr>
      <w:tr w:rsidR="00EF20E4" w:rsidRPr="00D03A47">
        <w:trPr>
          <w:cantSplit/>
        </w:trPr>
        <w:tc>
          <w:tcPr>
            <w:tcW w:w="10173" w:type="dxa"/>
            <w:gridSpan w:val="2"/>
          </w:tcPr>
          <w:p w:rsidR="00EF20E4" w:rsidRPr="00D03A47" w:rsidRDefault="00C56264" w:rsidP="00C56264">
            <w:pPr>
              <w:pStyle w:val="Title1"/>
              <w:rPr>
                <w:b/>
                <w:bCs/>
                <w:caps w:val="0"/>
              </w:rPr>
            </w:pPr>
            <w:r>
              <w:rPr>
                <w:caps w:val="0"/>
                <w:sz w:val="24"/>
                <w:szCs w:val="24"/>
              </w:rPr>
              <w:t>M</w:t>
            </w:r>
            <w:r w:rsidRPr="00D03A47">
              <w:rPr>
                <w:caps w:val="0"/>
                <w:sz w:val="24"/>
                <w:szCs w:val="24"/>
              </w:rPr>
              <w:t xml:space="preserve">ercredi 24 mai 2017, </w:t>
            </w:r>
            <w:r>
              <w:rPr>
                <w:caps w:val="0"/>
                <w:sz w:val="24"/>
                <w:szCs w:val="24"/>
              </w:rPr>
              <w:t>de</w:t>
            </w:r>
            <w:r w:rsidRPr="00D03A47">
              <w:rPr>
                <w:caps w:val="0"/>
                <w:sz w:val="24"/>
                <w:szCs w:val="24"/>
              </w:rPr>
              <w:t xml:space="preserve"> 10 h 10 à 12 h 40</w:t>
            </w:r>
          </w:p>
        </w:tc>
      </w:tr>
      <w:tr w:rsidR="00520F36" w:rsidRPr="00D03A47">
        <w:trPr>
          <w:cantSplit/>
        </w:trPr>
        <w:tc>
          <w:tcPr>
            <w:tcW w:w="10173" w:type="dxa"/>
            <w:gridSpan w:val="2"/>
          </w:tcPr>
          <w:p w:rsidR="00520F36" w:rsidRPr="00D03A47" w:rsidRDefault="00A626E5" w:rsidP="00EB4203">
            <w:pPr>
              <w:pStyle w:val="Title1"/>
              <w:rPr>
                <w:caps w:val="0"/>
              </w:rPr>
            </w:pPr>
            <w:bookmarkStart w:id="8" w:name="dtitle1" w:colFirst="0" w:colLast="0"/>
            <w:bookmarkEnd w:id="7"/>
            <w:r w:rsidRPr="00D03A47">
              <w:rPr>
                <w:b/>
                <w:bCs/>
                <w:caps w:val="0"/>
              </w:rPr>
              <w:t>Président</w:t>
            </w:r>
            <w:r w:rsidR="0002095B" w:rsidRPr="00D03A47">
              <w:rPr>
                <w:b/>
                <w:bCs/>
                <w:caps w:val="0"/>
              </w:rPr>
              <w:t>e</w:t>
            </w:r>
            <w:r w:rsidRPr="00D03A47">
              <w:rPr>
                <w:b/>
                <w:bCs/>
              </w:rPr>
              <w:t>:</w:t>
            </w:r>
            <w:r w:rsidR="0002095B" w:rsidRPr="00D03A47">
              <w:t xml:space="preserve"> M</w:t>
            </w:r>
            <w:r w:rsidR="0002095B" w:rsidRPr="00D03A47">
              <w:rPr>
                <w:caps w:val="0"/>
              </w:rPr>
              <w:t>me E. SPINA</w:t>
            </w:r>
          </w:p>
        </w:tc>
      </w:tr>
      <w:bookmarkEnd w:id="8"/>
    </w:tbl>
    <w:p w:rsidR="00A626E5" w:rsidRPr="00D03A47" w:rsidRDefault="00A626E5" w:rsidP="00EB4203"/>
    <w:tbl>
      <w:tblPr>
        <w:tblW w:w="10031" w:type="dxa"/>
        <w:tblLook w:val="0000" w:firstRow="0" w:lastRow="0" w:firstColumn="0" w:lastColumn="0" w:noHBand="0" w:noVBand="0"/>
      </w:tblPr>
      <w:tblGrid>
        <w:gridCol w:w="534"/>
        <w:gridCol w:w="7164"/>
        <w:gridCol w:w="2333"/>
      </w:tblGrid>
      <w:tr w:rsidR="00A626E5" w:rsidRPr="00D03A47" w:rsidTr="006E2545">
        <w:tc>
          <w:tcPr>
            <w:tcW w:w="534" w:type="dxa"/>
          </w:tcPr>
          <w:p w:rsidR="00A626E5" w:rsidRPr="00D03A47" w:rsidRDefault="00A626E5" w:rsidP="00EB4203">
            <w:pPr>
              <w:pStyle w:val="toc0"/>
            </w:pPr>
          </w:p>
        </w:tc>
        <w:tc>
          <w:tcPr>
            <w:tcW w:w="7164" w:type="dxa"/>
          </w:tcPr>
          <w:p w:rsidR="00A626E5" w:rsidRPr="00D03A47" w:rsidRDefault="00A626E5" w:rsidP="00EB4203">
            <w:pPr>
              <w:pStyle w:val="toc0"/>
            </w:pPr>
            <w:r w:rsidRPr="00D03A47">
              <w:t>Sujets traités</w:t>
            </w:r>
          </w:p>
        </w:tc>
        <w:tc>
          <w:tcPr>
            <w:tcW w:w="2333" w:type="dxa"/>
          </w:tcPr>
          <w:p w:rsidR="00A626E5" w:rsidRPr="00D03A47" w:rsidRDefault="00A626E5" w:rsidP="00EB4203">
            <w:pPr>
              <w:pStyle w:val="toc0"/>
              <w:jc w:val="center"/>
            </w:pPr>
            <w:r w:rsidRPr="00D03A47">
              <w:t>Documents</w:t>
            </w:r>
          </w:p>
        </w:tc>
      </w:tr>
      <w:tr w:rsidR="00C155DC" w:rsidRPr="00D03A47" w:rsidTr="006E2545">
        <w:tc>
          <w:tcPr>
            <w:tcW w:w="534" w:type="dxa"/>
          </w:tcPr>
          <w:p w:rsidR="00C155DC" w:rsidRPr="00D03A47" w:rsidRDefault="00C155DC" w:rsidP="00EB4203">
            <w:pPr>
              <w:ind w:left="567" w:hanging="567"/>
            </w:pPr>
            <w:r w:rsidRPr="00D03A47">
              <w:t>1</w:t>
            </w:r>
          </w:p>
        </w:tc>
        <w:tc>
          <w:tcPr>
            <w:tcW w:w="7164" w:type="dxa"/>
          </w:tcPr>
          <w:p w:rsidR="00C155DC" w:rsidRPr="00D03A47" w:rsidRDefault="00C155DC" w:rsidP="00EB4203">
            <w:r w:rsidRPr="00D03A47">
              <w:t>Forum mondial des politiques de télécommunication/TIC (FMPT)</w:t>
            </w:r>
          </w:p>
        </w:tc>
        <w:tc>
          <w:tcPr>
            <w:tcW w:w="2333" w:type="dxa"/>
          </w:tcPr>
          <w:p w:rsidR="00C155DC" w:rsidRPr="00D03A47" w:rsidRDefault="003F5312" w:rsidP="00EB4203">
            <w:pPr>
              <w:jc w:val="center"/>
            </w:pPr>
            <w:hyperlink r:id="rId7" w:history="1">
              <w:r w:rsidR="00C155DC" w:rsidRPr="00D03A47">
                <w:rPr>
                  <w:rStyle w:val="Hyperlink"/>
                </w:rPr>
                <w:t>C17/59</w:t>
              </w:r>
            </w:hyperlink>
          </w:p>
        </w:tc>
      </w:tr>
      <w:tr w:rsidR="00C155DC" w:rsidRPr="00D03A47" w:rsidTr="006E2545">
        <w:tc>
          <w:tcPr>
            <w:tcW w:w="534" w:type="dxa"/>
          </w:tcPr>
          <w:p w:rsidR="00C155DC" w:rsidRPr="00D03A47" w:rsidRDefault="00C155DC" w:rsidP="00EB4203">
            <w:pPr>
              <w:ind w:left="567" w:hanging="567"/>
            </w:pPr>
            <w:r w:rsidRPr="00D03A47">
              <w:t>2</w:t>
            </w:r>
          </w:p>
        </w:tc>
        <w:tc>
          <w:tcPr>
            <w:tcW w:w="7164" w:type="dxa"/>
          </w:tcPr>
          <w:p w:rsidR="00C155DC" w:rsidRPr="00D03A47" w:rsidRDefault="00C155DC" w:rsidP="00EB4203">
            <w:pPr>
              <w:ind w:left="567" w:hanging="567"/>
            </w:pPr>
            <w:r w:rsidRPr="00D03A47">
              <w:t>Accord de coopération entre l'UIT et INTERPOL</w:t>
            </w:r>
          </w:p>
        </w:tc>
        <w:tc>
          <w:tcPr>
            <w:tcW w:w="2333" w:type="dxa"/>
          </w:tcPr>
          <w:p w:rsidR="00C155DC" w:rsidRPr="00D03A47" w:rsidRDefault="003F5312" w:rsidP="00EB4203">
            <w:pPr>
              <w:jc w:val="center"/>
            </w:pPr>
            <w:hyperlink r:id="rId8" w:history="1">
              <w:r w:rsidR="00C155DC" w:rsidRPr="00D03A47">
                <w:rPr>
                  <w:rStyle w:val="Hyperlink"/>
                </w:rPr>
                <w:t>C17/65</w:t>
              </w:r>
            </w:hyperlink>
          </w:p>
        </w:tc>
      </w:tr>
      <w:tr w:rsidR="00C155DC" w:rsidRPr="00D03A47" w:rsidTr="006E2545">
        <w:tc>
          <w:tcPr>
            <w:tcW w:w="534" w:type="dxa"/>
          </w:tcPr>
          <w:p w:rsidR="00C155DC" w:rsidRPr="00D03A47" w:rsidRDefault="00C155DC" w:rsidP="00EB4203">
            <w:pPr>
              <w:ind w:left="567" w:hanging="567"/>
            </w:pPr>
            <w:r w:rsidRPr="00D03A47">
              <w:t>3</w:t>
            </w:r>
          </w:p>
        </w:tc>
        <w:tc>
          <w:tcPr>
            <w:tcW w:w="7164" w:type="dxa"/>
          </w:tcPr>
          <w:p w:rsidR="00C155DC" w:rsidRPr="00D03A47" w:rsidRDefault="00C155DC" w:rsidP="00EB4203">
            <w:r w:rsidRPr="00D03A47">
              <w:t>Rôle de l'UIT en tant qu'Autorité de surveillance du système international d'inscription pour les biens spatiaux, conformément au Protocole portant sur les biens spatiaux</w:t>
            </w:r>
          </w:p>
        </w:tc>
        <w:tc>
          <w:tcPr>
            <w:tcW w:w="2333" w:type="dxa"/>
          </w:tcPr>
          <w:p w:rsidR="00C155DC" w:rsidRPr="00D03A47" w:rsidRDefault="003F5312" w:rsidP="00EB4203">
            <w:pPr>
              <w:jc w:val="center"/>
            </w:pPr>
            <w:hyperlink r:id="rId9" w:history="1">
              <w:r w:rsidR="00C155DC" w:rsidRPr="00D03A47">
                <w:rPr>
                  <w:rStyle w:val="Hyperlink"/>
                </w:rPr>
                <w:t>C17/36</w:t>
              </w:r>
            </w:hyperlink>
            <w:r w:rsidR="00C155DC" w:rsidRPr="00D03A47">
              <w:t xml:space="preserve">(Rév.1), </w:t>
            </w:r>
            <w:hyperlink r:id="rId10" w:history="1">
              <w:r w:rsidR="00C155DC" w:rsidRPr="00D03A47">
                <w:rPr>
                  <w:rStyle w:val="Hyperlink"/>
                </w:rPr>
                <w:t>C17/94</w:t>
              </w:r>
            </w:hyperlink>
            <w:r w:rsidR="00C155DC" w:rsidRPr="00D03A47">
              <w:t xml:space="preserve">, </w:t>
            </w:r>
            <w:hyperlink r:id="rId11" w:history="1">
              <w:r w:rsidR="00C155DC" w:rsidRPr="00D03A47">
                <w:rPr>
                  <w:rStyle w:val="Hyperlink"/>
                </w:rPr>
                <w:t>C17/111</w:t>
              </w:r>
            </w:hyperlink>
          </w:p>
        </w:tc>
      </w:tr>
      <w:tr w:rsidR="00C155DC" w:rsidRPr="00D03A47" w:rsidTr="006E2545">
        <w:tc>
          <w:tcPr>
            <w:tcW w:w="534" w:type="dxa"/>
          </w:tcPr>
          <w:p w:rsidR="00C155DC" w:rsidRPr="00D03A47" w:rsidRDefault="00C155DC" w:rsidP="00EB4203">
            <w:pPr>
              <w:ind w:left="567" w:hanging="567"/>
              <w:rPr>
                <w:szCs w:val="24"/>
              </w:rPr>
            </w:pPr>
            <w:r w:rsidRPr="00D03A47">
              <w:rPr>
                <w:szCs w:val="24"/>
              </w:rPr>
              <w:t>4</w:t>
            </w:r>
          </w:p>
        </w:tc>
        <w:tc>
          <w:tcPr>
            <w:tcW w:w="7164" w:type="dxa"/>
          </w:tcPr>
          <w:p w:rsidR="00C155DC" w:rsidRPr="00D03A47" w:rsidRDefault="00BA604E" w:rsidP="00EB4203">
            <w:pPr>
              <w:rPr>
                <w:szCs w:val="24"/>
              </w:rPr>
            </w:pPr>
            <w:r w:rsidRPr="00D03A47">
              <w:rPr>
                <w:szCs w:val="24"/>
              </w:rPr>
              <w:t>Projets de plans opérationnels quadriennaux pour la période</w:t>
            </w:r>
            <w:r w:rsidR="00C56264">
              <w:rPr>
                <w:szCs w:val="24"/>
              </w:rPr>
              <w:t> 2018</w:t>
            </w:r>
            <w:r w:rsidR="00C56264">
              <w:rPr>
                <w:szCs w:val="24"/>
              </w:rPr>
              <w:noBreakHyphen/>
            </w:r>
            <w:r w:rsidR="0000172C" w:rsidRPr="00D03A47">
              <w:rPr>
                <w:szCs w:val="24"/>
              </w:rPr>
              <w:t xml:space="preserve">2021 </w:t>
            </w:r>
            <w:r w:rsidR="00C155DC" w:rsidRPr="00D03A47">
              <w:rPr>
                <w:szCs w:val="24"/>
              </w:rPr>
              <w:t>(</w:t>
            </w:r>
            <w:r w:rsidRPr="00D03A47">
              <w:rPr>
                <w:szCs w:val="24"/>
              </w:rPr>
              <w:t>suite</w:t>
            </w:r>
            <w:r w:rsidR="00C155DC" w:rsidRPr="00D03A47">
              <w:rPr>
                <w:szCs w:val="24"/>
              </w:rPr>
              <w:t>)</w:t>
            </w:r>
          </w:p>
        </w:tc>
        <w:tc>
          <w:tcPr>
            <w:tcW w:w="2333" w:type="dxa"/>
          </w:tcPr>
          <w:p w:rsidR="00C155DC" w:rsidRPr="00D03A47" w:rsidRDefault="003F5312" w:rsidP="00EB4203">
            <w:pPr>
              <w:jc w:val="center"/>
              <w:rPr>
                <w:szCs w:val="24"/>
              </w:rPr>
            </w:pPr>
            <w:hyperlink r:id="rId12" w:history="1">
              <w:r w:rsidR="00C155DC" w:rsidRPr="00D03A47">
                <w:rPr>
                  <w:rStyle w:val="Hyperlink"/>
                  <w:szCs w:val="24"/>
                </w:rPr>
                <w:t>C17/28</w:t>
              </w:r>
            </w:hyperlink>
            <w:r w:rsidR="00C155DC" w:rsidRPr="00D03A47">
              <w:rPr>
                <w:szCs w:val="24"/>
              </w:rPr>
              <w:t xml:space="preserve">(Rév.1), </w:t>
            </w:r>
            <w:hyperlink r:id="rId13" w:history="1">
              <w:r w:rsidR="00C155DC" w:rsidRPr="00D03A47">
                <w:rPr>
                  <w:rStyle w:val="Hyperlink"/>
                  <w:szCs w:val="24"/>
                </w:rPr>
                <w:t>C17/29</w:t>
              </w:r>
            </w:hyperlink>
            <w:r w:rsidR="00C155DC" w:rsidRPr="00D03A47">
              <w:rPr>
                <w:szCs w:val="24"/>
              </w:rPr>
              <w:t xml:space="preserve">, </w:t>
            </w:r>
            <w:hyperlink r:id="rId14" w:history="1">
              <w:r w:rsidR="00C155DC" w:rsidRPr="00D03A47">
                <w:rPr>
                  <w:rStyle w:val="Hyperlink"/>
                  <w:szCs w:val="24"/>
                </w:rPr>
                <w:t>C17/30</w:t>
              </w:r>
            </w:hyperlink>
            <w:r w:rsidR="00C155DC" w:rsidRPr="00D03A47">
              <w:rPr>
                <w:szCs w:val="24"/>
              </w:rPr>
              <w:t xml:space="preserve">(Rév.1), </w:t>
            </w:r>
            <w:hyperlink r:id="rId15" w:history="1">
              <w:r w:rsidR="00C155DC" w:rsidRPr="00D03A47">
                <w:rPr>
                  <w:rStyle w:val="Hyperlink"/>
                  <w:szCs w:val="24"/>
                </w:rPr>
                <w:t>C17/31</w:t>
              </w:r>
            </w:hyperlink>
            <w:r w:rsidR="00C155DC" w:rsidRPr="00D03A47">
              <w:rPr>
                <w:szCs w:val="24"/>
              </w:rPr>
              <w:t xml:space="preserve">, </w:t>
            </w:r>
            <w:hyperlink r:id="rId16" w:history="1">
              <w:r w:rsidR="00C155DC" w:rsidRPr="00D03A47">
                <w:rPr>
                  <w:rStyle w:val="Hyperlink"/>
                  <w:szCs w:val="24"/>
                </w:rPr>
                <w:t>C17/32</w:t>
              </w:r>
            </w:hyperlink>
            <w:r w:rsidR="00C155DC" w:rsidRPr="00D03A47">
              <w:rPr>
                <w:szCs w:val="24"/>
              </w:rPr>
              <w:t xml:space="preserve"> </w:t>
            </w:r>
          </w:p>
        </w:tc>
      </w:tr>
      <w:tr w:rsidR="00C155DC" w:rsidRPr="00D03A47" w:rsidTr="006E2545">
        <w:tc>
          <w:tcPr>
            <w:tcW w:w="534" w:type="dxa"/>
          </w:tcPr>
          <w:p w:rsidR="00C155DC" w:rsidRPr="00D03A47" w:rsidRDefault="00C155DC" w:rsidP="00EB4203">
            <w:pPr>
              <w:ind w:left="567" w:hanging="567"/>
              <w:rPr>
                <w:szCs w:val="24"/>
              </w:rPr>
            </w:pPr>
            <w:r w:rsidRPr="00D03A47">
              <w:rPr>
                <w:szCs w:val="24"/>
              </w:rPr>
              <w:t>5</w:t>
            </w:r>
          </w:p>
        </w:tc>
        <w:tc>
          <w:tcPr>
            <w:tcW w:w="7164" w:type="dxa"/>
          </w:tcPr>
          <w:p w:rsidR="00C155DC" w:rsidRPr="00D03A47" w:rsidRDefault="00BA604E" w:rsidP="00EB4203">
            <w:r w:rsidRPr="00D03A47">
              <w:t xml:space="preserve">Programme sur la conformité et l'interopérabilité </w:t>
            </w:r>
            <w:r w:rsidR="00C56264">
              <w:t>–</w:t>
            </w:r>
            <w:r w:rsidRPr="00D03A47">
              <w:t xml:space="preserve"> Rapport d'activité et plan d'action</w:t>
            </w:r>
          </w:p>
        </w:tc>
        <w:tc>
          <w:tcPr>
            <w:tcW w:w="2333" w:type="dxa"/>
          </w:tcPr>
          <w:p w:rsidR="00C155DC" w:rsidRPr="00D03A47" w:rsidRDefault="003F5312" w:rsidP="00EB4203">
            <w:pPr>
              <w:jc w:val="center"/>
              <w:rPr>
                <w:szCs w:val="24"/>
              </w:rPr>
            </w:pPr>
            <w:hyperlink r:id="rId17" w:history="1">
              <w:r w:rsidR="00C155DC" w:rsidRPr="00D03A47">
                <w:rPr>
                  <w:rStyle w:val="Hyperlink"/>
                  <w:szCs w:val="24"/>
                </w:rPr>
                <w:t>C17/24</w:t>
              </w:r>
            </w:hyperlink>
          </w:p>
        </w:tc>
      </w:tr>
      <w:tr w:rsidR="00C155DC" w:rsidRPr="00D03A47" w:rsidTr="006E2545">
        <w:tc>
          <w:tcPr>
            <w:tcW w:w="534" w:type="dxa"/>
          </w:tcPr>
          <w:p w:rsidR="00C155DC" w:rsidRPr="00D03A47" w:rsidRDefault="00C155DC" w:rsidP="00EB4203">
            <w:pPr>
              <w:ind w:left="567" w:hanging="567"/>
              <w:rPr>
                <w:szCs w:val="24"/>
              </w:rPr>
            </w:pPr>
            <w:r w:rsidRPr="00D03A47">
              <w:rPr>
                <w:szCs w:val="24"/>
              </w:rPr>
              <w:t>6</w:t>
            </w:r>
          </w:p>
        </w:tc>
        <w:tc>
          <w:tcPr>
            <w:tcW w:w="7164" w:type="dxa"/>
          </w:tcPr>
          <w:p w:rsidR="00C155DC" w:rsidRPr="00D03A47" w:rsidRDefault="003B3E9F" w:rsidP="00EB4203">
            <w:r w:rsidRPr="00D03A47">
              <w:t>Faciliter l'avènement de l'Internet des objets dans la perspective d'un monde global interconnecté</w:t>
            </w:r>
          </w:p>
        </w:tc>
        <w:tc>
          <w:tcPr>
            <w:tcW w:w="2333" w:type="dxa"/>
          </w:tcPr>
          <w:p w:rsidR="00C155DC" w:rsidRPr="00D03A47" w:rsidRDefault="003F5312" w:rsidP="00EB4203">
            <w:pPr>
              <w:jc w:val="center"/>
              <w:rPr>
                <w:szCs w:val="24"/>
              </w:rPr>
            </w:pPr>
            <w:hyperlink r:id="rId18" w:history="1">
              <w:r w:rsidR="00C155DC" w:rsidRPr="00D03A47">
                <w:rPr>
                  <w:rStyle w:val="Hyperlink"/>
                  <w:szCs w:val="24"/>
                </w:rPr>
                <w:t>C17/23</w:t>
              </w:r>
            </w:hyperlink>
          </w:p>
        </w:tc>
      </w:tr>
      <w:tr w:rsidR="00C155DC" w:rsidRPr="00D03A47" w:rsidTr="006E2545">
        <w:tc>
          <w:tcPr>
            <w:tcW w:w="534" w:type="dxa"/>
          </w:tcPr>
          <w:p w:rsidR="00C155DC" w:rsidRPr="00D03A47" w:rsidRDefault="00C155DC" w:rsidP="00EB4203">
            <w:pPr>
              <w:ind w:left="567" w:hanging="567"/>
              <w:rPr>
                <w:szCs w:val="24"/>
              </w:rPr>
            </w:pPr>
            <w:r w:rsidRPr="00D03A47">
              <w:rPr>
                <w:szCs w:val="24"/>
              </w:rPr>
              <w:t>7</w:t>
            </w:r>
          </w:p>
        </w:tc>
        <w:tc>
          <w:tcPr>
            <w:tcW w:w="7164" w:type="dxa"/>
          </w:tcPr>
          <w:p w:rsidR="00C155DC" w:rsidRPr="00D03A47" w:rsidRDefault="003B3E9F" w:rsidP="00EB4203">
            <w:r w:rsidRPr="00D03A47">
              <w:t>Services financiers numériques</w:t>
            </w:r>
          </w:p>
        </w:tc>
        <w:tc>
          <w:tcPr>
            <w:tcW w:w="2333" w:type="dxa"/>
          </w:tcPr>
          <w:p w:rsidR="00C155DC" w:rsidRPr="00D03A47" w:rsidRDefault="003F5312" w:rsidP="00EB4203">
            <w:pPr>
              <w:jc w:val="center"/>
              <w:rPr>
                <w:szCs w:val="24"/>
              </w:rPr>
            </w:pPr>
            <w:hyperlink r:id="rId19" w:history="1">
              <w:r w:rsidR="00C155DC" w:rsidRPr="00D03A47">
                <w:rPr>
                  <w:rStyle w:val="Hyperlink"/>
                  <w:szCs w:val="24"/>
                </w:rPr>
                <w:t>C17/68</w:t>
              </w:r>
            </w:hyperlink>
          </w:p>
        </w:tc>
      </w:tr>
      <w:tr w:rsidR="00C155DC" w:rsidRPr="00D03A47" w:rsidTr="006E2545">
        <w:tc>
          <w:tcPr>
            <w:tcW w:w="534" w:type="dxa"/>
          </w:tcPr>
          <w:p w:rsidR="00C155DC" w:rsidRPr="00D03A47" w:rsidRDefault="00C155DC" w:rsidP="00EB4203">
            <w:pPr>
              <w:ind w:left="567" w:hanging="567"/>
              <w:rPr>
                <w:szCs w:val="24"/>
              </w:rPr>
            </w:pPr>
            <w:r w:rsidRPr="00D03A47">
              <w:rPr>
                <w:szCs w:val="24"/>
              </w:rPr>
              <w:t>8</w:t>
            </w:r>
          </w:p>
        </w:tc>
        <w:tc>
          <w:tcPr>
            <w:tcW w:w="7164" w:type="dxa"/>
          </w:tcPr>
          <w:p w:rsidR="00C155DC" w:rsidRPr="00D03A47" w:rsidRDefault="003B3E9F" w:rsidP="00EB4203">
            <w:r w:rsidRPr="00D03A47">
              <w:t>Efficacité des groupes régionaux pour réduire l'écart en matière de normalisation</w:t>
            </w:r>
          </w:p>
        </w:tc>
        <w:tc>
          <w:tcPr>
            <w:tcW w:w="2333" w:type="dxa"/>
          </w:tcPr>
          <w:p w:rsidR="00C155DC" w:rsidRPr="00D03A47" w:rsidRDefault="003F5312" w:rsidP="00EB4203">
            <w:pPr>
              <w:jc w:val="center"/>
              <w:rPr>
                <w:szCs w:val="24"/>
              </w:rPr>
            </w:pPr>
            <w:hyperlink r:id="rId20" w:history="1">
              <w:r w:rsidR="00C155DC" w:rsidRPr="00D03A47">
                <w:rPr>
                  <w:rStyle w:val="Hyperlink"/>
                  <w:szCs w:val="24"/>
                </w:rPr>
                <w:t>C17/72</w:t>
              </w:r>
            </w:hyperlink>
          </w:p>
        </w:tc>
      </w:tr>
      <w:tr w:rsidR="00C155DC" w:rsidRPr="00D03A47" w:rsidTr="006E2545">
        <w:tc>
          <w:tcPr>
            <w:tcW w:w="534" w:type="dxa"/>
          </w:tcPr>
          <w:p w:rsidR="00C155DC" w:rsidRPr="00D03A47" w:rsidRDefault="00C155DC" w:rsidP="00EB4203">
            <w:pPr>
              <w:ind w:left="567" w:hanging="567"/>
              <w:rPr>
                <w:szCs w:val="24"/>
              </w:rPr>
            </w:pPr>
            <w:r w:rsidRPr="00D03A47">
              <w:rPr>
                <w:szCs w:val="24"/>
              </w:rPr>
              <w:t>9</w:t>
            </w:r>
          </w:p>
        </w:tc>
        <w:tc>
          <w:tcPr>
            <w:tcW w:w="7164" w:type="dxa"/>
          </w:tcPr>
          <w:p w:rsidR="00C155DC" w:rsidRPr="00D03A47" w:rsidRDefault="00A63AED" w:rsidP="00EB4203">
            <w:pPr>
              <w:rPr>
                <w:szCs w:val="24"/>
              </w:rPr>
            </w:pPr>
            <w:r w:rsidRPr="00D03A47">
              <w:rPr>
                <w:szCs w:val="24"/>
              </w:rPr>
              <w:t>Rapport du Groupe de travail du Conseil sur l'utilisation des langues</w:t>
            </w:r>
            <w:r w:rsidR="00C155DC" w:rsidRPr="00D03A47">
              <w:rPr>
                <w:szCs w:val="24"/>
              </w:rPr>
              <w:t xml:space="preserve"> (</w:t>
            </w:r>
            <w:r w:rsidRPr="00D03A47">
              <w:rPr>
                <w:szCs w:val="24"/>
              </w:rPr>
              <w:t>suite</w:t>
            </w:r>
            <w:r w:rsidR="00C155DC" w:rsidRPr="00D03A47">
              <w:rPr>
                <w:szCs w:val="24"/>
              </w:rPr>
              <w:t>)</w:t>
            </w:r>
          </w:p>
        </w:tc>
        <w:tc>
          <w:tcPr>
            <w:tcW w:w="2333" w:type="dxa"/>
          </w:tcPr>
          <w:p w:rsidR="00C155DC" w:rsidRPr="00D03A47" w:rsidRDefault="003F5312" w:rsidP="00EB4203">
            <w:pPr>
              <w:jc w:val="center"/>
              <w:rPr>
                <w:szCs w:val="24"/>
              </w:rPr>
            </w:pPr>
            <w:hyperlink r:id="rId21" w:history="1">
              <w:r w:rsidR="00C155DC" w:rsidRPr="00D03A47">
                <w:rPr>
                  <w:rStyle w:val="Hyperlink"/>
                  <w:szCs w:val="24"/>
                </w:rPr>
                <w:t>C17/DT/4</w:t>
              </w:r>
            </w:hyperlink>
          </w:p>
        </w:tc>
      </w:tr>
      <w:tr w:rsidR="00C155DC" w:rsidRPr="00D03A47" w:rsidTr="009428FC">
        <w:trPr>
          <w:trHeight w:val="279"/>
        </w:trPr>
        <w:tc>
          <w:tcPr>
            <w:tcW w:w="534" w:type="dxa"/>
          </w:tcPr>
          <w:p w:rsidR="00C155DC" w:rsidRPr="00D03A47" w:rsidRDefault="00C155DC" w:rsidP="00EB4203">
            <w:pPr>
              <w:ind w:left="567" w:hanging="567"/>
              <w:rPr>
                <w:szCs w:val="24"/>
              </w:rPr>
            </w:pPr>
            <w:r w:rsidRPr="00D03A47">
              <w:rPr>
                <w:szCs w:val="24"/>
              </w:rPr>
              <w:t>10</w:t>
            </w:r>
          </w:p>
        </w:tc>
        <w:tc>
          <w:tcPr>
            <w:tcW w:w="7164" w:type="dxa"/>
          </w:tcPr>
          <w:p w:rsidR="00C155DC" w:rsidRPr="00D03A47" w:rsidRDefault="00A63AED" w:rsidP="00EB4203">
            <w:pPr>
              <w:ind w:left="567" w:hanging="567"/>
              <w:rPr>
                <w:szCs w:val="24"/>
              </w:rPr>
            </w:pPr>
            <w:r w:rsidRPr="00D03A47">
              <w:rPr>
                <w:szCs w:val="24"/>
              </w:rPr>
              <w:t>Renforcement de la présence régionale</w:t>
            </w:r>
          </w:p>
        </w:tc>
        <w:tc>
          <w:tcPr>
            <w:tcW w:w="2333" w:type="dxa"/>
          </w:tcPr>
          <w:p w:rsidR="00C155DC" w:rsidRPr="00D03A47" w:rsidRDefault="003F5312" w:rsidP="00EB4203">
            <w:pPr>
              <w:jc w:val="center"/>
              <w:rPr>
                <w:szCs w:val="24"/>
              </w:rPr>
            </w:pPr>
            <w:hyperlink r:id="rId22" w:history="1">
              <w:r w:rsidR="00C155DC" w:rsidRPr="00D03A47">
                <w:rPr>
                  <w:rStyle w:val="Hyperlink"/>
                  <w:szCs w:val="24"/>
                </w:rPr>
                <w:t>C17/25</w:t>
              </w:r>
            </w:hyperlink>
          </w:p>
        </w:tc>
      </w:tr>
    </w:tbl>
    <w:p w:rsidR="00A63AED" w:rsidRPr="00D03A47" w:rsidRDefault="00A63AED" w:rsidP="00EF20E4">
      <w:pPr>
        <w:pStyle w:val="Heading1"/>
      </w:pPr>
      <w:r w:rsidRPr="00D03A47">
        <w:br w:type="page"/>
      </w:r>
      <w:r w:rsidRPr="00D03A47">
        <w:lastRenderedPageBreak/>
        <w:t>1</w:t>
      </w:r>
      <w:r w:rsidRPr="00D03A47">
        <w:tab/>
        <w:t>Forum mondial des politiques de télécommunication/TIC (FMPT) (Document</w:t>
      </w:r>
      <w:r w:rsidR="00EF20E4" w:rsidRPr="00D03A47">
        <w:t> </w:t>
      </w:r>
      <w:hyperlink r:id="rId23" w:history="1">
        <w:r w:rsidRPr="00D03A47">
          <w:rPr>
            <w:rStyle w:val="Hyperlink"/>
            <w:bCs/>
          </w:rPr>
          <w:t>C17/59</w:t>
        </w:r>
      </w:hyperlink>
      <w:r w:rsidRPr="00D03A47">
        <w:t>)</w:t>
      </w:r>
    </w:p>
    <w:p w:rsidR="00F77A97" w:rsidRPr="00D03A47" w:rsidRDefault="00F77A97" w:rsidP="00EB4203">
      <w:pPr>
        <w:tabs>
          <w:tab w:val="clear" w:pos="567"/>
          <w:tab w:val="clear" w:pos="1134"/>
          <w:tab w:val="clear" w:pos="1701"/>
          <w:tab w:val="clear" w:pos="2268"/>
          <w:tab w:val="clear" w:pos="2835"/>
        </w:tabs>
        <w:overflowPunct/>
        <w:autoSpaceDE/>
        <w:autoSpaceDN/>
        <w:adjustRightInd/>
        <w:textAlignment w:val="auto"/>
      </w:pPr>
      <w:r w:rsidRPr="00D03A47">
        <w:t>1.1</w:t>
      </w:r>
      <w:r w:rsidRPr="00D03A47">
        <w:tab/>
        <w:t>La Chef du Département de la planification stratégique et des relations avec les membres présente le Document C17/59 et indique qu</w:t>
      </w:r>
      <w:r w:rsidR="00EB4203" w:rsidRPr="00D03A47">
        <w:t>'en réponse à sa lettre circulaire,</w:t>
      </w:r>
      <w:r w:rsidRPr="00D03A47">
        <w:t xml:space="preserve"> le Secrétariat général a reçu cinq contributions sur le thème, les dates et le lieu possibles pour le prochain FMPT.</w:t>
      </w:r>
    </w:p>
    <w:p w:rsidR="00F77A97" w:rsidRPr="00D03A47" w:rsidRDefault="00EB4203" w:rsidP="00EB4203">
      <w:pPr>
        <w:tabs>
          <w:tab w:val="clear" w:pos="567"/>
          <w:tab w:val="clear" w:pos="1134"/>
          <w:tab w:val="clear" w:pos="1701"/>
          <w:tab w:val="clear" w:pos="2268"/>
          <w:tab w:val="clear" w:pos="2835"/>
        </w:tabs>
        <w:overflowPunct/>
        <w:autoSpaceDE/>
        <w:autoSpaceDN/>
        <w:adjustRightInd/>
        <w:textAlignment w:val="auto"/>
      </w:pPr>
      <w:r w:rsidRPr="00D03A47">
        <w:t>1.2</w:t>
      </w:r>
      <w:r w:rsidRPr="00D03A47">
        <w:tab/>
        <w:t>D</w:t>
      </w:r>
      <w:r w:rsidR="00F77A97" w:rsidRPr="00D03A47">
        <w:t>es conseillers ont souligné l'importance du Forum, qui offre un cadre unique pour échanger des informations et des données d'expérience sur les nouvelles questions qui se font jour dans le domaine du développement des télécommunications/TIC, en particulier pour les pays en développement. Un conseiller propose de tenir le prochain FMPT au premier ou au deuxième trimestre de 2018. Un autre conseiller explique qu'il est important d'apporter une réponse rapide et harmonisée aux nouvelles questions politiques découlant de l'évolution de l'environnement des télécommunications/TIC et convient que le FMPT ne devrait pas être repoussé. Plusieurs autres conseillers indiquent que</w:t>
      </w:r>
      <w:r w:rsidR="00743A18" w:rsidRPr="00D03A47">
        <w:t xml:space="preserve">, vu certains facteurs comme le nombre de conférences prévues avant la Conférence de plénipotentiaires, il convient de laisser à la Conférence de plénipotentiaires le soin de décider du thème, des dates et du lieu possibles pour le prochain FMPT. Toutefois, d'autres </w:t>
      </w:r>
      <w:r w:rsidRPr="00D03A47">
        <w:t xml:space="preserve">conseillers </w:t>
      </w:r>
      <w:r w:rsidR="00743A18" w:rsidRPr="00D03A47">
        <w:t>considèrent que le prochain FMPT devrait avoir lieu en 2019 et que si l'on</w:t>
      </w:r>
      <w:r w:rsidR="004971D0">
        <w:t xml:space="preserve"> attend la </w:t>
      </w:r>
      <w:r w:rsidRPr="00D03A47">
        <w:t>PP</w:t>
      </w:r>
      <w:r w:rsidRPr="00D03A47">
        <w:noBreakHyphen/>
        <w:t>18 pour décider de son</w:t>
      </w:r>
      <w:r w:rsidR="00743A18" w:rsidRPr="00D03A47">
        <w:t xml:space="preserve"> thème, on ne disposera pas d'un délai suffisant pour mener à bien efficacement la préparation; la décision devrait être prise </w:t>
      </w:r>
      <w:r w:rsidRPr="00D03A47">
        <w:t>par le Conseil à sa session de 2017 ou de </w:t>
      </w:r>
      <w:r w:rsidR="00743A18" w:rsidRPr="00D03A47">
        <w:t>2018.</w:t>
      </w:r>
    </w:p>
    <w:p w:rsidR="00BC56EB" w:rsidRPr="00D03A47" w:rsidRDefault="00AE5588" w:rsidP="00EB4203">
      <w:pPr>
        <w:tabs>
          <w:tab w:val="clear" w:pos="567"/>
          <w:tab w:val="clear" w:pos="1134"/>
          <w:tab w:val="clear" w:pos="1701"/>
          <w:tab w:val="clear" w:pos="2268"/>
          <w:tab w:val="clear" w:pos="2835"/>
        </w:tabs>
        <w:overflowPunct/>
        <w:autoSpaceDE/>
        <w:autoSpaceDN/>
        <w:adjustRightInd/>
        <w:textAlignment w:val="auto"/>
      </w:pPr>
      <w:r w:rsidRPr="00D03A47">
        <w:t>1.3</w:t>
      </w:r>
      <w:r w:rsidRPr="00D03A47">
        <w:tab/>
      </w:r>
      <w:r w:rsidR="00BC56EB" w:rsidRPr="00D03A47">
        <w:t xml:space="preserve">Les possibles thèmes proposés par les conseillers sont les perspectives de développement pour l'UIT dans le contexte de la mise en </w:t>
      </w:r>
      <w:r w:rsidR="00793B26" w:rsidRPr="00D03A47">
        <w:t>oe</w:t>
      </w:r>
      <w:r w:rsidR="00BC56EB" w:rsidRPr="00D03A47">
        <w:t xml:space="preserve">uvre du </w:t>
      </w:r>
      <w:r w:rsidR="00793B26" w:rsidRPr="00D03A47">
        <w:t>P</w:t>
      </w:r>
      <w:r w:rsidR="00BC56EB" w:rsidRPr="00D03A47">
        <w:t>rogramme de développement durable à l'horizon 2030 et les défis économiques liés aux nouveaux services de télécommunication/TIC. Un conseiller pense que les aspects réglementaires des services OTT, de la cybersécurité et des services financiers devraient également être traités.</w:t>
      </w:r>
    </w:p>
    <w:p w:rsidR="00BC56EB" w:rsidRPr="00D03A47" w:rsidRDefault="00BC56EB" w:rsidP="00857958">
      <w:pPr>
        <w:tabs>
          <w:tab w:val="clear" w:pos="567"/>
          <w:tab w:val="clear" w:pos="1134"/>
          <w:tab w:val="clear" w:pos="1701"/>
          <w:tab w:val="clear" w:pos="2268"/>
          <w:tab w:val="clear" w:pos="2835"/>
        </w:tabs>
        <w:overflowPunct/>
        <w:autoSpaceDE/>
        <w:autoSpaceDN/>
        <w:adjustRightInd/>
        <w:textAlignment w:val="auto"/>
      </w:pPr>
      <w:r w:rsidRPr="00D03A47">
        <w:t>1.4</w:t>
      </w:r>
      <w:r w:rsidRPr="00D03A47">
        <w:tab/>
        <w:t>Une conseillère dit que le Secrétariat général devrait examiner toutes les manifestations de haut niveau actuellement organisé</w:t>
      </w:r>
      <w:r w:rsidR="00857958" w:rsidRPr="00D03A47">
        <w:t>es</w:t>
      </w:r>
      <w:r w:rsidRPr="00D03A47">
        <w:t xml:space="preserve"> par l'Union, afin d'élaborer un dispositif optimisé pour la programmation des manifestations qui sera soumis au Conseil pour examen à sa session de 2018, </w:t>
      </w:r>
      <w:r w:rsidR="00857958" w:rsidRPr="00D03A47">
        <w:t xml:space="preserve">comme proposé </w:t>
      </w:r>
      <w:r w:rsidRPr="00D03A47">
        <w:t>dans le Document C17/89 présenté par la Chine.</w:t>
      </w:r>
    </w:p>
    <w:p w:rsidR="00BC56EB" w:rsidRPr="00D03A47" w:rsidRDefault="00BC56EB" w:rsidP="00EB4203">
      <w:pPr>
        <w:tabs>
          <w:tab w:val="clear" w:pos="567"/>
          <w:tab w:val="clear" w:pos="1134"/>
          <w:tab w:val="clear" w:pos="1701"/>
          <w:tab w:val="clear" w:pos="2268"/>
          <w:tab w:val="clear" w:pos="2835"/>
        </w:tabs>
        <w:overflowPunct/>
        <w:autoSpaceDE/>
        <w:autoSpaceDN/>
        <w:adjustRightInd/>
        <w:textAlignment w:val="auto"/>
      </w:pPr>
      <w:r w:rsidRPr="00D03A47">
        <w:t>1.5</w:t>
      </w:r>
      <w:r w:rsidRPr="00D03A47">
        <w:tab/>
        <w:t xml:space="preserve">Le Conseil </w:t>
      </w:r>
      <w:r w:rsidRPr="00D03A47">
        <w:rPr>
          <w:b/>
          <w:bCs/>
        </w:rPr>
        <w:t>décide</w:t>
      </w:r>
      <w:r w:rsidRPr="00D03A47">
        <w:t xml:space="preserve"> de demander au Secrétariat général d'étudier les possibilités concernant l'optimisation de la programmation des manifestations et de faire rapport au Conseil à sa session de 2018.</w:t>
      </w:r>
    </w:p>
    <w:p w:rsidR="00BC56EB" w:rsidRPr="00D03A47" w:rsidRDefault="00BC56EB" w:rsidP="00EB4203">
      <w:pPr>
        <w:tabs>
          <w:tab w:val="clear" w:pos="567"/>
          <w:tab w:val="clear" w:pos="1134"/>
          <w:tab w:val="clear" w:pos="1701"/>
          <w:tab w:val="clear" w:pos="2268"/>
          <w:tab w:val="clear" w:pos="2835"/>
        </w:tabs>
        <w:overflowPunct/>
        <w:autoSpaceDE/>
        <w:autoSpaceDN/>
        <w:adjustRightInd/>
        <w:textAlignment w:val="auto"/>
      </w:pPr>
      <w:r w:rsidRPr="00D03A47">
        <w:t>1.6</w:t>
      </w:r>
      <w:r w:rsidRPr="00D03A47">
        <w:tab/>
        <w:t xml:space="preserve">Il est </w:t>
      </w:r>
      <w:r w:rsidRPr="00D03A47">
        <w:rPr>
          <w:b/>
          <w:bCs/>
        </w:rPr>
        <w:t>pris note</w:t>
      </w:r>
      <w:r w:rsidRPr="00D03A47">
        <w:t xml:space="preserve"> du Document C17/59.</w:t>
      </w:r>
    </w:p>
    <w:p w:rsidR="00AE5588" w:rsidRPr="00D03A47" w:rsidRDefault="006942C4" w:rsidP="000C70F2">
      <w:pPr>
        <w:pStyle w:val="Heading1"/>
      </w:pPr>
      <w:r w:rsidRPr="00D03A47">
        <w:t>2</w:t>
      </w:r>
      <w:r w:rsidRPr="00D03A47">
        <w:tab/>
        <w:t xml:space="preserve">Accord de coopération entre l'UIT et INTERPOL (Document </w:t>
      </w:r>
      <w:hyperlink r:id="rId24" w:history="1">
        <w:r w:rsidRPr="00D03A47">
          <w:rPr>
            <w:rStyle w:val="Hyperlink"/>
            <w:bCs/>
          </w:rPr>
          <w:t>C17/65</w:t>
        </w:r>
      </w:hyperlink>
      <w:r w:rsidRPr="00D03A47">
        <w:t>)</w:t>
      </w:r>
    </w:p>
    <w:p w:rsidR="006942C4" w:rsidRPr="00D03A47" w:rsidRDefault="008E2AA6" w:rsidP="00857958">
      <w:pPr>
        <w:tabs>
          <w:tab w:val="clear" w:pos="567"/>
          <w:tab w:val="clear" w:pos="1134"/>
          <w:tab w:val="clear" w:pos="1701"/>
          <w:tab w:val="clear" w:pos="2268"/>
          <w:tab w:val="clear" w:pos="2835"/>
        </w:tabs>
        <w:overflowPunct/>
        <w:autoSpaceDE/>
        <w:autoSpaceDN/>
        <w:adjustRightInd/>
        <w:textAlignment w:val="auto"/>
      </w:pPr>
      <w:r w:rsidRPr="00D03A47">
        <w:t>2.1</w:t>
      </w:r>
      <w:r w:rsidRPr="00D03A47">
        <w:tab/>
        <w:t>Le représentant du BDT présente le Document C17/65.</w:t>
      </w:r>
      <w:r w:rsidRPr="00D03A47">
        <w:rPr>
          <w:lang w:eastAsia="fr-FR"/>
        </w:rPr>
        <w:t xml:space="preserve"> </w:t>
      </w:r>
      <w:r w:rsidRPr="00D03A47">
        <w:t>Le Conseil est invité à approuver</w:t>
      </w:r>
      <w:r w:rsidRPr="00D03A47">
        <w:rPr>
          <w:bCs/>
        </w:rPr>
        <w:t>, à titre provisoire</w:t>
      </w:r>
      <w:r w:rsidRPr="00D03A47">
        <w:t>, l'Accord de coopération mis à jour figurant dans l'Annexe A et à autoriser</w:t>
      </w:r>
      <w:r w:rsidRPr="00D03A47">
        <w:rPr>
          <w:b/>
          <w:bCs/>
        </w:rPr>
        <w:t xml:space="preserve"> </w:t>
      </w:r>
      <w:r w:rsidRPr="00D03A47">
        <w:t>le Secrétaire général à le signer, conformément au projet de Décision reproduit dans l'Annexe B.</w:t>
      </w:r>
      <w:r w:rsidRPr="00D03A47">
        <w:rPr>
          <w:lang w:eastAsia="fr-FR"/>
        </w:rPr>
        <w:t xml:space="preserve"> </w:t>
      </w:r>
      <w:r w:rsidRPr="00D03A47">
        <w:t xml:space="preserve">Cet Accord sera transmis à la </w:t>
      </w:r>
      <w:r w:rsidR="00857958" w:rsidRPr="00D03A47">
        <w:t>PP</w:t>
      </w:r>
      <w:r w:rsidR="00857958" w:rsidRPr="00D03A47">
        <w:noBreakHyphen/>
        <w:t>18</w:t>
      </w:r>
      <w:r w:rsidRPr="00D03A47">
        <w:t>, pour approbation finale.</w:t>
      </w:r>
    </w:p>
    <w:p w:rsidR="004971D0" w:rsidRDefault="004971D0" w:rsidP="00EB4203">
      <w:pPr>
        <w:tabs>
          <w:tab w:val="clear" w:pos="567"/>
          <w:tab w:val="clear" w:pos="1134"/>
          <w:tab w:val="clear" w:pos="1701"/>
          <w:tab w:val="clear" w:pos="2268"/>
          <w:tab w:val="clear" w:pos="2835"/>
        </w:tabs>
        <w:overflowPunct/>
        <w:autoSpaceDE/>
        <w:autoSpaceDN/>
        <w:adjustRightInd/>
        <w:textAlignment w:val="auto"/>
      </w:pPr>
      <w:r>
        <w:br w:type="page"/>
      </w:r>
    </w:p>
    <w:p w:rsidR="008E2AA6" w:rsidRPr="00D03A47" w:rsidRDefault="008E2AA6" w:rsidP="00EB4203">
      <w:pPr>
        <w:tabs>
          <w:tab w:val="clear" w:pos="567"/>
          <w:tab w:val="clear" w:pos="1134"/>
          <w:tab w:val="clear" w:pos="1701"/>
          <w:tab w:val="clear" w:pos="2268"/>
          <w:tab w:val="clear" w:pos="2835"/>
        </w:tabs>
        <w:overflowPunct/>
        <w:autoSpaceDE/>
        <w:autoSpaceDN/>
        <w:adjustRightInd/>
        <w:textAlignment w:val="auto"/>
      </w:pPr>
      <w:r w:rsidRPr="00D03A47">
        <w:lastRenderedPageBreak/>
        <w:t>2.2</w:t>
      </w:r>
      <w:r w:rsidRPr="00D03A47">
        <w:tab/>
        <w:t xml:space="preserve">La conseillère des </w:t>
      </w:r>
      <w:r w:rsidR="00793B26" w:rsidRPr="00D03A47">
        <w:t>E</w:t>
      </w:r>
      <w:r w:rsidRPr="00D03A47">
        <w:t>tats-Unis déclare que son pays peut approuver l'Accord de coopération et autoriser le Secrétaire général à le signer étant entendu ce qui suit</w:t>
      </w:r>
      <w:r w:rsidR="00793B26" w:rsidRPr="00D03A47">
        <w:t>:</w:t>
      </w:r>
    </w:p>
    <w:p w:rsidR="00AF049C" w:rsidRPr="00D03A47" w:rsidRDefault="000633E6" w:rsidP="00C41D30">
      <w:pPr>
        <w:keepLines/>
        <w:tabs>
          <w:tab w:val="clear" w:pos="567"/>
          <w:tab w:val="clear" w:pos="1134"/>
          <w:tab w:val="clear" w:pos="1701"/>
          <w:tab w:val="clear" w:pos="2268"/>
          <w:tab w:val="clear" w:pos="2835"/>
        </w:tabs>
        <w:overflowPunct/>
        <w:autoSpaceDE/>
        <w:autoSpaceDN/>
        <w:adjustRightInd/>
        <w:ind w:left="794"/>
        <w:textAlignment w:val="auto"/>
      </w:pPr>
      <w:r w:rsidRPr="00D03A47">
        <w:t>"</w:t>
      </w:r>
      <w:r w:rsidR="008E2AA6" w:rsidRPr="00D03A47">
        <w:t xml:space="preserve">Les </w:t>
      </w:r>
      <w:r w:rsidR="00793B26" w:rsidRPr="00D03A47">
        <w:t>E</w:t>
      </w:r>
      <w:r w:rsidR="008E2AA6" w:rsidRPr="00D03A47">
        <w:t>tats-Unis considèrent que la référence faite au "domaine de compétence respectif" des organisations dans l'Article 1 de l'Accord de coopération renvoie, en ce qui concerne l'UIT</w:t>
      </w:r>
      <w:r w:rsidR="004169D5" w:rsidRPr="00D03A47">
        <w:t>, à son mandat tel qu'il est actuellement défini dans la Constitution et la Convention</w:t>
      </w:r>
      <w:r w:rsidR="00857958" w:rsidRPr="00D03A47">
        <w:t xml:space="preserve"> de l'Union</w:t>
      </w:r>
      <w:r w:rsidR="004169D5" w:rsidRPr="00D03A47">
        <w:t>. En particulier, les Etats-Unis insistent sur le fait que la participation de l'UIT à cet Accord de coopération</w:t>
      </w:r>
      <w:r w:rsidR="00B70D22" w:rsidRPr="00D03A47">
        <w:t xml:space="preserve"> </w:t>
      </w:r>
      <w:r w:rsidR="00AF049C" w:rsidRPr="00D03A47">
        <w:t>ne saurait élargir le mandat de l'Union, notamment pour y inclure</w:t>
      </w:r>
      <w:r w:rsidR="00857958" w:rsidRPr="00D03A47">
        <w:t xml:space="preserve"> </w:t>
      </w:r>
      <w:r w:rsidR="00AF049C" w:rsidRPr="00D03A47">
        <w:t>la cybercriminalité ou l'exploitation en ligne des enfants, qui, conformément à cet Accord de coopération, sont des questions relevant de la ju</w:t>
      </w:r>
      <w:r w:rsidRPr="00D03A47">
        <w:t>ridiction exclusive d'INTERPOL."</w:t>
      </w:r>
    </w:p>
    <w:p w:rsidR="003E30D9" w:rsidRPr="00D03A47" w:rsidRDefault="00AF049C" w:rsidP="006004C7">
      <w:pPr>
        <w:tabs>
          <w:tab w:val="clear" w:pos="567"/>
          <w:tab w:val="clear" w:pos="1134"/>
          <w:tab w:val="clear" w:pos="1701"/>
          <w:tab w:val="clear" w:pos="2268"/>
          <w:tab w:val="clear" w:pos="2835"/>
        </w:tabs>
        <w:overflowPunct/>
        <w:autoSpaceDE/>
        <w:autoSpaceDN/>
        <w:adjustRightInd/>
        <w:textAlignment w:val="auto"/>
      </w:pPr>
      <w:r w:rsidRPr="00D03A47">
        <w:t>2.3</w:t>
      </w:r>
      <w:r w:rsidRPr="00D03A47">
        <w:tab/>
      </w:r>
      <w:r w:rsidR="003E30D9" w:rsidRPr="00D03A47">
        <w:t xml:space="preserve">Les conseillers se félicitent de l'application de la diligence due </w:t>
      </w:r>
      <w:r w:rsidR="006004C7" w:rsidRPr="00D03A47">
        <w:t xml:space="preserve">pour associer les </w:t>
      </w:r>
      <w:r w:rsidR="00793B26" w:rsidRPr="00D03A47">
        <w:t>E</w:t>
      </w:r>
      <w:r w:rsidR="003E30D9" w:rsidRPr="00D03A47">
        <w:t>tats Membres au processus de mise à jour de l'</w:t>
      </w:r>
      <w:r w:rsidR="006004C7" w:rsidRPr="00D03A47">
        <w:t>A</w:t>
      </w:r>
      <w:r w:rsidR="003E30D9" w:rsidRPr="00D03A47">
        <w:t>ccord de coopération</w:t>
      </w:r>
      <w:r w:rsidR="006004C7" w:rsidRPr="00D03A47">
        <w:t>,</w:t>
      </w:r>
      <w:r w:rsidR="003E30D9" w:rsidRPr="00D03A47">
        <w:t xml:space="preserve"> et demande</w:t>
      </w:r>
      <w:r w:rsidR="006004C7" w:rsidRPr="00D03A47">
        <w:t>nt</w:t>
      </w:r>
      <w:r w:rsidR="003E30D9" w:rsidRPr="00D03A47">
        <w:t xml:space="preserve"> que de tels niveaux d'engagement </w:t>
      </w:r>
      <w:r w:rsidR="00D03A47" w:rsidRPr="00D03A47">
        <w:t>soient</w:t>
      </w:r>
      <w:r w:rsidR="003E30D9" w:rsidRPr="00D03A47">
        <w:t xml:space="preserve"> maintenus. Un conseiller salue l'engagement de l'UIT auprès des organisations régionales, y compris sur les questions liées à la cybersécurité, engagement qu'il convient de poursuivre. Une conseillère explique que ce pays sera honoré de mettre en </w:t>
      </w:r>
      <w:r w:rsidR="00793B26" w:rsidRPr="00D03A47">
        <w:t>oe</w:t>
      </w:r>
      <w:r w:rsidR="003E30D9" w:rsidRPr="00D03A47">
        <w:t>uvre les activités énoncées dans l'Article 2 de</w:t>
      </w:r>
      <w:r w:rsidR="006004C7" w:rsidRPr="00D03A47">
        <w:t xml:space="preserve"> l'Accord de coopération compte</w:t>
      </w:r>
      <w:r w:rsidR="003E30D9" w:rsidRPr="00D03A47">
        <w:t xml:space="preserve"> dûment tenu de la souveraineté nationale</w:t>
      </w:r>
      <w:r w:rsidR="006004C7" w:rsidRPr="00D03A47">
        <w:t>,</w:t>
      </w:r>
      <w:r w:rsidR="003E30D9" w:rsidRPr="00D03A47">
        <w:t xml:space="preserve"> et attire l'attention sur </w:t>
      </w:r>
      <w:r w:rsidR="006004C7" w:rsidRPr="00D03A47">
        <w:t>des</w:t>
      </w:r>
      <w:r w:rsidR="003E30D9" w:rsidRPr="00D03A47">
        <w:t xml:space="preserve"> mesures prises au niveau national pour renforcer la cybersécurité.</w:t>
      </w:r>
    </w:p>
    <w:p w:rsidR="008E2AA6" w:rsidRPr="00D03A47" w:rsidRDefault="003E30D9" w:rsidP="00EB4203">
      <w:pPr>
        <w:tabs>
          <w:tab w:val="clear" w:pos="567"/>
          <w:tab w:val="clear" w:pos="1134"/>
          <w:tab w:val="clear" w:pos="1701"/>
          <w:tab w:val="clear" w:pos="2268"/>
          <w:tab w:val="clear" w:pos="2835"/>
        </w:tabs>
        <w:overflowPunct/>
        <w:autoSpaceDE/>
        <w:autoSpaceDN/>
        <w:adjustRightInd/>
        <w:textAlignment w:val="auto"/>
      </w:pPr>
      <w:r w:rsidRPr="00D03A47">
        <w:t>2.4</w:t>
      </w:r>
      <w:r w:rsidRPr="00D03A47">
        <w:tab/>
        <w:t xml:space="preserve">Le Conseil </w:t>
      </w:r>
      <w:r w:rsidRPr="00D03A47">
        <w:rPr>
          <w:b/>
          <w:bCs/>
        </w:rPr>
        <w:t>prend note</w:t>
      </w:r>
      <w:r w:rsidRPr="00D03A47">
        <w:t xml:space="preserve"> du Document C17/65, </w:t>
      </w:r>
      <w:r w:rsidRPr="00D03A47">
        <w:rPr>
          <w:b/>
          <w:bCs/>
        </w:rPr>
        <w:t>approuve</w:t>
      </w:r>
      <w:r w:rsidRPr="00D03A47">
        <w:t xml:space="preserve">, </w:t>
      </w:r>
      <w:r w:rsidRPr="00D03A47">
        <w:rPr>
          <w:b/>
          <w:bCs/>
        </w:rPr>
        <w:t>à titre provisoire</w:t>
      </w:r>
      <w:r w:rsidRPr="00D03A47">
        <w:t xml:space="preserve">, l'Accord de coopération figurant dans l'Annexe A et </w:t>
      </w:r>
      <w:r w:rsidRPr="00D03A47">
        <w:rPr>
          <w:b/>
          <w:bCs/>
        </w:rPr>
        <w:t xml:space="preserve">autorise </w:t>
      </w:r>
      <w:r w:rsidRPr="00D03A47">
        <w:t>le Secrétaire général à le signer, conformément au projet de Décision reproduit dans l'Annexe B</w:t>
      </w:r>
      <w:r w:rsidR="00DF772B" w:rsidRPr="00D03A47">
        <w:t>.</w:t>
      </w:r>
    </w:p>
    <w:p w:rsidR="00DF772B" w:rsidRPr="00D03A47" w:rsidRDefault="00DF772B" w:rsidP="000C70F2">
      <w:pPr>
        <w:pStyle w:val="Heading1"/>
      </w:pPr>
      <w:r w:rsidRPr="00D03A47">
        <w:t>3</w:t>
      </w:r>
      <w:r w:rsidRPr="00D03A47">
        <w:tab/>
        <w:t xml:space="preserve">Rôle de l'UIT en tant qu'Autorité de surveillance du système international d'inscription pour les biens spatiaux, conformément au Protocole portant sur les biens spatiaux (Documents </w:t>
      </w:r>
      <w:hyperlink r:id="rId25" w:history="1">
        <w:r w:rsidRPr="00D03A47">
          <w:rPr>
            <w:rStyle w:val="Hyperlink"/>
            <w:bCs/>
          </w:rPr>
          <w:t>C17/36</w:t>
        </w:r>
      </w:hyperlink>
      <w:r w:rsidRPr="00D03A47">
        <w:t xml:space="preserve">(Rév.1), </w:t>
      </w:r>
      <w:hyperlink r:id="rId26" w:history="1">
        <w:r w:rsidRPr="00D03A47">
          <w:rPr>
            <w:rStyle w:val="Hyperlink"/>
            <w:bCs/>
          </w:rPr>
          <w:t>C17/94</w:t>
        </w:r>
      </w:hyperlink>
      <w:r w:rsidRPr="00D03A47">
        <w:t xml:space="preserve"> et </w:t>
      </w:r>
      <w:hyperlink r:id="rId27" w:history="1">
        <w:r w:rsidRPr="00D03A47">
          <w:rPr>
            <w:rStyle w:val="Hyperlink"/>
            <w:bCs/>
          </w:rPr>
          <w:t>C17/111</w:t>
        </w:r>
      </w:hyperlink>
      <w:r w:rsidRPr="00D03A47">
        <w:t>)</w:t>
      </w:r>
    </w:p>
    <w:p w:rsidR="00DF772B" w:rsidRPr="00D03A47" w:rsidRDefault="00DF772B" w:rsidP="00150168">
      <w:pPr>
        <w:tabs>
          <w:tab w:val="clear" w:pos="567"/>
          <w:tab w:val="clear" w:pos="1134"/>
          <w:tab w:val="clear" w:pos="1701"/>
          <w:tab w:val="clear" w:pos="2268"/>
          <w:tab w:val="clear" w:pos="2835"/>
        </w:tabs>
        <w:overflowPunct/>
        <w:autoSpaceDE/>
        <w:autoSpaceDN/>
        <w:adjustRightInd/>
        <w:textAlignment w:val="auto"/>
      </w:pPr>
      <w:r w:rsidRPr="00D03A47">
        <w:t>3.1</w:t>
      </w:r>
      <w:r w:rsidRPr="00D03A47">
        <w:tab/>
      </w:r>
      <w:r w:rsidR="00CF7CA9" w:rsidRPr="00D03A47">
        <w:t>Le représentant du</w:t>
      </w:r>
      <w:r w:rsidR="003F5312">
        <w:t xml:space="preserve"> BR présente le Document C17/36</w:t>
      </w:r>
      <w:r w:rsidR="00CF7CA9" w:rsidRPr="00D03A47">
        <w:t>(Rév. 1) et rappelle qu</w:t>
      </w:r>
      <w:r w:rsidR="006004C7" w:rsidRPr="00D03A47">
        <w:t>'à</w:t>
      </w:r>
      <w:r w:rsidR="00C83BEA">
        <w:t xml:space="preserve"> sa session de </w:t>
      </w:r>
      <w:r w:rsidR="006004C7" w:rsidRPr="00D03A47">
        <w:t xml:space="preserve">2016, </w:t>
      </w:r>
      <w:r w:rsidR="00CF7CA9" w:rsidRPr="00D03A47">
        <w:t xml:space="preserve">le Conseil a noté que la possibilité que l'UIT devienne l'Autorité de surveillance du système international d'inscription pour les biens spatiaux conformément au Protocole portant sur les biens spatiaux n'avait donné lieu à aucune objection de principe, mais que la décision du Conseil ne devrait pas sembler préjuger la décision de la PP-18. Les questions soulevées par le Conseil à sa session de 2016 concernant les conditions et restrictions </w:t>
      </w:r>
      <w:r w:rsidR="006004C7" w:rsidRPr="00D03A47">
        <w:t xml:space="preserve">à appliquer </w:t>
      </w:r>
      <w:r w:rsidR="00CF7CA9" w:rsidRPr="00D03A47">
        <w:t>au cas où l'UIT assumer</w:t>
      </w:r>
      <w:r w:rsidR="006004C7" w:rsidRPr="00D03A47">
        <w:t>ait</w:t>
      </w:r>
      <w:r w:rsidR="00CF7CA9" w:rsidRPr="00D03A47">
        <w:t xml:space="preserve"> le rôle d'Autorité de surveillance sont traitées dans les paragraphes 4 à 13. Le Conseil est invité à approuver la question de l'acceptation par l'UIT des fonctions d'Autorité de surveillance au moment de, ou après, l'entrée en vigueur du Protocole</w:t>
      </w:r>
      <w:r w:rsidR="00150168" w:rsidRPr="00D03A47">
        <w:t xml:space="preserve"> portant sur les biens spatiaux</w:t>
      </w:r>
      <w:r w:rsidR="00CF7CA9" w:rsidRPr="00D03A47">
        <w:t xml:space="preserve"> et à recommander des mesures dans ce sens à la PP-18; à examiner les conditions qui pourraient être nécessaires au cas où l'UIT assumerait le rôle d'Autorité de surveillance et à les approuver pour recommandation à la PP-18; et à autoriser le Secrétaire général, ou son représentant, à continuer de participer à titre d'observateur aux travaux de la Commission préparatoire et de ses groupes de travail</w:t>
      </w:r>
      <w:r w:rsidR="00EB535E" w:rsidRPr="00D03A47">
        <w:t>.</w:t>
      </w:r>
    </w:p>
    <w:p w:rsidR="00EB535E" w:rsidRPr="00D03A47" w:rsidRDefault="00EB535E" w:rsidP="00150168">
      <w:pPr>
        <w:tabs>
          <w:tab w:val="clear" w:pos="567"/>
          <w:tab w:val="clear" w:pos="1134"/>
          <w:tab w:val="clear" w:pos="1701"/>
          <w:tab w:val="clear" w:pos="2268"/>
          <w:tab w:val="clear" w:pos="2835"/>
        </w:tabs>
        <w:overflowPunct/>
        <w:autoSpaceDE/>
        <w:autoSpaceDN/>
        <w:adjustRightInd/>
        <w:textAlignment w:val="auto"/>
      </w:pPr>
      <w:r w:rsidRPr="00D03A47">
        <w:t>3.2</w:t>
      </w:r>
      <w:r w:rsidRPr="00D03A47">
        <w:tab/>
      </w:r>
      <w:r w:rsidR="002A5F81" w:rsidRPr="00D03A47">
        <w:t xml:space="preserve">La conseillère des </w:t>
      </w:r>
      <w:r w:rsidR="00793B26" w:rsidRPr="00D03A47">
        <w:t>E</w:t>
      </w:r>
      <w:r w:rsidR="002A5F81" w:rsidRPr="00D03A47">
        <w:t xml:space="preserve">tats-Unis présente le Document C17/94, qui contient une lettre de la Satellite Industry Association </w:t>
      </w:r>
      <w:r w:rsidR="00150168" w:rsidRPr="00D03A47">
        <w:t>décriv</w:t>
      </w:r>
      <w:r w:rsidR="002A5F81" w:rsidRPr="00D03A47">
        <w:t>ant les préoccupations relatives à l'établissement d'un Registre international pour les biens spatiaux et l'acceptation par l'UIT des fonctions d'Autorité de surveillance</w:t>
      </w:r>
      <w:r w:rsidR="00105602" w:rsidRPr="00D03A47">
        <w:t>.</w:t>
      </w:r>
    </w:p>
    <w:p w:rsidR="00105602" w:rsidRPr="00D03A47" w:rsidRDefault="00105602" w:rsidP="00EB4203">
      <w:pPr>
        <w:tabs>
          <w:tab w:val="clear" w:pos="567"/>
          <w:tab w:val="clear" w:pos="1134"/>
          <w:tab w:val="clear" w:pos="1701"/>
          <w:tab w:val="clear" w:pos="2268"/>
          <w:tab w:val="clear" w:pos="2835"/>
        </w:tabs>
        <w:overflowPunct/>
        <w:autoSpaceDE/>
        <w:autoSpaceDN/>
        <w:adjustRightInd/>
        <w:textAlignment w:val="auto"/>
      </w:pPr>
      <w:r w:rsidRPr="00D03A47">
        <w:lastRenderedPageBreak/>
        <w:t>3.3</w:t>
      </w:r>
      <w:r w:rsidRPr="00D03A47">
        <w:tab/>
        <w:t xml:space="preserve">La Présidente attire l'attention sur le Document C17/111, qui contient les conclusions de la réunion du GCR, et explique que le GCR a pris note des informations fournies dans le rapport du Directeur sur les questions liées au </w:t>
      </w:r>
      <w:r w:rsidR="00150168" w:rsidRPr="00D03A47">
        <w:t>P</w:t>
      </w:r>
      <w:r w:rsidRPr="00D03A47">
        <w:t xml:space="preserve">rotocole </w:t>
      </w:r>
      <w:r w:rsidR="00150168" w:rsidRPr="00D03A47">
        <w:t xml:space="preserve">portant </w:t>
      </w:r>
      <w:r w:rsidRPr="00D03A47">
        <w:t>sur les biens spatiaux.</w:t>
      </w:r>
    </w:p>
    <w:p w:rsidR="005474B3" w:rsidRPr="00D03A47" w:rsidRDefault="00105602" w:rsidP="00466C1D">
      <w:pPr>
        <w:tabs>
          <w:tab w:val="clear" w:pos="567"/>
          <w:tab w:val="clear" w:pos="1134"/>
          <w:tab w:val="clear" w:pos="1701"/>
          <w:tab w:val="clear" w:pos="2268"/>
          <w:tab w:val="clear" w:pos="2835"/>
        </w:tabs>
        <w:overflowPunct/>
        <w:autoSpaceDE/>
        <w:autoSpaceDN/>
        <w:adjustRightInd/>
        <w:textAlignment w:val="auto"/>
      </w:pPr>
      <w:r w:rsidRPr="00D03A47">
        <w:t>3.4</w:t>
      </w:r>
      <w:r w:rsidRPr="00D03A47">
        <w:tab/>
      </w:r>
      <w:r w:rsidR="00A613B6">
        <w:t>Plusieurs</w:t>
      </w:r>
      <w:r w:rsidR="004412AA" w:rsidRPr="00D03A47">
        <w:t xml:space="preserve"> conseillers disent</w:t>
      </w:r>
      <w:r w:rsidRPr="00D03A47">
        <w:t xml:space="preserve"> que l'UIT est bien placé</w:t>
      </w:r>
      <w:r w:rsidR="00150168" w:rsidRPr="00D03A47">
        <w:t>e</w:t>
      </w:r>
      <w:r w:rsidRPr="00D03A47">
        <w:t xml:space="preserve"> pour devenir l'Autorité de surveillance</w:t>
      </w:r>
      <w:r w:rsidR="00A613B6">
        <w:t xml:space="preserve"> et</w:t>
      </w:r>
      <w:r w:rsidRPr="00D03A47">
        <w:t xml:space="preserve"> pense</w:t>
      </w:r>
      <w:r w:rsidR="00A613B6">
        <w:t>nt</w:t>
      </w:r>
      <w:r w:rsidRPr="00D03A47">
        <w:t xml:space="preserve"> qu'elle devrait assumer ce rôle</w:t>
      </w:r>
      <w:r w:rsidR="005474B3" w:rsidRPr="00D03A47">
        <w:t xml:space="preserve">. Un conseiller est favorable à ce que le Secrétaire général ou son représentant continue de participer aux travaux de la Commission préparatoire. Un autre conseiller dit que cette question, </w:t>
      </w:r>
      <w:r w:rsidR="00150168" w:rsidRPr="00D03A47">
        <w:t>qui est</w:t>
      </w:r>
      <w:r w:rsidR="005474B3" w:rsidRPr="00D03A47">
        <w:t xml:space="preserve"> à l'ordre du jour du Conseil depuis 2011, doit être tranché</w:t>
      </w:r>
      <w:r w:rsidR="00150168" w:rsidRPr="00D03A47">
        <w:t>e</w:t>
      </w:r>
      <w:r w:rsidR="005474B3" w:rsidRPr="00D03A47">
        <w:t xml:space="preserve"> définitivement. Il se félicite des points essentiels présentés dans les paragr</w:t>
      </w:r>
      <w:r w:rsidR="004971D0">
        <w:t>aphes 4 à 13 du Document C17/36</w:t>
      </w:r>
      <w:r w:rsidR="00E43F05">
        <w:t>(Rév.</w:t>
      </w:r>
      <w:r w:rsidR="005474B3" w:rsidRPr="00D03A47">
        <w:t xml:space="preserve">1), mais indique que </w:t>
      </w:r>
      <w:r w:rsidR="00466C1D">
        <w:t>deux</w:t>
      </w:r>
      <w:r w:rsidR="005474B3" w:rsidRPr="00D03A47">
        <w:t xml:space="preserve"> d'entre eux devraient être décrits plus en détail dans un accord formel concernant le rôle de l'UIT en tant qu'</w:t>
      </w:r>
      <w:r w:rsidR="00150168" w:rsidRPr="00D03A47">
        <w:t>A</w:t>
      </w:r>
      <w:r w:rsidR="005474B3" w:rsidRPr="00D03A47">
        <w:t>utorité de surveillance, afin de veiller à ce que l'organisation soit pleinement protégée. Il est surpris de la lettre figurant dans le Document C17/94, et ce d'autant plus qu'aucune objection de principe n'a été formulée lors de la session de 2016 du Conseil, et il se demande à quel moment l</w:t>
      </w:r>
      <w:r w:rsidR="00150168" w:rsidRPr="00D03A47">
        <w:t xml:space="preserve">e </w:t>
      </w:r>
      <w:r w:rsidR="005474B3" w:rsidRPr="00D03A47">
        <w:t xml:space="preserve">dialogue </w:t>
      </w:r>
      <w:r w:rsidR="00150168" w:rsidRPr="00D03A47">
        <w:t xml:space="preserve">ininterrompu </w:t>
      </w:r>
      <w:r w:rsidR="005474B3" w:rsidRPr="00D03A47">
        <w:t>avec l'industrie aura lieu.</w:t>
      </w:r>
      <w:r w:rsidR="00A613B6">
        <w:t xml:space="preserve"> Le conseiller juridique confirme que l'UIT n'enfreindra pas sa</w:t>
      </w:r>
      <w:r w:rsidR="00E43F05">
        <w:t xml:space="preserve"> C</w:t>
      </w:r>
      <w:r w:rsidR="00A613B6">
        <w:t>onstitution dans le cas où elle assumerait le rôle d'Autorité de surveillance.</w:t>
      </w:r>
    </w:p>
    <w:p w:rsidR="00F629B4" w:rsidRPr="00D03A47" w:rsidRDefault="005474B3" w:rsidP="00A613B6">
      <w:pPr>
        <w:tabs>
          <w:tab w:val="clear" w:pos="567"/>
          <w:tab w:val="clear" w:pos="1134"/>
          <w:tab w:val="clear" w:pos="1701"/>
          <w:tab w:val="clear" w:pos="2268"/>
          <w:tab w:val="clear" w:pos="2835"/>
        </w:tabs>
        <w:overflowPunct/>
        <w:autoSpaceDE/>
        <w:autoSpaceDN/>
        <w:adjustRightInd/>
        <w:textAlignment w:val="auto"/>
      </w:pPr>
      <w:r w:rsidRPr="00D03A47">
        <w:t>3.5</w:t>
      </w:r>
      <w:r w:rsidRPr="00D03A47">
        <w:tab/>
        <w:t>P</w:t>
      </w:r>
      <w:r w:rsidR="00150168" w:rsidRPr="00D03A47">
        <w:t xml:space="preserve">our </w:t>
      </w:r>
      <w:r w:rsidR="00A613B6">
        <w:t>certains</w:t>
      </w:r>
      <w:r w:rsidRPr="00D03A47">
        <w:t xml:space="preserve"> conseillers</w:t>
      </w:r>
      <w:r w:rsidR="00150168" w:rsidRPr="00D03A47">
        <w:t>,</w:t>
      </w:r>
      <w:r w:rsidR="00315A58" w:rsidRPr="00D03A47">
        <w:t xml:space="preserve"> </w:t>
      </w:r>
      <w:r w:rsidRPr="00D03A47">
        <w:t>il serait prématuré que le Conseil</w:t>
      </w:r>
      <w:r w:rsidR="00150168" w:rsidRPr="00D03A47">
        <w:t>,</w:t>
      </w:r>
      <w:r w:rsidRPr="00D03A47">
        <w:t xml:space="preserve"> à sa session de 2017</w:t>
      </w:r>
      <w:r w:rsidR="00150168" w:rsidRPr="00D03A47">
        <w:t>,</w:t>
      </w:r>
      <w:r w:rsidRPr="00D03A47">
        <w:t xml:space="preserve"> accepte que l'UIT devienne l'Autorité de surveillance, vu les préoccupations dont a fait part l'industrie </w:t>
      </w:r>
      <w:r w:rsidR="00FA3D30" w:rsidRPr="00D03A47">
        <w:t>satellitaire</w:t>
      </w:r>
      <w:r w:rsidRPr="00D03A47">
        <w:t>,</w:t>
      </w:r>
      <w:r w:rsidR="00F629B4" w:rsidRPr="00D03A47">
        <w:t xml:space="preserve"> les questions financières </w:t>
      </w:r>
      <w:r w:rsidR="00150168" w:rsidRPr="00D03A47">
        <w:t>non résolues</w:t>
      </w:r>
      <w:r w:rsidR="00F629B4" w:rsidRPr="00D03A47">
        <w:t xml:space="preserve"> et l'absence de définition </w:t>
      </w:r>
      <w:r w:rsidR="00150168" w:rsidRPr="00D03A47">
        <w:t>pour</w:t>
      </w:r>
      <w:r w:rsidR="00F629B4" w:rsidRPr="00D03A47">
        <w:t xml:space="preserve"> l'expression </w:t>
      </w:r>
      <w:r w:rsidR="00150168" w:rsidRPr="00D03A47">
        <w:t>"</w:t>
      </w:r>
      <w:r w:rsidR="00F629B4" w:rsidRPr="00D03A47">
        <w:t>biens spatiaux</w:t>
      </w:r>
      <w:r w:rsidR="00150168" w:rsidRPr="00D03A47">
        <w:t>"</w:t>
      </w:r>
      <w:r w:rsidR="00F629B4" w:rsidRPr="00D03A47">
        <w:t>. La décision finale devrait être prise par la PP-18.</w:t>
      </w:r>
    </w:p>
    <w:p w:rsidR="004412AA" w:rsidRPr="00D03A47" w:rsidRDefault="00F629B4" w:rsidP="00EB4203">
      <w:pPr>
        <w:tabs>
          <w:tab w:val="clear" w:pos="567"/>
          <w:tab w:val="clear" w:pos="1134"/>
          <w:tab w:val="clear" w:pos="1701"/>
          <w:tab w:val="clear" w:pos="2268"/>
          <w:tab w:val="clear" w:pos="2835"/>
        </w:tabs>
        <w:overflowPunct/>
        <w:autoSpaceDE/>
        <w:autoSpaceDN/>
        <w:adjustRightInd/>
        <w:textAlignment w:val="auto"/>
      </w:pPr>
      <w:r w:rsidRPr="00D03A47">
        <w:t>3.6</w:t>
      </w:r>
      <w:r w:rsidRPr="00D03A47">
        <w:tab/>
      </w:r>
      <w:r w:rsidR="004412AA" w:rsidRPr="00D03A47">
        <w:t>Un conseiller insiste sur le fait que les décisions devraient être motivé</w:t>
      </w:r>
      <w:r w:rsidR="00D52993" w:rsidRPr="00D03A47">
        <w:t>es</w:t>
      </w:r>
      <w:r w:rsidR="004412AA" w:rsidRPr="00D03A47">
        <w:t xml:space="preserve"> par la volonté des </w:t>
      </w:r>
      <w:r w:rsidR="00793B26" w:rsidRPr="00D03A47">
        <w:t>E</w:t>
      </w:r>
      <w:r w:rsidR="004412AA" w:rsidRPr="00D03A47">
        <w:t xml:space="preserve">tats Membres, et non </w:t>
      </w:r>
      <w:r w:rsidR="00407024" w:rsidRPr="00D03A47">
        <w:t xml:space="preserve">par </w:t>
      </w:r>
      <w:r w:rsidR="004412AA" w:rsidRPr="00D03A47">
        <w:t>celle de l'industrie, qui cherche à défendre les intérêts des opérateurs actuels. Le Conseil devrait accepter que l'UIT devienne l'Autorité de surveillance.</w:t>
      </w:r>
    </w:p>
    <w:p w:rsidR="004412AA" w:rsidRPr="00D03A47" w:rsidRDefault="004412AA" w:rsidP="00407024">
      <w:pPr>
        <w:tabs>
          <w:tab w:val="clear" w:pos="567"/>
          <w:tab w:val="clear" w:pos="1134"/>
          <w:tab w:val="clear" w:pos="1701"/>
          <w:tab w:val="clear" w:pos="2268"/>
          <w:tab w:val="clear" w:pos="2835"/>
        </w:tabs>
        <w:overflowPunct/>
        <w:autoSpaceDE/>
        <w:autoSpaceDN/>
        <w:adjustRightInd/>
        <w:textAlignment w:val="auto"/>
      </w:pPr>
      <w:r w:rsidRPr="00D03A47">
        <w:t>3.7</w:t>
      </w:r>
      <w:r w:rsidRPr="00D03A47">
        <w:tab/>
        <w:t>Le Conseiller juridique explique que tout accord pertinent entre l'UIT et l'Institut international pour l'unification du droit privé (UNIDROIT) sera formulé avec le plus grand soin et note que nombres des points soulevés par les conseillers ont déjà été pris en compte. En réponse à une observation d'un conseiller, il explique qu'étant donné que le rôle d'Autorité de surveillance serait nouveau pour l'U</w:t>
      </w:r>
      <w:r w:rsidR="00407024" w:rsidRPr="00D03A47">
        <w:t>nion</w:t>
      </w:r>
      <w:r w:rsidRPr="00D03A47">
        <w:t xml:space="preserve">, il serait judicieux </w:t>
      </w:r>
      <w:r w:rsidR="00407024" w:rsidRPr="00D03A47">
        <w:t xml:space="preserve">que l'éventuel </w:t>
      </w:r>
      <w:r w:rsidRPr="00D03A47">
        <w:t xml:space="preserve">accord formel </w:t>
      </w:r>
      <w:r w:rsidR="00407024" w:rsidRPr="00D03A47">
        <w:t>de</w:t>
      </w:r>
      <w:r w:rsidRPr="00D03A47">
        <w:t xml:space="preserve"> l'UIT</w:t>
      </w:r>
      <w:r w:rsidR="00407024" w:rsidRPr="00D03A47">
        <w:t xml:space="preserve"> soit un accord d'une durée limitée afin que </w:t>
      </w:r>
      <w:r w:rsidRPr="00D03A47">
        <w:t xml:space="preserve">la PP-22 </w:t>
      </w:r>
      <w:r w:rsidR="00407024" w:rsidRPr="00D03A47">
        <w:t xml:space="preserve">ait </w:t>
      </w:r>
      <w:r w:rsidRPr="00D03A47">
        <w:t>la possibilité de</w:t>
      </w:r>
      <w:r w:rsidR="00407024" w:rsidRPr="00D03A47">
        <w:t xml:space="preserve"> se prononcer sur l'opportunité de </w:t>
      </w:r>
      <w:r w:rsidRPr="00D03A47">
        <w:t>poursuivre</w:t>
      </w:r>
      <w:r w:rsidR="00407024" w:rsidRPr="00D03A47">
        <w:t xml:space="preserve">, ou non, </w:t>
      </w:r>
      <w:r w:rsidRPr="00D03A47">
        <w:t>cette activité.</w:t>
      </w:r>
    </w:p>
    <w:p w:rsidR="00757019" w:rsidRPr="00D03A47" w:rsidRDefault="004412AA" w:rsidP="00D613B9">
      <w:pPr>
        <w:tabs>
          <w:tab w:val="clear" w:pos="567"/>
          <w:tab w:val="clear" w:pos="1134"/>
          <w:tab w:val="clear" w:pos="1701"/>
          <w:tab w:val="clear" w:pos="2268"/>
          <w:tab w:val="clear" w:pos="2835"/>
        </w:tabs>
        <w:overflowPunct/>
        <w:autoSpaceDE/>
        <w:autoSpaceDN/>
        <w:adjustRightInd/>
        <w:textAlignment w:val="auto"/>
      </w:pPr>
      <w:r w:rsidRPr="00D03A47">
        <w:t>3.8</w:t>
      </w:r>
      <w:r w:rsidRPr="00D03A47">
        <w:tab/>
        <w:t>En ce qui concerne les préoccupations présentées dans le Document C17/94, le représentant du BR explique que</w:t>
      </w:r>
      <w:r w:rsidR="00315A58" w:rsidRPr="00D03A47">
        <w:t xml:space="preserve"> le règlement visé dans le Protocole portant sur les biens spatiaux ne serait applicable qu</w:t>
      </w:r>
      <w:r w:rsidR="00A613B6">
        <w:t>'</w:t>
      </w:r>
      <w:r w:rsidR="00315A58" w:rsidRPr="00D03A47">
        <w:t>aux opérateurs souhaitant obtenir un financement dans le cadre de ce processus d</w:t>
      </w:r>
      <w:r w:rsidR="00A613B6">
        <w:t>'</w:t>
      </w:r>
      <w:r w:rsidR="00315A58" w:rsidRPr="00D03A47">
        <w:t xml:space="preserve">inscription, à titre volontaire. Si l'UIT était l'Autorité de surveillance, elle </w:t>
      </w:r>
      <w:r w:rsidR="00D613B9" w:rsidRPr="00D03A47">
        <w:t>se</w:t>
      </w:r>
      <w:r w:rsidR="00315A58" w:rsidRPr="00D03A47">
        <w:t xml:space="preserve">rait </w:t>
      </w:r>
      <w:r w:rsidR="00D613B9" w:rsidRPr="00D03A47">
        <w:t xml:space="preserve">mieux placée pour prendre part aux </w:t>
      </w:r>
      <w:r w:rsidR="00315A58" w:rsidRPr="00D03A47">
        <w:t>discussions concer</w:t>
      </w:r>
      <w:r w:rsidR="00D613B9" w:rsidRPr="00D03A47">
        <w:t>nant une</w:t>
      </w:r>
      <w:r w:rsidR="00315A58" w:rsidRPr="00D03A47">
        <w:t xml:space="preserve"> possible future définition des biens spatiaux</w:t>
      </w:r>
      <w:r w:rsidR="00A613B6">
        <w:t xml:space="preserve"> et ne serait pas un acteur extérieur dont la participation aux discussions n'est </w:t>
      </w:r>
      <w:r w:rsidR="00E43F05">
        <w:t>p</w:t>
      </w:r>
      <w:r w:rsidR="00A613B6">
        <w:t>as bienvenue</w:t>
      </w:r>
      <w:r w:rsidR="00315A58" w:rsidRPr="00D03A47">
        <w:t xml:space="preserve">. Le fait que l'UIT devienne l'Autorité de surveillance n'aurait pas d'incidences financières puisque les coûts </w:t>
      </w:r>
      <w:r w:rsidR="00757019" w:rsidRPr="00D03A47">
        <w:t xml:space="preserve">liés aux </w:t>
      </w:r>
      <w:r w:rsidR="00D613B9" w:rsidRPr="00D03A47">
        <w:t xml:space="preserve">éventuels </w:t>
      </w:r>
      <w:r w:rsidR="00757019" w:rsidRPr="00D03A47">
        <w:t>fonctionnaires supplémentaires feraient l'objet d'un recouvrement intégral.</w:t>
      </w:r>
    </w:p>
    <w:p w:rsidR="00757019" w:rsidRPr="00D03A47" w:rsidRDefault="00757019" w:rsidP="00EB4203">
      <w:pPr>
        <w:tabs>
          <w:tab w:val="clear" w:pos="567"/>
          <w:tab w:val="clear" w:pos="1134"/>
          <w:tab w:val="clear" w:pos="1701"/>
          <w:tab w:val="clear" w:pos="2268"/>
          <w:tab w:val="clear" w:pos="2835"/>
        </w:tabs>
        <w:overflowPunct/>
        <w:autoSpaceDE/>
        <w:autoSpaceDN/>
        <w:adjustRightInd/>
        <w:textAlignment w:val="auto"/>
      </w:pPr>
      <w:r w:rsidRPr="00D03A47">
        <w:t>3.9</w:t>
      </w:r>
      <w:r w:rsidRPr="00D03A47">
        <w:tab/>
        <w:t>La Présidente</w:t>
      </w:r>
      <w:r w:rsidR="00315A58" w:rsidRPr="00D03A47">
        <w:t xml:space="preserve"> </w:t>
      </w:r>
      <w:r w:rsidR="00A613B6">
        <w:t>prend note de l'absence d'objections de principe au fait que l'UIT devienne</w:t>
      </w:r>
      <w:r w:rsidR="0034761F">
        <w:t xml:space="preserve"> l'Autorité de surveillance et </w:t>
      </w:r>
      <w:r w:rsidRPr="00D03A47">
        <w:t>fait remarquer que, de l'avis général, la décision finale devrait être prise par la PP-18.</w:t>
      </w:r>
    </w:p>
    <w:p w:rsidR="00403C2E" w:rsidRDefault="00403C2E" w:rsidP="00D613B9">
      <w:pPr>
        <w:tabs>
          <w:tab w:val="clear" w:pos="567"/>
          <w:tab w:val="clear" w:pos="1134"/>
          <w:tab w:val="clear" w:pos="1701"/>
          <w:tab w:val="clear" w:pos="2268"/>
          <w:tab w:val="clear" w:pos="2835"/>
        </w:tabs>
        <w:overflowPunct/>
        <w:autoSpaceDE/>
        <w:autoSpaceDN/>
        <w:adjustRightInd/>
        <w:textAlignment w:val="auto"/>
      </w:pPr>
      <w:r>
        <w:br w:type="page"/>
      </w:r>
    </w:p>
    <w:p w:rsidR="00105602" w:rsidRPr="00D03A47" w:rsidRDefault="00B57D88" w:rsidP="00D613B9">
      <w:pPr>
        <w:tabs>
          <w:tab w:val="clear" w:pos="567"/>
          <w:tab w:val="clear" w:pos="1134"/>
          <w:tab w:val="clear" w:pos="1701"/>
          <w:tab w:val="clear" w:pos="2268"/>
          <w:tab w:val="clear" w:pos="2835"/>
        </w:tabs>
        <w:overflowPunct/>
        <w:autoSpaceDE/>
        <w:autoSpaceDN/>
        <w:adjustRightInd/>
        <w:textAlignment w:val="auto"/>
      </w:pPr>
      <w:r w:rsidRPr="00D03A47">
        <w:lastRenderedPageBreak/>
        <w:t>3.10</w:t>
      </w:r>
      <w:r w:rsidRPr="00D03A47">
        <w:tab/>
        <w:t>Le Conseil</w:t>
      </w:r>
      <w:r w:rsidR="00757019" w:rsidRPr="00D03A47">
        <w:t xml:space="preserve"> </w:t>
      </w:r>
      <w:r w:rsidR="00757019" w:rsidRPr="00D03A47">
        <w:rPr>
          <w:b/>
          <w:bCs/>
        </w:rPr>
        <w:t>prend note</w:t>
      </w:r>
      <w:r w:rsidR="00757019" w:rsidRPr="00D03A47">
        <w:t xml:space="preserve"> du Document</w:t>
      </w:r>
      <w:r w:rsidR="00E90A99">
        <w:t xml:space="preserve"> C17/36(Rév.</w:t>
      </w:r>
      <w:r w:rsidRPr="00D03A47">
        <w:t xml:space="preserve">1), </w:t>
      </w:r>
      <w:r w:rsidRPr="00D03A47">
        <w:rPr>
          <w:b/>
          <w:bCs/>
        </w:rPr>
        <w:t>autorise</w:t>
      </w:r>
      <w:r w:rsidRPr="00D03A47">
        <w:t xml:space="preserve"> le </w:t>
      </w:r>
      <w:r w:rsidR="00D613B9" w:rsidRPr="00D03A47">
        <w:t>Secrétaire général</w:t>
      </w:r>
      <w:r w:rsidRPr="00D03A47">
        <w:t xml:space="preserve"> </w:t>
      </w:r>
      <w:r w:rsidR="00D613B9" w:rsidRPr="00D03A47">
        <w:t>(</w:t>
      </w:r>
      <w:r w:rsidRPr="00D03A47">
        <w:t>ou son représentant</w:t>
      </w:r>
      <w:r w:rsidR="00D613B9" w:rsidRPr="00D03A47">
        <w:t>)</w:t>
      </w:r>
      <w:r w:rsidRPr="00D03A47">
        <w:t xml:space="preserve"> à continuer de participer aux travaux de la Commission préparatoire et de ses groupes de travail et </w:t>
      </w:r>
      <w:r w:rsidRPr="00D03A47">
        <w:rPr>
          <w:b/>
          <w:bCs/>
        </w:rPr>
        <w:t>approuve</w:t>
      </w:r>
      <w:r w:rsidRPr="00D03A47">
        <w:t xml:space="preserve"> les conditions énoncées dans les paragraphes 4 à 13 du document pour recommandation à la PP-18.</w:t>
      </w:r>
    </w:p>
    <w:p w:rsidR="0000172C" w:rsidRPr="00D03A47" w:rsidRDefault="0000172C" w:rsidP="000C70F2">
      <w:pPr>
        <w:pStyle w:val="Heading1"/>
        <w:rPr>
          <w:bCs/>
          <w:szCs w:val="24"/>
        </w:rPr>
      </w:pPr>
      <w:r w:rsidRPr="00D03A47">
        <w:rPr>
          <w:bCs/>
        </w:rPr>
        <w:t>4</w:t>
      </w:r>
      <w:r w:rsidRPr="00D03A47">
        <w:rPr>
          <w:bCs/>
        </w:rPr>
        <w:tab/>
      </w:r>
      <w:r w:rsidRPr="00D03A47">
        <w:rPr>
          <w:bCs/>
          <w:szCs w:val="24"/>
        </w:rPr>
        <w:t>Projets de plans opérationnels quadriennaux pour la période 2018-2021 (suite) (Documents</w:t>
      </w:r>
      <w:r w:rsidR="00470D0E" w:rsidRPr="00D03A47">
        <w:rPr>
          <w:bCs/>
          <w:szCs w:val="24"/>
        </w:rPr>
        <w:t xml:space="preserve"> </w:t>
      </w:r>
      <w:hyperlink r:id="rId28" w:history="1">
        <w:r w:rsidR="00470D0E" w:rsidRPr="00D03A47">
          <w:rPr>
            <w:rStyle w:val="Hyperlink"/>
            <w:bCs/>
            <w:szCs w:val="24"/>
          </w:rPr>
          <w:t>C17/28</w:t>
        </w:r>
      </w:hyperlink>
      <w:r w:rsidR="00470D0E" w:rsidRPr="00D03A47">
        <w:rPr>
          <w:bCs/>
          <w:szCs w:val="24"/>
        </w:rPr>
        <w:t xml:space="preserve">(Rév.1), </w:t>
      </w:r>
      <w:hyperlink r:id="rId29" w:history="1">
        <w:r w:rsidR="00470D0E" w:rsidRPr="00D03A47">
          <w:rPr>
            <w:rStyle w:val="Hyperlink"/>
            <w:bCs/>
            <w:szCs w:val="24"/>
          </w:rPr>
          <w:t>C17/29</w:t>
        </w:r>
      </w:hyperlink>
      <w:r w:rsidR="00470D0E" w:rsidRPr="00D03A47">
        <w:rPr>
          <w:bCs/>
          <w:szCs w:val="24"/>
        </w:rPr>
        <w:t xml:space="preserve">, </w:t>
      </w:r>
      <w:hyperlink r:id="rId30" w:history="1">
        <w:r w:rsidR="00470D0E" w:rsidRPr="00D03A47">
          <w:rPr>
            <w:rStyle w:val="Hyperlink"/>
            <w:bCs/>
            <w:szCs w:val="24"/>
          </w:rPr>
          <w:t>C17/30</w:t>
        </w:r>
      </w:hyperlink>
      <w:r w:rsidR="00470D0E" w:rsidRPr="00D03A47">
        <w:rPr>
          <w:bCs/>
          <w:szCs w:val="24"/>
        </w:rPr>
        <w:t xml:space="preserve">(Rév.1), </w:t>
      </w:r>
      <w:hyperlink r:id="rId31" w:history="1">
        <w:r w:rsidR="00470D0E" w:rsidRPr="00D03A47">
          <w:rPr>
            <w:rStyle w:val="Hyperlink"/>
            <w:bCs/>
            <w:szCs w:val="24"/>
          </w:rPr>
          <w:t>C17/31</w:t>
        </w:r>
      </w:hyperlink>
      <w:r w:rsidR="00470D0E" w:rsidRPr="00D03A47">
        <w:rPr>
          <w:bCs/>
          <w:szCs w:val="24"/>
        </w:rPr>
        <w:t xml:space="preserve"> et </w:t>
      </w:r>
      <w:hyperlink r:id="rId32" w:history="1">
        <w:r w:rsidR="00470D0E" w:rsidRPr="00D03A47">
          <w:rPr>
            <w:rStyle w:val="Hyperlink"/>
            <w:bCs/>
            <w:szCs w:val="24"/>
          </w:rPr>
          <w:t>C17/32</w:t>
        </w:r>
      </w:hyperlink>
      <w:r w:rsidR="00470D0E" w:rsidRPr="00D03A47">
        <w:rPr>
          <w:bCs/>
          <w:szCs w:val="24"/>
        </w:rPr>
        <w:t>)</w:t>
      </w:r>
    </w:p>
    <w:p w:rsidR="00470D0E" w:rsidRPr="00D03A47" w:rsidRDefault="00F30CF0" w:rsidP="00D613B9">
      <w:pPr>
        <w:tabs>
          <w:tab w:val="clear" w:pos="567"/>
          <w:tab w:val="clear" w:pos="1134"/>
          <w:tab w:val="clear" w:pos="1701"/>
          <w:tab w:val="clear" w:pos="2268"/>
          <w:tab w:val="clear" w:pos="2835"/>
        </w:tabs>
        <w:overflowPunct/>
        <w:autoSpaceDE/>
        <w:autoSpaceDN/>
        <w:adjustRightInd/>
        <w:textAlignment w:val="auto"/>
      </w:pPr>
      <w:r w:rsidRPr="00D03A47">
        <w:t>4.1</w:t>
      </w:r>
      <w:r w:rsidRPr="00D03A47">
        <w:tab/>
        <w:t xml:space="preserve">Le Conseil </w:t>
      </w:r>
      <w:r w:rsidRPr="00D03A47">
        <w:rPr>
          <w:b/>
          <w:bCs/>
        </w:rPr>
        <w:t>adopte</w:t>
      </w:r>
      <w:r w:rsidRPr="00D03A47">
        <w:t xml:space="preserve"> la Résolution reproduite dans le Document C17/32 et, par conséquent, </w:t>
      </w:r>
      <w:r w:rsidRPr="00D03A47">
        <w:rPr>
          <w:b/>
          <w:bCs/>
        </w:rPr>
        <w:t>approuve</w:t>
      </w:r>
      <w:r w:rsidRPr="00D03A47">
        <w:t xml:space="preserve"> les projets</w:t>
      </w:r>
      <w:r w:rsidR="00D613B9" w:rsidRPr="00D03A47">
        <w:t xml:space="preserve"> de plans quadriennaux glissant</w:t>
      </w:r>
      <w:r w:rsidRPr="00D03A47">
        <w:t>s pour l'UIT-R, l'UIT-T, l'UIT-D et le Secrétariat général pour la période 2018</w:t>
      </w:r>
      <w:r w:rsidR="00D613B9" w:rsidRPr="00D03A47">
        <w:t>-</w:t>
      </w:r>
      <w:r w:rsidRPr="00D03A47">
        <w:t>2021 (Documents C17/28(Rév.1), C17/29, C17/30(Rév.1)</w:t>
      </w:r>
      <w:r w:rsidR="00D613B9" w:rsidRPr="00D03A47">
        <w:t xml:space="preserve"> et</w:t>
      </w:r>
      <w:r w:rsidRPr="00D03A47">
        <w:t xml:space="preserve"> C17/31, étant entendu que les plans pour l'UIT-R et l'UIT-T seront révisés conformément aux discussions de la Commission permanente sur l'administration et de la gestion.</w:t>
      </w:r>
    </w:p>
    <w:p w:rsidR="00F30CF0" w:rsidRPr="00D03A47" w:rsidRDefault="00F30CF0" w:rsidP="000C70F2">
      <w:pPr>
        <w:pStyle w:val="Heading1"/>
      </w:pPr>
      <w:r w:rsidRPr="00D03A47">
        <w:t>5</w:t>
      </w:r>
      <w:r w:rsidRPr="00D03A47">
        <w:tab/>
        <w:t xml:space="preserve">Programme sur la conformité et l'interopérabilité </w:t>
      </w:r>
      <w:r w:rsidR="001D721F">
        <w:t>(</w:t>
      </w:r>
      <w:r w:rsidR="00D613B9" w:rsidRPr="00D03A47">
        <w:t>C&amp;I) –</w:t>
      </w:r>
      <w:r w:rsidRPr="00D03A47">
        <w:t xml:space="preserve"> Rapport d'activité et plan d'action (Document </w:t>
      </w:r>
      <w:hyperlink r:id="rId33" w:history="1">
        <w:r w:rsidRPr="00D03A47">
          <w:rPr>
            <w:rStyle w:val="Hyperlink"/>
            <w:bCs/>
            <w:szCs w:val="24"/>
          </w:rPr>
          <w:t>C17/24</w:t>
        </w:r>
      </w:hyperlink>
      <w:r w:rsidRPr="00D03A47">
        <w:t>)</w:t>
      </w:r>
    </w:p>
    <w:p w:rsidR="00F30CF0" w:rsidRPr="00D03A47" w:rsidRDefault="00A20BA7" w:rsidP="001D721F">
      <w:pPr>
        <w:tabs>
          <w:tab w:val="clear" w:pos="567"/>
          <w:tab w:val="clear" w:pos="1134"/>
          <w:tab w:val="clear" w:pos="1701"/>
          <w:tab w:val="clear" w:pos="2268"/>
          <w:tab w:val="clear" w:pos="2835"/>
        </w:tabs>
        <w:overflowPunct/>
        <w:autoSpaceDE/>
        <w:autoSpaceDN/>
        <w:adjustRightInd/>
        <w:textAlignment w:val="auto"/>
      </w:pPr>
      <w:r w:rsidRPr="00D03A47">
        <w:t>5.1</w:t>
      </w:r>
      <w:r w:rsidRPr="00D03A47">
        <w:tab/>
        <w:t>Le représentant du TSB présente le Document C17/24, qui fait le point sur les activités</w:t>
      </w:r>
      <w:r w:rsidR="002D61FA" w:rsidRPr="00D03A47">
        <w:t xml:space="preserve"> menées au titre des quatre piliers du P</w:t>
      </w:r>
      <w:r w:rsidR="001F2206" w:rsidRPr="00D03A47">
        <w:t xml:space="preserve">lan d'action </w:t>
      </w:r>
      <w:r w:rsidR="002D61FA" w:rsidRPr="00D03A47">
        <w:t>sur la conformité et l'interopérabilité</w:t>
      </w:r>
      <w:r w:rsidR="001F2206" w:rsidRPr="00D03A47">
        <w:t xml:space="preserve"> de l'UIT</w:t>
      </w:r>
      <w:r w:rsidR="00793B26" w:rsidRPr="00D03A47">
        <w:t>:</w:t>
      </w:r>
      <w:r w:rsidR="001D721F">
        <w:t xml:space="preserve"> 1) évaluation de la conformité;</w:t>
      </w:r>
      <w:r w:rsidR="002D61FA" w:rsidRPr="00D03A47">
        <w:t xml:space="preserve"> 2) réunions sur l'interopérabilité</w:t>
      </w:r>
      <w:r w:rsidR="001D721F">
        <w:t>;</w:t>
      </w:r>
      <w:r w:rsidR="002D61FA" w:rsidRPr="00D03A47">
        <w:t xml:space="preserve"> 3) renforcement des capacités des ressources humaines</w:t>
      </w:r>
      <w:r w:rsidR="001D721F">
        <w:t>;</w:t>
      </w:r>
      <w:r w:rsidR="002D61FA" w:rsidRPr="00D03A47">
        <w:t xml:space="preserve"> et 4) assistance pour l'établissement de centres de test et de programmes C&amp;I dans les pays en développement.</w:t>
      </w:r>
    </w:p>
    <w:p w:rsidR="00D724FB" w:rsidRPr="00D03A47" w:rsidRDefault="00D724FB" w:rsidP="001F2206">
      <w:pPr>
        <w:tabs>
          <w:tab w:val="clear" w:pos="567"/>
          <w:tab w:val="clear" w:pos="1134"/>
          <w:tab w:val="clear" w:pos="1701"/>
          <w:tab w:val="clear" w:pos="2268"/>
          <w:tab w:val="clear" w:pos="2835"/>
        </w:tabs>
        <w:overflowPunct/>
        <w:autoSpaceDE/>
        <w:autoSpaceDN/>
        <w:adjustRightInd/>
        <w:textAlignment w:val="auto"/>
      </w:pPr>
      <w:r w:rsidRPr="00D03A47">
        <w:t>5.2</w:t>
      </w:r>
      <w:r w:rsidRPr="00D03A47">
        <w:tab/>
        <w:t>Plusieurs conseillers appuient les activités décrites dans le document, en particulier la liste blanche des meilleurs systèmes mains libres et les activités de renforcement des capacités menées au titre du P</w:t>
      </w:r>
      <w:r w:rsidR="001F2206" w:rsidRPr="00D03A47">
        <w:t>ilier</w:t>
      </w:r>
      <w:r w:rsidRPr="00D03A47">
        <w:t xml:space="preserve"> 3.</w:t>
      </w:r>
    </w:p>
    <w:p w:rsidR="00254404" w:rsidRPr="00D03A47" w:rsidRDefault="00D724FB" w:rsidP="001F2206">
      <w:pPr>
        <w:tabs>
          <w:tab w:val="clear" w:pos="567"/>
          <w:tab w:val="clear" w:pos="1134"/>
          <w:tab w:val="clear" w:pos="1701"/>
          <w:tab w:val="clear" w:pos="2268"/>
          <w:tab w:val="clear" w:pos="2835"/>
        </w:tabs>
        <w:overflowPunct/>
        <w:autoSpaceDE/>
        <w:autoSpaceDN/>
        <w:adjustRightInd/>
        <w:textAlignment w:val="auto"/>
      </w:pPr>
      <w:r w:rsidRPr="00D03A47">
        <w:t>5.3</w:t>
      </w:r>
      <w:r w:rsidRPr="00D03A47">
        <w:tab/>
        <w:t xml:space="preserve">Une conseillère, s'inquiétant du fait que l'expression </w:t>
      </w:r>
      <w:r w:rsidR="00150168" w:rsidRPr="00D03A47">
        <w:t>"</w:t>
      </w:r>
      <w:r w:rsidRPr="00D03A47">
        <w:t>liste blanche</w:t>
      </w:r>
      <w:r w:rsidR="00150168" w:rsidRPr="00D03A47">
        <w:t>"</w:t>
      </w:r>
      <w:r w:rsidRPr="00D03A47">
        <w:t xml:space="preserve"> pourrait être interprétée à tort comme signifiant que l'utilisation dans les réseaux ou les véhicules à moteur </w:t>
      </w:r>
      <w:r w:rsidR="001F2206" w:rsidRPr="00D03A47">
        <w:t xml:space="preserve">des dispositifs figurant dans cette liste </w:t>
      </w:r>
      <w:r w:rsidRPr="00D03A47">
        <w:t xml:space="preserve">était autorisée, explique qu'il serait préférable d'utiliser l'expression </w:t>
      </w:r>
      <w:r w:rsidR="00150168" w:rsidRPr="00D03A47">
        <w:t>"</w:t>
      </w:r>
      <w:r w:rsidRPr="00D03A47">
        <w:t>liste de dispositifs conformes aux Recommandations de l'UIT</w:t>
      </w:r>
      <w:r w:rsidR="00150168" w:rsidRPr="00D03A47">
        <w:t>"</w:t>
      </w:r>
      <w:r w:rsidRPr="00D03A47">
        <w:t>. Elle fait en outre remarquer que l'utilisation d'un logo UIT qui apparaîtrait sur l'écran d'un terminal main</w:t>
      </w:r>
      <w:r w:rsidR="001F2206" w:rsidRPr="00D03A47">
        <w:t>s</w:t>
      </w:r>
      <w:r w:rsidRPr="00D03A47">
        <w:t xml:space="preserve"> libre</w:t>
      </w:r>
      <w:r w:rsidR="001F2206" w:rsidRPr="00D03A47">
        <w:t>s</w:t>
      </w:r>
      <w:r w:rsidRPr="00D03A47">
        <w:t xml:space="preserve"> pourrait </w:t>
      </w:r>
      <w:r w:rsidR="001F2206" w:rsidRPr="00D03A47">
        <w:t>laisser entendre</w:t>
      </w:r>
      <w:r w:rsidRPr="00D03A47">
        <w:t xml:space="preserve"> que l'UIT approuve le dispositif ou le constructeur automobile concerné</w:t>
      </w:r>
      <w:r w:rsidR="00793B26" w:rsidRPr="00D03A47">
        <w:t>;</w:t>
      </w:r>
      <w:r w:rsidRPr="00D03A47">
        <w:t xml:space="preserve"> de tels logos ne devraient pas être utilisés. Un autre conseiller, tout en ne souhaitant pas </w:t>
      </w:r>
      <w:r w:rsidR="001F2206" w:rsidRPr="00D03A47">
        <w:t>affirmer</w:t>
      </w:r>
      <w:r w:rsidRPr="00D03A47">
        <w:t xml:space="preserve"> que l'util</w:t>
      </w:r>
      <w:r w:rsidR="001F2206" w:rsidRPr="00D03A47">
        <w:t>isation des</w:t>
      </w:r>
      <w:r w:rsidRPr="00D03A47">
        <w:t xml:space="preserve"> logo</w:t>
      </w:r>
      <w:r w:rsidR="001F2206" w:rsidRPr="00D03A47">
        <w:t>s des organisations inter</w:t>
      </w:r>
      <w:r w:rsidRPr="00D03A47">
        <w:t>gouvernementale</w:t>
      </w:r>
      <w:r w:rsidR="001F2206" w:rsidRPr="00D03A47">
        <w:t>s</w:t>
      </w:r>
      <w:r w:rsidRPr="00D03A47">
        <w:t xml:space="preserve"> devrait être catégoriquement </w:t>
      </w:r>
      <w:r w:rsidR="001F2206" w:rsidRPr="00D03A47">
        <w:t>re</w:t>
      </w:r>
      <w:r w:rsidRPr="00D03A47">
        <w:t>fusée, explique que cette question mérite d'être examinée plus avant. Un troisième conseill</w:t>
      </w:r>
      <w:r w:rsidR="001F2206" w:rsidRPr="00D03A47">
        <w:t>er</w:t>
      </w:r>
      <w:r w:rsidRPr="00D03A47">
        <w:t xml:space="preserve"> dit que le Directeur du TSB devrait continuer à étudier la question en se fondant sur les</w:t>
      </w:r>
      <w:r w:rsidR="00254404" w:rsidRPr="00D03A47">
        <w:t xml:space="preserve"> Résolutions de la Conférence de plénipotentiaires et de l'AMNT. Un autre conseiller note le caractère crucial des questions liées à la sécurité de la vie </w:t>
      </w:r>
      <w:r w:rsidR="001F2206" w:rsidRPr="00D03A47">
        <w:t xml:space="preserve">humaine </w:t>
      </w:r>
      <w:r w:rsidR="00254404" w:rsidRPr="00D03A47">
        <w:t>actuellement examinées par la Commission d'études 11 de l'UIT-T et explique que ces logos sont une source d'assurance pour les utilisateurs.</w:t>
      </w:r>
    </w:p>
    <w:p w:rsidR="00254404" w:rsidRPr="00D03A47" w:rsidRDefault="00254404" w:rsidP="00EB4203">
      <w:pPr>
        <w:tabs>
          <w:tab w:val="clear" w:pos="567"/>
          <w:tab w:val="clear" w:pos="1134"/>
          <w:tab w:val="clear" w:pos="1701"/>
          <w:tab w:val="clear" w:pos="2268"/>
          <w:tab w:val="clear" w:pos="2835"/>
        </w:tabs>
        <w:overflowPunct/>
        <w:autoSpaceDE/>
        <w:autoSpaceDN/>
        <w:adjustRightInd/>
        <w:textAlignment w:val="auto"/>
      </w:pPr>
      <w:r w:rsidRPr="00D03A47">
        <w:t>5.4</w:t>
      </w:r>
      <w:r w:rsidRPr="00D03A47">
        <w:tab/>
        <w:t>Le conseiller de l'Algérie note que le nombre de centres de recherche sur les télécommunications en Afrique est insuffisant et propose d'en créer un dans son pays, avec l'appui de l'UIT.</w:t>
      </w:r>
    </w:p>
    <w:p w:rsidR="00254404" w:rsidRPr="00D03A47" w:rsidRDefault="00254404" w:rsidP="00817AF7">
      <w:pPr>
        <w:tabs>
          <w:tab w:val="clear" w:pos="567"/>
          <w:tab w:val="clear" w:pos="1134"/>
          <w:tab w:val="clear" w:pos="1701"/>
          <w:tab w:val="clear" w:pos="2268"/>
          <w:tab w:val="clear" w:pos="2835"/>
        </w:tabs>
        <w:overflowPunct/>
        <w:autoSpaceDE/>
        <w:autoSpaceDN/>
        <w:adjustRightInd/>
        <w:textAlignment w:val="auto"/>
      </w:pPr>
      <w:r w:rsidRPr="00D03A47">
        <w:t>5.5</w:t>
      </w:r>
      <w:r w:rsidRPr="00D03A47">
        <w:tab/>
        <w:t>Le conseiller du Ghana explique que le centre de test mis en place au titre du P</w:t>
      </w:r>
      <w:r w:rsidR="00817AF7" w:rsidRPr="00D03A47">
        <w:t>ilier</w:t>
      </w:r>
      <w:r w:rsidRPr="00D03A47">
        <w:t xml:space="preserve"> 4 dans son pays peut servir à tous les pays d'Afrique de l'Ouest et à l'ensemble du continent.</w:t>
      </w:r>
    </w:p>
    <w:p w:rsidR="00254404" w:rsidRPr="00D03A47" w:rsidRDefault="00254404" w:rsidP="00EB4203">
      <w:pPr>
        <w:tabs>
          <w:tab w:val="clear" w:pos="567"/>
          <w:tab w:val="clear" w:pos="1134"/>
          <w:tab w:val="clear" w:pos="1701"/>
          <w:tab w:val="clear" w:pos="2268"/>
          <w:tab w:val="clear" w:pos="2835"/>
        </w:tabs>
        <w:overflowPunct/>
        <w:autoSpaceDE/>
        <w:autoSpaceDN/>
        <w:adjustRightInd/>
        <w:textAlignment w:val="auto"/>
      </w:pPr>
      <w:r w:rsidRPr="00D03A47">
        <w:lastRenderedPageBreak/>
        <w:t>5.6</w:t>
      </w:r>
      <w:r w:rsidRPr="00D03A47">
        <w:tab/>
        <w:t>La conseillère du Venezuela déclare que son pays souhaite mettre son infrastructure C&amp;I à la disposition de tous les membres de l'UIT en vue d'établir des accords de coopération.</w:t>
      </w:r>
    </w:p>
    <w:p w:rsidR="00254404" w:rsidRPr="00D03A47" w:rsidRDefault="00254404" w:rsidP="00EB4203">
      <w:pPr>
        <w:tabs>
          <w:tab w:val="clear" w:pos="567"/>
          <w:tab w:val="clear" w:pos="1134"/>
          <w:tab w:val="clear" w:pos="1701"/>
          <w:tab w:val="clear" w:pos="2268"/>
          <w:tab w:val="clear" w:pos="2835"/>
        </w:tabs>
        <w:overflowPunct/>
        <w:autoSpaceDE/>
        <w:autoSpaceDN/>
        <w:adjustRightInd/>
        <w:textAlignment w:val="auto"/>
      </w:pPr>
      <w:r w:rsidRPr="00D03A47">
        <w:t>5.7</w:t>
      </w:r>
      <w:r w:rsidRPr="00D03A47">
        <w:tab/>
        <w:t>Un conseiller, se référant à la Résolution 44 (AMNT-12) et à</w:t>
      </w:r>
      <w:r w:rsidR="00403C2E">
        <w:t xml:space="preserve"> la Résolution 177 (Rév. Busan, </w:t>
      </w:r>
      <w:r w:rsidRPr="00D03A47">
        <w:t xml:space="preserve">2014) de la Conférence de plénipotentiaires, note que le Pilier 3 est actuellement mis en </w:t>
      </w:r>
      <w:r w:rsidR="00793B26" w:rsidRPr="00D03A47">
        <w:t>oe</w:t>
      </w:r>
      <w:r w:rsidRPr="00D03A47">
        <w:t xml:space="preserve">uvre, mais que ce n'est pas le cas du Pilier 4. Il encourage l'UIT à mettre en </w:t>
      </w:r>
      <w:r w:rsidR="00793B26" w:rsidRPr="00D03A47">
        <w:t>oe</w:t>
      </w:r>
      <w:r w:rsidRPr="00D03A47">
        <w:t>uvre le programme</w:t>
      </w:r>
      <w:r w:rsidR="00216E52" w:rsidRPr="00D03A47">
        <w:t xml:space="preserve"> dans sa totalité</w:t>
      </w:r>
      <w:r w:rsidRPr="00D03A47">
        <w:t>.</w:t>
      </w:r>
    </w:p>
    <w:p w:rsidR="00450907" w:rsidRPr="00D03A47" w:rsidRDefault="00216E52" w:rsidP="00216E52">
      <w:pPr>
        <w:tabs>
          <w:tab w:val="clear" w:pos="567"/>
          <w:tab w:val="clear" w:pos="1134"/>
          <w:tab w:val="clear" w:pos="1701"/>
          <w:tab w:val="clear" w:pos="2268"/>
          <w:tab w:val="clear" w:pos="2835"/>
        </w:tabs>
        <w:overflowPunct/>
        <w:autoSpaceDE/>
        <w:autoSpaceDN/>
        <w:adjustRightInd/>
        <w:textAlignment w:val="auto"/>
      </w:pPr>
      <w:r w:rsidRPr="00D03A47">
        <w:t>5.8</w:t>
      </w:r>
      <w:r w:rsidRPr="00D03A47">
        <w:tab/>
        <w:t xml:space="preserve">Le représentant du </w:t>
      </w:r>
      <w:r w:rsidR="00254404" w:rsidRPr="00D03A47">
        <w:t>T</w:t>
      </w:r>
      <w:r w:rsidRPr="00D03A47">
        <w:t>SB</w:t>
      </w:r>
      <w:r w:rsidR="00254404" w:rsidRPr="00D03A47">
        <w:t xml:space="preserve"> dit qu'il prend note des observations formulées afin de guider la mise en </w:t>
      </w:r>
      <w:r w:rsidR="00793B26" w:rsidRPr="00D03A47">
        <w:t>oe</w:t>
      </w:r>
      <w:r w:rsidR="00254404" w:rsidRPr="00D03A47">
        <w:t xml:space="preserve">uvre par l'UIT-T du Plan d'action C&amp;I, en particulier en ce qui concerne les activités liées au Pilier 4 et l'utilisation de l'expression </w:t>
      </w:r>
      <w:r w:rsidR="00150168" w:rsidRPr="00D03A47">
        <w:t>"</w:t>
      </w:r>
      <w:r w:rsidR="00254404" w:rsidRPr="00D03A47">
        <w:t>liste blanche</w:t>
      </w:r>
      <w:r w:rsidR="00150168" w:rsidRPr="00D03A47">
        <w:t>"</w:t>
      </w:r>
      <w:r w:rsidRPr="00D03A47">
        <w:t>. S'agissant des logos</w:t>
      </w:r>
      <w:r w:rsidR="00254404" w:rsidRPr="00D03A47">
        <w:t>, une table ronde organisée récemment par la Commission d'études 11 de l'UIT-T a montré</w:t>
      </w:r>
      <w:r w:rsidR="00450907" w:rsidRPr="00D03A47">
        <w:t xml:space="preserve"> qu'il existe une demande sur le marché pour un type de lo</w:t>
      </w:r>
      <w:r w:rsidRPr="00D03A47">
        <w:t>go</w:t>
      </w:r>
      <w:r w:rsidR="00450907" w:rsidRPr="00D03A47">
        <w:t xml:space="preserve"> se rapportant à la </w:t>
      </w:r>
      <w:r w:rsidR="00150168" w:rsidRPr="00D03A47">
        <w:t>"</w:t>
      </w:r>
      <w:r w:rsidR="00450907" w:rsidRPr="00D03A47">
        <w:t>sécurité de la vie</w:t>
      </w:r>
      <w:r w:rsidRPr="00D03A47">
        <w:t xml:space="preserve"> humaine</w:t>
      </w:r>
      <w:r w:rsidR="00150168" w:rsidRPr="00D03A47">
        <w:t>"</w:t>
      </w:r>
      <w:r w:rsidR="00450907" w:rsidRPr="00D03A47">
        <w:t>. La Commission d'études 12 a publié des Recommandations à cet égard, sur lesquel</w:t>
      </w:r>
      <w:r w:rsidRPr="00D03A47">
        <w:t>le</w:t>
      </w:r>
      <w:r w:rsidR="00450907" w:rsidRPr="00D03A47">
        <w:t>s la Commission d'études 11 a ensuite travaillé.</w:t>
      </w:r>
    </w:p>
    <w:p w:rsidR="00450907" w:rsidRPr="00D03A47" w:rsidRDefault="00450907" w:rsidP="00EB4203">
      <w:pPr>
        <w:tabs>
          <w:tab w:val="clear" w:pos="567"/>
          <w:tab w:val="clear" w:pos="1134"/>
          <w:tab w:val="clear" w:pos="1701"/>
          <w:tab w:val="clear" w:pos="2268"/>
          <w:tab w:val="clear" w:pos="2835"/>
        </w:tabs>
        <w:overflowPunct/>
        <w:autoSpaceDE/>
        <w:autoSpaceDN/>
        <w:adjustRightInd/>
        <w:textAlignment w:val="auto"/>
      </w:pPr>
      <w:r w:rsidRPr="00D03A47">
        <w:t>5.9</w:t>
      </w:r>
      <w:r w:rsidRPr="00D03A47">
        <w:tab/>
        <w:t xml:space="preserve">Le Conseil </w:t>
      </w:r>
      <w:r w:rsidRPr="00D03A47">
        <w:rPr>
          <w:b/>
          <w:bCs/>
        </w:rPr>
        <w:t>prend note</w:t>
      </w:r>
      <w:r w:rsidRPr="00D03A47">
        <w:t xml:space="preserve"> du Document C17/24.</w:t>
      </w:r>
    </w:p>
    <w:p w:rsidR="00D724FB" w:rsidRPr="00D03A47" w:rsidRDefault="009D3B36" w:rsidP="000C70F2">
      <w:pPr>
        <w:pStyle w:val="Heading1"/>
      </w:pPr>
      <w:r w:rsidRPr="00D03A47">
        <w:t>6</w:t>
      </w:r>
      <w:r w:rsidRPr="00D03A47">
        <w:tab/>
        <w:t xml:space="preserve">Faciliter l'avènement de l'Internet des objets dans la perspective d'un monde global interconnecté (Document </w:t>
      </w:r>
      <w:hyperlink r:id="rId34" w:history="1">
        <w:r w:rsidRPr="00D03A47">
          <w:rPr>
            <w:rStyle w:val="Hyperlink"/>
            <w:bCs/>
            <w:szCs w:val="24"/>
          </w:rPr>
          <w:t>C17/23</w:t>
        </w:r>
      </w:hyperlink>
      <w:r w:rsidRPr="00D03A47">
        <w:t>)</w:t>
      </w:r>
    </w:p>
    <w:p w:rsidR="00B301D4" w:rsidRPr="00D03A47" w:rsidRDefault="00B301D4" w:rsidP="00EB4203">
      <w:pPr>
        <w:tabs>
          <w:tab w:val="clear" w:pos="567"/>
          <w:tab w:val="clear" w:pos="1134"/>
          <w:tab w:val="clear" w:pos="1701"/>
          <w:tab w:val="clear" w:pos="2268"/>
          <w:tab w:val="clear" w:pos="2835"/>
        </w:tabs>
        <w:overflowPunct/>
        <w:autoSpaceDE/>
        <w:autoSpaceDN/>
        <w:adjustRightInd/>
        <w:textAlignment w:val="auto"/>
      </w:pPr>
      <w:r w:rsidRPr="00D03A47">
        <w:t>6.1</w:t>
      </w:r>
      <w:r w:rsidRPr="00D03A47">
        <w:tab/>
        <w:t>Le représentant du TSB présente le Document C17/23, qui décrit les activités menées par l'UIT en application de la Résolution 197 (Busan, 2014) de la Conférence de plénipotentiaires.</w:t>
      </w:r>
    </w:p>
    <w:p w:rsidR="00407B78" w:rsidRPr="00D03A47" w:rsidRDefault="00B301D4" w:rsidP="009A6600">
      <w:pPr>
        <w:tabs>
          <w:tab w:val="clear" w:pos="567"/>
          <w:tab w:val="clear" w:pos="1134"/>
          <w:tab w:val="clear" w:pos="1701"/>
          <w:tab w:val="clear" w:pos="2268"/>
          <w:tab w:val="clear" w:pos="2835"/>
        </w:tabs>
        <w:overflowPunct/>
        <w:autoSpaceDE/>
        <w:autoSpaceDN/>
        <w:adjustRightInd/>
        <w:textAlignment w:val="auto"/>
      </w:pPr>
      <w:r w:rsidRPr="00D03A47">
        <w:t>6.2</w:t>
      </w:r>
      <w:r w:rsidRPr="00D03A47">
        <w:tab/>
        <w:t xml:space="preserve">La conseillère de l'Espagne </w:t>
      </w:r>
      <w:r w:rsidR="009A6600" w:rsidRPr="00D03A47">
        <w:t xml:space="preserve">donne </w:t>
      </w:r>
      <w:r w:rsidRPr="00D03A47">
        <w:t>au</w:t>
      </w:r>
      <w:r w:rsidR="009A6600" w:rsidRPr="00D03A47">
        <w:t>x</w:t>
      </w:r>
      <w:r w:rsidRPr="00D03A47">
        <w:t xml:space="preserve"> conseiller</w:t>
      </w:r>
      <w:r w:rsidR="009A6600" w:rsidRPr="00D03A47">
        <w:t>s</w:t>
      </w:r>
      <w:r w:rsidRPr="00D03A47">
        <w:t xml:space="preserve"> les dates exactes du Forum mondial sur les villes intelligentes qui aura lieu à Barcelone</w:t>
      </w:r>
      <w:r w:rsidR="00407B78" w:rsidRPr="00D03A47">
        <w:t>, du 11 au 16 novembre 2017.</w:t>
      </w:r>
    </w:p>
    <w:p w:rsidR="00942766" w:rsidRPr="00D03A47" w:rsidRDefault="00407B78" w:rsidP="009A6600">
      <w:pPr>
        <w:tabs>
          <w:tab w:val="clear" w:pos="567"/>
          <w:tab w:val="clear" w:pos="1134"/>
          <w:tab w:val="clear" w:pos="1701"/>
          <w:tab w:val="clear" w:pos="2268"/>
          <w:tab w:val="clear" w:pos="2835"/>
        </w:tabs>
        <w:overflowPunct/>
        <w:autoSpaceDE/>
        <w:autoSpaceDN/>
        <w:adjustRightInd/>
        <w:textAlignment w:val="auto"/>
      </w:pPr>
      <w:r w:rsidRPr="00D03A47">
        <w:t>6.3</w:t>
      </w:r>
      <w:r w:rsidRPr="00D03A47">
        <w:tab/>
        <w:t>Un conseiller demande que les futurs rapports précisent les thèmes à l'étude à l'UIT-R</w:t>
      </w:r>
      <w:r w:rsidR="00793B26" w:rsidRPr="00D03A47">
        <w:t>;</w:t>
      </w:r>
      <w:r w:rsidRPr="00D03A47">
        <w:t xml:space="preserve"> un autre conseiller insiste sur le fait que les pays en développement ont besoin que l'UIT fournisse un appui dans le domaine du renforcement des capacités </w:t>
      </w:r>
      <w:r w:rsidR="00942766" w:rsidRPr="00D03A47">
        <w:t xml:space="preserve">moyennant l'organisation de formations dans les centres d'excellence de l'Union </w:t>
      </w:r>
      <w:r w:rsidR="009A6600" w:rsidRPr="00D03A47">
        <w:t xml:space="preserve">partout </w:t>
      </w:r>
      <w:r w:rsidR="00942766" w:rsidRPr="00D03A47">
        <w:t>dans le monde et dans le domaine de l'adaptation des réglementations pertinentes</w:t>
      </w:r>
      <w:r w:rsidR="00793B26" w:rsidRPr="00D03A47">
        <w:t>;</w:t>
      </w:r>
      <w:r w:rsidR="00942766" w:rsidRPr="00D03A47">
        <w:t xml:space="preserve"> un troisième conseiller préconise que l'UIT renforce la coopération avec le secteur privé.</w:t>
      </w:r>
    </w:p>
    <w:p w:rsidR="00942766" w:rsidRPr="00D03A47" w:rsidRDefault="00942766" w:rsidP="00EB4203">
      <w:pPr>
        <w:tabs>
          <w:tab w:val="clear" w:pos="567"/>
          <w:tab w:val="clear" w:pos="1134"/>
          <w:tab w:val="clear" w:pos="1701"/>
          <w:tab w:val="clear" w:pos="2268"/>
          <w:tab w:val="clear" w:pos="2835"/>
        </w:tabs>
        <w:overflowPunct/>
        <w:autoSpaceDE/>
        <w:autoSpaceDN/>
        <w:adjustRightInd/>
        <w:textAlignment w:val="auto"/>
      </w:pPr>
      <w:r w:rsidRPr="00D03A47">
        <w:t>6.4</w:t>
      </w:r>
      <w:r w:rsidRPr="00D03A47">
        <w:tab/>
        <w:t xml:space="preserve">Le Conseil </w:t>
      </w:r>
      <w:r w:rsidRPr="00D03A47">
        <w:rPr>
          <w:b/>
          <w:bCs/>
        </w:rPr>
        <w:t>prend note</w:t>
      </w:r>
      <w:r w:rsidRPr="00D03A47">
        <w:t xml:space="preserve"> du Document C17/23.</w:t>
      </w:r>
    </w:p>
    <w:p w:rsidR="009D3B36" w:rsidRPr="00D03A47" w:rsidRDefault="00942766" w:rsidP="000C70F2">
      <w:pPr>
        <w:pStyle w:val="Heading1"/>
        <w:rPr>
          <w:bCs/>
        </w:rPr>
      </w:pPr>
      <w:r w:rsidRPr="00D03A47">
        <w:rPr>
          <w:bCs/>
        </w:rPr>
        <w:t>7</w:t>
      </w:r>
      <w:r w:rsidRPr="00D03A47">
        <w:rPr>
          <w:bCs/>
        </w:rPr>
        <w:tab/>
        <w:t xml:space="preserve">Services financiers numériques (Document </w:t>
      </w:r>
      <w:hyperlink r:id="rId35" w:history="1">
        <w:r w:rsidRPr="00D03A47">
          <w:rPr>
            <w:rStyle w:val="Hyperlink"/>
            <w:bCs/>
            <w:szCs w:val="24"/>
          </w:rPr>
          <w:t>C17/68</w:t>
        </w:r>
      </w:hyperlink>
      <w:r w:rsidRPr="00D03A47">
        <w:rPr>
          <w:bCs/>
        </w:rPr>
        <w:t>)</w:t>
      </w:r>
    </w:p>
    <w:p w:rsidR="00942766" w:rsidRPr="00D03A47" w:rsidRDefault="00942766" w:rsidP="009A6600">
      <w:pPr>
        <w:tabs>
          <w:tab w:val="clear" w:pos="567"/>
          <w:tab w:val="clear" w:pos="1134"/>
          <w:tab w:val="clear" w:pos="1701"/>
          <w:tab w:val="clear" w:pos="2268"/>
          <w:tab w:val="clear" w:pos="2835"/>
        </w:tabs>
        <w:overflowPunct/>
        <w:autoSpaceDE/>
        <w:autoSpaceDN/>
        <w:adjustRightInd/>
        <w:textAlignment w:val="auto"/>
      </w:pPr>
      <w:r w:rsidRPr="00D03A47">
        <w:t>7.1</w:t>
      </w:r>
      <w:r w:rsidRPr="00D03A47">
        <w:tab/>
        <w:t xml:space="preserve">Le représentant du TSB présente le Document C17/68, qui a été élaboré </w:t>
      </w:r>
      <w:r w:rsidR="009A6600" w:rsidRPr="00D03A47">
        <w:t xml:space="preserve">conformément à </w:t>
      </w:r>
      <w:r w:rsidRPr="00D03A47">
        <w:t>la Résolution 89 de l'AMNT-16.</w:t>
      </w:r>
    </w:p>
    <w:p w:rsidR="00942766" w:rsidRPr="00D03A47" w:rsidRDefault="00942766" w:rsidP="009A6600">
      <w:pPr>
        <w:tabs>
          <w:tab w:val="clear" w:pos="567"/>
          <w:tab w:val="clear" w:pos="1134"/>
          <w:tab w:val="clear" w:pos="1701"/>
          <w:tab w:val="clear" w:pos="2268"/>
          <w:tab w:val="clear" w:pos="2835"/>
        </w:tabs>
        <w:overflowPunct/>
        <w:autoSpaceDE/>
        <w:autoSpaceDN/>
        <w:adjustRightInd/>
        <w:textAlignment w:val="auto"/>
      </w:pPr>
      <w:r w:rsidRPr="00D03A47">
        <w:t>7.2</w:t>
      </w:r>
      <w:r w:rsidRPr="00D03A47">
        <w:tab/>
        <w:t xml:space="preserve">Un conseiller, notant l'importance de la coopération dans le domaine des services financiers numériques, notamment pour mettre fin aux transactions illégales, exhorte le secrétariat a travaillé plus étroitement avec les </w:t>
      </w:r>
      <w:r w:rsidR="00793B26" w:rsidRPr="00D03A47">
        <w:t>E</w:t>
      </w:r>
      <w:r w:rsidRPr="00D03A47">
        <w:t xml:space="preserve">tats Membres concernant les questions liées à l'économie numérique, en particulier pour ce qui est de l'échange d'informations et du renforcement de l'infrastructure. Une autre conseillère encourage vivement l'UIT-T et l'UIT-D </w:t>
      </w:r>
      <w:r w:rsidR="009A6600" w:rsidRPr="00D03A47">
        <w:t xml:space="preserve">à </w:t>
      </w:r>
      <w:r w:rsidRPr="00D03A47">
        <w:t xml:space="preserve">continuer </w:t>
      </w:r>
      <w:r w:rsidR="009A6600" w:rsidRPr="00D03A47">
        <w:t>de</w:t>
      </w:r>
      <w:r w:rsidRPr="00D03A47">
        <w:t xml:space="preserve"> travailler pour réduire les écarts dans l'économie numérique.</w:t>
      </w:r>
    </w:p>
    <w:p w:rsidR="00942766" w:rsidRPr="00D03A47" w:rsidRDefault="00942766" w:rsidP="00EB4203">
      <w:pPr>
        <w:tabs>
          <w:tab w:val="clear" w:pos="567"/>
          <w:tab w:val="clear" w:pos="1134"/>
          <w:tab w:val="clear" w:pos="1701"/>
          <w:tab w:val="clear" w:pos="2268"/>
          <w:tab w:val="clear" w:pos="2835"/>
        </w:tabs>
        <w:overflowPunct/>
        <w:autoSpaceDE/>
        <w:autoSpaceDN/>
        <w:adjustRightInd/>
        <w:textAlignment w:val="auto"/>
      </w:pPr>
      <w:r w:rsidRPr="00D03A47">
        <w:t>7.3</w:t>
      </w:r>
      <w:r w:rsidRPr="00D03A47">
        <w:tab/>
        <w:t xml:space="preserve">Le Conseil </w:t>
      </w:r>
      <w:r w:rsidRPr="00D03A47">
        <w:rPr>
          <w:b/>
          <w:bCs/>
        </w:rPr>
        <w:t>prend note</w:t>
      </w:r>
      <w:r w:rsidRPr="00D03A47">
        <w:t xml:space="preserve"> du Document C17/68.</w:t>
      </w:r>
    </w:p>
    <w:p w:rsidR="00942766" w:rsidRPr="00D03A47" w:rsidRDefault="009E2099" w:rsidP="000C70F2">
      <w:pPr>
        <w:pStyle w:val="Heading1"/>
      </w:pPr>
      <w:r w:rsidRPr="00D03A47">
        <w:lastRenderedPageBreak/>
        <w:t>8</w:t>
      </w:r>
      <w:r w:rsidRPr="00D03A47">
        <w:tab/>
        <w:t xml:space="preserve">Efficacité des groupes régionaux pour réduire l'écart en matière de normalisation (Document </w:t>
      </w:r>
      <w:hyperlink r:id="rId36" w:history="1">
        <w:r w:rsidRPr="00D03A47">
          <w:rPr>
            <w:rStyle w:val="Hyperlink"/>
            <w:bCs/>
            <w:szCs w:val="24"/>
          </w:rPr>
          <w:t>C17/72</w:t>
        </w:r>
      </w:hyperlink>
      <w:r w:rsidRPr="00D03A47">
        <w:t>)</w:t>
      </w:r>
    </w:p>
    <w:p w:rsidR="004059A2" w:rsidRPr="00D03A47" w:rsidRDefault="00D5158E" w:rsidP="00EB4203">
      <w:pPr>
        <w:tabs>
          <w:tab w:val="clear" w:pos="567"/>
          <w:tab w:val="clear" w:pos="1134"/>
          <w:tab w:val="clear" w:pos="1701"/>
          <w:tab w:val="clear" w:pos="2268"/>
          <w:tab w:val="clear" w:pos="2835"/>
        </w:tabs>
        <w:overflowPunct/>
        <w:autoSpaceDE/>
        <w:autoSpaceDN/>
        <w:adjustRightInd/>
        <w:textAlignment w:val="auto"/>
      </w:pPr>
      <w:r w:rsidRPr="00D03A47">
        <w:t>8.1</w:t>
      </w:r>
      <w:r w:rsidRPr="00D03A47">
        <w:tab/>
      </w:r>
      <w:r w:rsidR="004059A2" w:rsidRPr="00D03A47">
        <w:t>Le représentant du TSB présente le Document C17/72, qui rend compte de l'efficacité des groupes régionaux conformément aux instructions données dans la Résolution 44 de l'AMNT-16.</w:t>
      </w:r>
    </w:p>
    <w:p w:rsidR="00777926" w:rsidRPr="00D03A47" w:rsidRDefault="004059A2" w:rsidP="00C41D30">
      <w:pPr>
        <w:keepLines/>
        <w:tabs>
          <w:tab w:val="clear" w:pos="567"/>
          <w:tab w:val="clear" w:pos="1134"/>
          <w:tab w:val="clear" w:pos="1701"/>
          <w:tab w:val="clear" w:pos="2268"/>
          <w:tab w:val="clear" w:pos="2835"/>
        </w:tabs>
        <w:overflowPunct/>
        <w:autoSpaceDE/>
        <w:autoSpaceDN/>
        <w:adjustRightInd/>
        <w:textAlignment w:val="auto"/>
      </w:pPr>
      <w:r w:rsidRPr="00D03A47">
        <w:t>8.2</w:t>
      </w:r>
      <w:r w:rsidRPr="00D03A47">
        <w:tab/>
        <w:t xml:space="preserve">Plusieurs conseillers encouragent l'UIT-T a continué d'appuyer les </w:t>
      </w:r>
      <w:r w:rsidR="00777926" w:rsidRPr="00D03A47">
        <w:t>groupes régionaux des commissions d'études, qui jouent un rôle important dans la réduction de l'écart entre pays en développement et pays développés et rassemblent un nombre croissant de spécialistes. Un conseiller dit que les informations concernant les séminaires p</w:t>
      </w:r>
      <w:r w:rsidR="009A6600" w:rsidRPr="00D03A47">
        <w:t xml:space="preserve">euvent </w:t>
      </w:r>
      <w:r w:rsidR="00777926" w:rsidRPr="00D03A47">
        <w:t>être amélioré</w:t>
      </w:r>
      <w:r w:rsidR="009A6600" w:rsidRPr="00D03A47">
        <w:t>e</w:t>
      </w:r>
      <w:r w:rsidR="00777926" w:rsidRPr="00D03A47">
        <w:t xml:space="preserve">s, par exemple grâce à des publications distribuées à tous les </w:t>
      </w:r>
      <w:r w:rsidR="00793B26" w:rsidRPr="00D03A47">
        <w:t>E</w:t>
      </w:r>
      <w:r w:rsidR="00777926" w:rsidRPr="00D03A47">
        <w:t>tats Membres.</w:t>
      </w:r>
    </w:p>
    <w:p w:rsidR="00777926" w:rsidRPr="00D03A47" w:rsidRDefault="00777926" w:rsidP="009A6600">
      <w:pPr>
        <w:tabs>
          <w:tab w:val="clear" w:pos="567"/>
          <w:tab w:val="clear" w:pos="1134"/>
          <w:tab w:val="clear" w:pos="1701"/>
          <w:tab w:val="clear" w:pos="2268"/>
          <w:tab w:val="clear" w:pos="2835"/>
        </w:tabs>
        <w:overflowPunct/>
        <w:autoSpaceDE/>
        <w:autoSpaceDN/>
        <w:adjustRightInd/>
        <w:textAlignment w:val="auto"/>
      </w:pPr>
      <w:r w:rsidRPr="00D03A47">
        <w:t>8.3</w:t>
      </w:r>
      <w:r w:rsidRPr="00D03A47">
        <w:tab/>
        <w:t>Un conseill</w:t>
      </w:r>
      <w:r w:rsidR="009A6600" w:rsidRPr="00D03A47">
        <w:t>er</w:t>
      </w:r>
      <w:r w:rsidRPr="00D03A47">
        <w:t xml:space="preserve"> s'inquiète de la multiplication des groupes régionaux. La décision </w:t>
      </w:r>
      <w:r w:rsidR="009A6600" w:rsidRPr="00D03A47">
        <w:t xml:space="preserve">de </w:t>
      </w:r>
      <w:r w:rsidRPr="00D03A47">
        <w:t>quelques pa</w:t>
      </w:r>
      <w:r w:rsidR="009A6600" w:rsidRPr="00D03A47">
        <w:t xml:space="preserve">ys de créer un groupe régional peut </w:t>
      </w:r>
      <w:r w:rsidRPr="00D03A47">
        <w:t>avoir des conséquences pour une région tout entière et fragiliser l'organis</w:t>
      </w:r>
      <w:r w:rsidR="009A6600" w:rsidRPr="00D03A47">
        <w:t>ation régionale. Il convient</w:t>
      </w:r>
      <w:r w:rsidRPr="00D03A47">
        <w:t xml:space="preserve"> de créer un mécanisme qui conditionnerait la création d'un nouveau groupe régional à l'appui de l'organisation régionale. Ce point de vue est partagé par d'autres conseillers, </w:t>
      </w:r>
      <w:r w:rsidR="009A6600" w:rsidRPr="00D03A47">
        <w:t xml:space="preserve">dont une conseillère qui </w:t>
      </w:r>
      <w:r w:rsidRPr="00D03A47">
        <w:t>att</w:t>
      </w:r>
      <w:r w:rsidR="009A6600" w:rsidRPr="00D03A47">
        <w:t>ire l'attention sur le Document </w:t>
      </w:r>
      <w:r w:rsidRPr="00D03A47">
        <w:t>C17/97</w:t>
      </w:r>
      <w:r w:rsidR="00793B26" w:rsidRPr="00D03A47">
        <w:t>;</w:t>
      </w:r>
      <w:r w:rsidRPr="00D03A47">
        <w:t xml:space="preserve"> elle indique que les groupes régionaux devraient être ouverts à tous les membres de l'UIT. Deux conseillers soulignent la nécessité de travailler en coordination avec les organisations régionales, afin d'éviter le chevauchement des travaux.</w:t>
      </w:r>
    </w:p>
    <w:p w:rsidR="00777926" w:rsidRPr="00D03A47" w:rsidRDefault="00777926" w:rsidP="00A43D3E">
      <w:r w:rsidRPr="00D03A47">
        <w:t>8.4</w:t>
      </w:r>
      <w:r w:rsidRPr="00D03A47">
        <w:tab/>
        <w:t xml:space="preserve">Un autre conseiller, rappelant que la question de la participation aux travaux des groupes régionaux a souvent fait l'objet de discussions sans </w:t>
      </w:r>
      <w:r w:rsidR="005F61D4" w:rsidRPr="00D03A47">
        <w:t xml:space="preserve">être </w:t>
      </w:r>
      <w:r w:rsidRPr="00D03A47">
        <w:t>jamais tr</w:t>
      </w:r>
      <w:r w:rsidR="005F61D4" w:rsidRPr="00D03A47">
        <w:t>anch</w:t>
      </w:r>
      <w:r w:rsidRPr="00D03A47">
        <w:t xml:space="preserve">ée, rappelle aux conseillers que les présidents des commissions d'études peuvent inviter des spécialistes à participer. D'autres conseillers souscrivent à </w:t>
      </w:r>
      <w:r w:rsidR="005F61D4" w:rsidRPr="00D03A47">
        <w:t>ce point de vue</w:t>
      </w:r>
      <w:r w:rsidRPr="00D03A47">
        <w:t>. Deux conseillers</w:t>
      </w:r>
      <w:r w:rsidR="005F61D4" w:rsidRPr="00D03A47">
        <w:t xml:space="preserve">, faisant </w:t>
      </w:r>
      <w:r w:rsidRPr="00D03A47">
        <w:t>remarquer que certains pays ne sont pas membres d'organisations régionales</w:t>
      </w:r>
      <w:r w:rsidR="005F61D4" w:rsidRPr="00D03A47">
        <w:t>,</w:t>
      </w:r>
      <w:r w:rsidRPr="00D03A47">
        <w:t xml:space="preserve"> soulignent combien il est important de créer des espaces ouverts et universels permettant de tenir des discussions techniques au niveau régional.</w:t>
      </w:r>
    </w:p>
    <w:p w:rsidR="00842DB1" w:rsidRPr="00D03A47" w:rsidRDefault="00777926" w:rsidP="005F61D4">
      <w:pPr>
        <w:tabs>
          <w:tab w:val="clear" w:pos="567"/>
          <w:tab w:val="clear" w:pos="1134"/>
          <w:tab w:val="clear" w:pos="1701"/>
          <w:tab w:val="clear" w:pos="2268"/>
          <w:tab w:val="clear" w:pos="2835"/>
        </w:tabs>
        <w:overflowPunct/>
        <w:autoSpaceDE/>
        <w:autoSpaceDN/>
        <w:adjustRightInd/>
        <w:textAlignment w:val="auto"/>
      </w:pPr>
      <w:r w:rsidRPr="00D03A47">
        <w:t>8.5</w:t>
      </w:r>
      <w:r w:rsidRPr="00D03A47">
        <w:tab/>
        <w:t>Le représentant du TSB</w:t>
      </w:r>
      <w:r w:rsidR="00842DB1" w:rsidRPr="00D03A47">
        <w:t xml:space="preserve"> explique que la création des groupes régionaux est régie par la Résolution 54 de l'AMNT-16</w:t>
      </w:r>
      <w:r w:rsidR="005F61D4" w:rsidRPr="00D03A47">
        <w:t>,</w:t>
      </w:r>
      <w:r w:rsidR="00842DB1" w:rsidRPr="00D03A47">
        <w:t xml:space="preserve"> tandis que la participation aux travaux de ces groupes fait l'objet de la Résolution 1 de l'AMNT-16. Il confirme que les présidents des commissions d'études peuvent à tout moment inviter des spécialistes n</w:t>
      </w:r>
      <w:r w:rsidR="005F61D4" w:rsidRPr="00D03A47">
        <w:t>e venant pas d'</w:t>
      </w:r>
      <w:r w:rsidR="00793B26" w:rsidRPr="00D03A47">
        <w:t>E</w:t>
      </w:r>
      <w:r w:rsidR="00842DB1" w:rsidRPr="00D03A47">
        <w:t>tats Membres de la région à participer aux travaux d'un groupe régional.</w:t>
      </w:r>
    </w:p>
    <w:p w:rsidR="00842DB1" w:rsidRPr="00D03A47" w:rsidRDefault="00842DB1" w:rsidP="00EB4203">
      <w:pPr>
        <w:tabs>
          <w:tab w:val="clear" w:pos="567"/>
          <w:tab w:val="clear" w:pos="1134"/>
          <w:tab w:val="clear" w:pos="1701"/>
          <w:tab w:val="clear" w:pos="2268"/>
          <w:tab w:val="clear" w:pos="2835"/>
        </w:tabs>
        <w:overflowPunct/>
        <w:autoSpaceDE/>
        <w:autoSpaceDN/>
        <w:adjustRightInd/>
        <w:textAlignment w:val="auto"/>
      </w:pPr>
      <w:r w:rsidRPr="00D03A47">
        <w:t>8.6</w:t>
      </w:r>
      <w:r w:rsidRPr="00D03A47">
        <w:tab/>
        <w:t xml:space="preserve">Le Conseil </w:t>
      </w:r>
      <w:r w:rsidRPr="00D03A47">
        <w:rPr>
          <w:b/>
          <w:bCs/>
        </w:rPr>
        <w:t>prend note</w:t>
      </w:r>
      <w:r w:rsidRPr="00D03A47">
        <w:t xml:space="preserve"> du Document C17/72.</w:t>
      </w:r>
    </w:p>
    <w:p w:rsidR="009E2099" w:rsidRPr="00D03A47" w:rsidRDefault="00DE3F2B" w:rsidP="005F61D4">
      <w:pPr>
        <w:pStyle w:val="Heading1"/>
      </w:pPr>
      <w:r w:rsidRPr="00D03A47">
        <w:t>9</w:t>
      </w:r>
      <w:r w:rsidRPr="00D03A47">
        <w:tab/>
        <w:t xml:space="preserve">Rapport du Groupe de travail du Conseil sur l'utilisation des langues (suite) (Document </w:t>
      </w:r>
      <w:hyperlink r:id="rId37" w:history="1">
        <w:r w:rsidRPr="00D03A47">
          <w:rPr>
            <w:rStyle w:val="Hyperlink"/>
            <w:bCs/>
            <w:szCs w:val="24"/>
          </w:rPr>
          <w:t>C17/DT/4</w:t>
        </w:r>
      </w:hyperlink>
      <w:r w:rsidRPr="00D03A47">
        <w:t>)</w:t>
      </w:r>
    </w:p>
    <w:p w:rsidR="00E17DA1" w:rsidRPr="00D03A47" w:rsidRDefault="00E17DA1" w:rsidP="00EB4203">
      <w:pPr>
        <w:tabs>
          <w:tab w:val="clear" w:pos="567"/>
          <w:tab w:val="clear" w:pos="1134"/>
          <w:tab w:val="clear" w:pos="1701"/>
          <w:tab w:val="clear" w:pos="2268"/>
          <w:tab w:val="clear" w:pos="2835"/>
        </w:tabs>
        <w:overflowPunct/>
        <w:autoSpaceDE/>
        <w:autoSpaceDN/>
        <w:adjustRightInd/>
        <w:textAlignment w:val="auto"/>
      </w:pPr>
      <w:r w:rsidRPr="00D03A47">
        <w:t>9.1</w:t>
      </w:r>
      <w:r w:rsidRPr="00D03A47">
        <w:tab/>
        <w:t xml:space="preserve">Le Conseil </w:t>
      </w:r>
      <w:r w:rsidRPr="004B3835">
        <w:rPr>
          <w:b/>
          <w:bCs/>
        </w:rPr>
        <w:t>adopte</w:t>
      </w:r>
      <w:r w:rsidRPr="00D03A47">
        <w:t xml:space="preserve"> le projet de nouvelle Résolution relative au Comité de coordination de l'UIT pour la terminologie figurant dans le Document C17/DT/4, qui a été élaboré par le groupe ad hoc créé par le Conseil à sa première séance plénière.</w:t>
      </w:r>
    </w:p>
    <w:p w:rsidR="00DE3F2B" w:rsidRPr="00D03A47" w:rsidRDefault="009428FC" w:rsidP="005F61D4">
      <w:pPr>
        <w:pStyle w:val="Heading1"/>
        <w:rPr>
          <w:szCs w:val="24"/>
        </w:rPr>
      </w:pPr>
      <w:r w:rsidRPr="00D03A47">
        <w:t>10</w:t>
      </w:r>
      <w:r w:rsidRPr="00D03A47">
        <w:tab/>
      </w:r>
      <w:r w:rsidRPr="00D03A47">
        <w:rPr>
          <w:szCs w:val="24"/>
        </w:rPr>
        <w:t xml:space="preserve">Renforcement de la présence régionale (Document </w:t>
      </w:r>
      <w:hyperlink r:id="rId38" w:history="1">
        <w:r w:rsidR="006B316A" w:rsidRPr="00D03A47">
          <w:rPr>
            <w:rStyle w:val="Hyperlink"/>
            <w:bCs/>
            <w:szCs w:val="24"/>
          </w:rPr>
          <w:t>C17/25</w:t>
        </w:r>
      </w:hyperlink>
      <w:r w:rsidRPr="00D03A47">
        <w:rPr>
          <w:szCs w:val="24"/>
        </w:rPr>
        <w:t>)</w:t>
      </w:r>
    </w:p>
    <w:p w:rsidR="009428FC" w:rsidRPr="00D03A47" w:rsidRDefault="00AB6289" w:rsidP="00EB4203">
      <w:pPr>
        <w:tabs>
          <w:tab w:val="clear" w:pos="567"/>
          <w:tab w:val="clear" w:pos="1134"/>
          <w:tab w:val="clear" w:pos="1701"/>
          <w:tab w:val="clear" w:pos="2268"/>
          <w:tab w:val="clear" w:pos="2835"/>
        </w:tabs>
        <w:overflowPunct/>
        <w:autoSpaceDE/>
        <w:autoSpaceDN/>
        <w:adjustRightInd/>
        <w:textAlignment w:val="auto"/>
      </w:pPr>
      <w:r w:rsidRPr="00D03A47">
        <w:t>10.1</w:t>
      </w:r>
      <w:r w:rsidRPr="00D03A47">
        <w:tab/>
        <w:t>Le représentant du BDT présente le Document C17/25, qui rend compte des résultats d'ensemble obtenus dans l'application de la Résolution 25 (Rév. Busan, 2014) de la Conférence de plénipotentiaires</w:t>
      </w:r>
      <w:r w:rsidR="005F61D4" w:rsidRPr="00D03A47">
        <w:t xml:space="preserve"> et est complété</w:t>
      </w:r>
      <w:r w:rsidR="000A7919" w:rsidRPr="00D03A47">
        <w:t xml:space="preserve"> par le Document C17/INF/11.</w:t>
      </w:r>
    </w:p>
    <w:p w:rsidR="004B3835" w:rsidRDefault="004B3835" w:rsidP="00EB4203">
      <w:pPr>
        <w:tabs>
          <w:tab w:val="clear" w:pos="567"/>
          <w:tab w:val="clear" w:pos="1134"/>
          <w:tab w:val="clear" w:pos="1701"/>
          <w:tab w:val="clear" w:pos="2268"/>
          <w:tab w:val="clear" w:pos="2835"/>
        </w:tabs>
        <w:overflowPunct/>
        <w:autoSpaceDE/>
        <w:autoSpaceDN/>
        <w:adjustRightInd/>
        <w:textAlignment w:val="auto"/>
      </w:pPr>
      <w:r>
        <w:br w:type="page"/>
      </w:r>
    </w:p>
    <w:p w:rsidR="000A7919" w:rsidRPr="00D03A47" w:rsidRDefault="000A7919" w:rsidP="00EB4203">
      <w:pPr>
        <w:tabs>
          <w:tab w:val="clear" w:pos="567"/>
          <w:tab w:val="clear" w:pos="1134"/>
          <w:tab w:val="clear" w:pos="1701"/>
          <w:tab w:val="clear" w:pos="2268"/>
          <w:tab w:val="clear" w:pos="2835"/>
        </w:tabs>
        <w:overflowPunct/>
        <w:autoSpaceDE/>
        <w:autoSpaceDN/>
        <w:adjustRightInd/>
        <w:textAlignment w:val="auto"/>
      </w:pPr>
      <w:r w:rsidRPr="00D03A47">
        <w:lastRenderedPageBreak/>
        <w:t>10.2</w:t>
      </w:r>
      <w:r w:rsidRPr="00D03A47">
        <w:tab/>
        <w:t>Un conseiller demande au Directeur du BDT de renforcer le rôle du bureau régional de l'UIT dans la région Amériques en veillant à ce qu'il existe un mécanisme efficace permettant la participation pleine et entière de tous les membres de la région à l'examen de tous les documents et tous les processus se rapportant à toutes les réunions de l'UIT. Les futurs rapports devraient contenir une ventilation détaillée des ressources affectées à cet effet.</w:t>
      </w:r>
    </w:p>
    <w:p w:rsidR="000A7919" w:rsidRPr="00D03A47" w:rsidRDefault="000A7919" w:rsidP="004B3835">
      <w:pPr>
        <w:tabs>
          <w:tab w:val="clear" w:pos="567"/>
          <w:tab w:val="clear" w:pos="1134"/>
          <w:tab w:val="clear" w:pos="1701"/>
          <w:tab w:val="clear" w:pos="2268"/>
          <w:tab w:val="clear" w:pos="2835"/>
        </w:tabs>
        <w:overflowPunct/>
        <w:autoSpaceDE/>
        <w:autoSpaceDN/>
        <w:adjustRightInd/>
        <w:textAlignment w:val="auto"/>
      </w:pPr>
      <w:r w:rsidRPr="00D03A47">
        <w:t>1</w:t>
      </w:r>
      <w:r w:rsidR="004B3835">
        <w:t>0</w:t>
      </w:r>
      <w:r w:rsidRPr="00D03A47">
        <w:t>.3</w:t>
      </w:r>
      <w:r w:rsidRPr="00D03A47">
        <w:tab/>
        <w:t xml:space="preserve">Le Conseil </w:t>
      </w:r>
      <w:r w:rsidRPr="00D03A47">
        <w:rPr>
          <w:b/>
          <w:bCs/>
        </w:rPr>
        <w:t>prend note</w:t>
      </w:r>
      <w:r w:rsidRPr="00D03A47">
        <w:t xml:space="preserve"> du Document C17/25.</w:t>
      </w:r>
    </w:p>
    <w:p w:rsidR="00F8588B" w:rsidRPr="00D03A47" w:rsidRDefault="00F8588B" w:rsidP="00EB4203">
      <w:pPr>
        <w:spacing w:before="840"/>
        <w:rPr>
          <w:rFonts w:asciiTheme="minorHAnsi" w:hAnsiTheme="minorHAnsi"/>
          <w:szCs w:val="24"/>
        </w:rPr>
      </w:pPr>
      <w:r w:rsidRPr="00D03A47">
        <w:t>Le Se</w:t>
      </w:r>
      <w:r w:rsidRPr="00D03A47">
        <w:rPr>
          <w:rFonts w:asciiTheme="minorHAnsi" w:hAnsiTheme="minorHAnsi"/>
          <w:szCs w:val="24"/>
        </w:rPr>
        <w:t>crétaire général:</w:t>
      </w:r>
      <w:r w:rsidRPr="00D03A47">
        <w:rPr>
          <w:rFonts w:asciiTheme="minorHAnsi" w:hAnsiTheme="minorHAnsi"/>
          <w:szCs w:val="24"/>
        </w:rPr>
        <w:tab/>
      </w:r>
      <w:r w:rsidRPr="00D03A47">
        <w:rPr>
          <w:rFonts w:asciiTheme="minorHAnsi" w:hAnsiTheme="minorHAnsi"/>
          <w:szCs w:val="24"/>
        </w:rPr>
        <w:tab/>
      </w:r>
      <w:r w:rsidRPr="00D03A47">
        <w:rPr>
          <w:rFonts w:asciiTheme="minorHAnsi" w:hAnsiTheme="minorHAnsi"/>
          <w:szCs w:val="24"/>
        </w:rPr>
        <w:tab/>
      </w:r>
      <w:r w:rsidRPr="00D03A47">
        <w:rPr>
          <w:rFonts w:asciiTheme="minorHAnsi" w:hAnsiTheme="minorHAnsi"/>
          <w:szCs w:val="24"/>
        </w:rPr>
        <w:tab/>
      </w:r>
      <w:r w:rsidRPr="00D03A47">
        <w:rPr>
          <w:rFonts w:asciiTheme="minorHAnsi" w:hAnsiTheme="minorHAnsi"/>
          <w:szCs w:val="24"/>
        </w:rPr>
        <w:tab/>
      </w:r>
      <w:r w:rsidRPr="00D03A47">
        <w:rPr>
          <w:rFonts w:asciiTheme="minorHAnsi" w:hAnsiTheme="minorHAnsi"/>
          <w:szCs w:val="24"/>
        </w:rPr>
        <w:tab/>
      </w:r>
      <w:r w:rsidRPr="00D03A47">
        <w:rPr>
          <w:rFonts w:asciiTheme="minorHAnsi" w:hAnsiTheme="minorHAnsi"/>
          <w:szCs w:val="24"/>
        </w:rPr>
        <w:tab/>
      </w:r>
      <w:r w:rsidRPr="00D03A47">
        <w:rPr>
          <w:rFonts w:asciiTheme="minorHAnsi" w:hAnsiTheme="minorHAnsi"/>
          <w:szCs w:val="24"/>
        </w:rPr>
        <w:tab/>
        <w:t>La Présidente:</w:t>
      </w:r>
    </w:p>
    <w:p w:rsidR="000A7919" w:rsidRPr="00D03A47" w:rsidRDefault="00F8588B" w:rsidP="00C41D30">
      <w:pPr>
        <w:tabs>
          <w:tab w:val="clear" w:pos="567"/>
          <w:tab w:val="clear" w:pos="1134"/>
          <w:tab w:val="clear" w:pos="1701"/>
          <w:tab w:val="clear" w:pos="2268"/>
          <w:tab w:val="clear" w:pos="2835"/>
        </w:tabs>
        <w:snapToGrid w:val="0"/>
        <w:spacing w:before="0" w:after="120"/>
      </w:pPr>
      <w:r w:rsidRPr="00D03A47">
        <w:rPr>
          <w:rFonts w:asciiTheme="minorHAnsi" w:hAnsiTheme="minorHAnsi"/>
          <w:szCs w:val="24"/>
        </w:rPr>
        <w:t>H. ZHAO</w:t>
      </w:r>
      <w:r w:rsidRPr="00D03A47">
        <w:rPr>
          <w:rFonts w:asciiTheme="minorHAnsi" w:hAnsiTheme="minorHAnsi"/>
          <w:szCs w:val="24"/>
        </w:rPr>
        <w:tab/>
      </w:r>
      <w:r w:rsidRPr="00D03A47">
        <w:rPr>
          <w:rFonts w:asciiTheme="minorHAnsi" w:hAnsiTheme="minorHAnsi"/>
          <w:szCs w:val="24"/>
        </w:rPr>
        <w:tab/>
      </w:r>
      <w:r w:rsidRPr="00D03A47">
        <w:rPr>
          <w:rFonts w:asciiTheme="minorHAnsi" w:hAnsiTheme="minorHAnsi"/>
          <w:szCs w:val="24"/>
        </w:rPr>
        <w:tab/>
      </w:r>
      <w:r w:rsidRPr="00D03A47">
        <w:rPr>
          <w:rFonts w:asciiTheme="minorHAnsi" w:hAnsiTheme="minorHAnsi"/>
          <w:szCs w:val="24"/>
        </w:rPr>
        <w:tab/>
      </w:r>
      <w:r w:rsidRPr="00D03A47">
        <w:rPr>
          <w:rFonts w:asciiTheme="minorHAnsi" w:hAnsiTheme="minorHAnsi"/>
          <w:szCs w:val="24"/>
        </w:rPr>
        <w:tab/>
      </w:r>
      <w:r w:rsidRPr="00D03A47">
        <w:rPr>
          <w:rFonts w:asciiTheme="minorHAnsi" w:hAnsiTheme="minorHAnsi"/>
          <w:szCs w:val="24"/>
        </w:rPr>
        <w:tab/>
      </w:r>
      <w:r w:rsidRPr="00D03A47">
        <w:rPr>
          <w:rFonts w:asciiTheme="minorHAnsi" w:hAnsiTheme="minorHAnsi"/>
          <w:szCs w:val="24"/>
        </w:rPr>
        <w:tab/>
      </w:r>
      <w:r w:rsidRPr="00D03A47">
        <w:rPr>
          <w:rFonts w:asciiTheme="minorHAnsi" w:hAnsiTheme="minorHAnsi"/>
          <w:szCs w:val="24"/>
        </w:rPr>
        <w:tab/>
        <w:t>E. SPINA</w:t>
      </w:r>
    </w:p>
    <w:sectPr w:rsidR="000A7919" w:rsidRPr="00D03A47" w:rsidSect="005C3890">
      <w:headerReference w:type="even" r:id="rId39"/>
      <w:headerReference w:type="default" r:id="rId40"/>
      <w:footerReference w:type="even" r:id="rId41"/>
      <w:footerReference w:type="default" r:id="rId42"/>
      <w:footerReference w:type="first" r:id="rId43"/>
      <w:pgSz w:w="11907" w:h="16840" w:code="9"/>
      <w:pgMar w:top="1418" w:right="1134" w:bottom="1418" w:left="1134" w:header="720" w:footer="720" w:gutter="0"/>
      <w:paperSrc w:first="261" w:other="26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26E5" w:rsidRDefault="00A626E5">
      <w:r>
        <w:separator/>
      </w:r>
    </w:p>
  </w:endnote>
  <w:endnote w:type="continuationSeparator" w:id="0">
    <w:p w:rsidR="00A626E5" w:rsidRDefault="00A62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045" w:rsidRDefault="003F5312">
    <w:pPr>
      <w:pStyle w:val="Footer"/>
    </w:pPr>
    <w:r>
      <w:fldChar w:fldCharType="begin"/>
    </w:r>
    <w:r>
      <w:instrText xml:space="preserve"> FILENAME \p \* MERGEFORMAT </w:instrText>
    </w:r>
    <w:r>
      <w:fldChar w:fldCharType="separate"/>
    </w:r>
    <w:r w:rsidR="00E43F05">
      <w:t>P:\FRA\SG\CONSEIL\C17\000\128V2F.docx</w:t>
    </w:r>
    <w:r>
      <w:fldChar w:fldCharType="end"/>
    </w:r>
    <w:r w:rsidR="00732045">
      <w:tab/>
    </w:r>
    <w:r w:rsidR="002F1B76">
      <w:fldChar w:fldCharType="begin"/>
    </w:r>
    <w:r w:rsidR="00732045">
      <w:instrText xml:space="preserve"> savedate \@ dd.MM.yy </w:instrText>
    </w:r>
    <w:r w:rsidR="002F1B76">
      <w:fldChar w:fldCharType="separate"/>
    </w:r>
    <w:r>
      <w:t>28.06.17</w:t>
    </w:r>
    <w:r w:rsidR="002F1B76">
      <w:fldChar w:fldCharType="end"/>
    </w:r>
    <w:r w:rsidR="00732045">
      <w:tab/>
    </w:r>
    <w:r w:rsidR="002F1B76">
      <w:fldChar w:fldCharType="begin"/>
    </w:r>
    <w:r w:rsidR="00732045">
      <w:instrText xml:space="preserve"> printdate \@ dd.MM.yy </w:instrText>
    </w:r>
    <w:r w:rsidR="002F1B76">
      <w:fldChar w:fldCharType="separate"/>
    </w:r>
    <w:r w:rsidR="00E43F05">
      <w:t>28.06.17</w:t>
    </w:r>
    <w:r w:rsidR="002F1B76">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045" w:rsidRDefault="003F5312" w:rsidP="00E90A99">
    <w:pPr>
      <w:pStyle w:val="Footer"/>
    </w:pPr>
    <w:r>
      <w:fldChar w:fldCharType="begin"/>
    </w:r>
    <w:r>
      <w:instrText xml:space="preserve"> FILENAME \p \* MERGEFORMAT </w:instrText>
    </w:r>
    <w:r>
      <w:fldChar w:fldCharType="separate"/>
    </w:r>
    <w:r w:rsidR="00E43F05">
      <w:t>P:\FRA\SG\CONSEIL\C17\000\128V2F.docx</w:t>
    </w:r>
    <w:r>
      <w:fldChar w:fldCharType="end"/>
    </w:r>
    <w:r w:rsidR="00D03A47">
      <w:t xml:space="preserve"> (419332)</w:t>
    </w:r>
    <w:r w:rsidR="00E90A99">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045" w:rsidRDefault="00732045">
    <w:pPr>
      <w:spacing w:after="120"/>
      <w:jc w:val="center"/>
    </w:pPr>
    <w:r>
      <w:t xml:space="preserve">• </w:t>
    </w:r>
    <w:hyperlink r:id="rId1" w:history="1">
      <w:r>
        <w:rPr>
          <w:rStyle w:val="Hyperlink"/>
        </w:rPr>
        <w:t>http://www.itu.int/council</w:t>
      </w:r>
    </w:hyperlink>
    <w:r>
      <w:t xml:space="preserve"> •</w:t>
    </w:r>
  </w:p>
  <w:p w:rsidR="00732045" w:rsidRDefault="003F5312" w:rsidP="00D03A47">
    <w:pPr>
      <w:pStyle w:val="Footer"/>
    </w:pPr>
    <w:r>
      <w:fldChar w:fldCharType="begin"/>
    </w:r>
    <w:r>
      <w:instrText xml:space="preserve"> FILENAME \p \* MERGEFORMAT </w:instrText>
    </w:r>
    <w:r>
      <w:fldChar w:fldCharType="separate"/>
    </w:r>
    <w:r w:rsidR="00E43F05">
      <w:t>P:\FRA\SG\CONSEIL\C17\000\128V2F.docx</w:t>
    </w:r>
    <w:r>
      <w:fldChar w:fldCharType="end"/>
    </w:r>
    <w:r w:rsidR="00D03A47">
      <w:t xml:space="preserve"> (419332)</w:t>
    </w:r>
    <w:r w:rsidR="00D03A47">
      <w:tab/>
    </w:r>
    <w:r w:rsidR="00D03A47">
      <w:fldChar w:fldCharType="begin"/>
    </w:r>
    <w:r w:rsidR="00D03A47">
      <w:instrText xml:space="preserve"> savedate \@ dd.MM.yy </w:instrText>
    </w:r>
    <w:r w:rsidR="00D03A47">
      <w:fldChar w:fldCharType="separate"/>
    </w:r>
    <w:r>
      <w:t>28.06.17</w:t>
    </w:r>
    <w:r w:rsidR="00D03A47">
      <w:fldChar w:fldCharType="end"/>
    </w:r>
    <w:r w:rsidR="00D03A47">
      <w:tab/>
    </w:r>
    <w:r w:rsidR="00D03A47">
      <w:fldChar w:fldCharType="begin"/>
    </w:r>
    <w:r w:rsidR="00D03A47">
      <w:instrText xml:space="preserve"> printdate \@ dd.MM.yy </w:instrText>
    </w:r>
    <w:r w:rsidR="00D03A47">
      <w:fldChar w:fldCharType="separate"/>
    </w:r>
    <w:r w:rsidR="00E43F05">
      <w:t>28.06.17</w:t>
    </w:r>
    <w:r w:rsidR="00D03A47">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26E5" w:rsidRDefault="00A626E5">
      <w:r>
        <w:t>____________________</w:t>
      </w:r>
    </w:p>
  </w:footnote>
  <w:footnote w:type="continuationSeparator" w:id="0">
    <w:p w:rsidR="00A626E5" w:rsidRDefault="00A626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045" w:rsidRDefault="00732045">
    <w:pPr>
      <w:pStyle w:val="Header"/>
    </w:pPr>
    <w:r>
      <w:t xml:space="preserve">- </w:t>
    </w:r>
    <w:r w:rsidR="00C27A7C">
      <w:fldChar w:fldCharType="begin"/>
    </w:r>
    <w:r w:rsidR="00C27A7C">
      <w:instrText>PAGE</w:instrText>
    </w:r>
    <w:r w:rsidR="00C27A7C">
      <w:fldChar w:fldCharType="separate"/>
    </w:r>
    <w:r>
      <w:rPr>
        <w:noProof/>
      </w:rPr>
      <w:t>2</w:t>
    </w:r>
    <w:r w:rsidR="00C27A7C">
      <w:rPr>
        <w:noProof/>
      </w:rPr>
      <w:fldChar w:fldCharType="end"/>
    </w:r>
    <w:r>
      <w:t xml:space="preserve"> -</w:t>
    </w:r>
  </w:p>
  <w:p w:rsidR="00732045" w:rsidRDefault="00732045">
    <w:pPr>
      <w:pStyle w:val="Header"/>
    </w:pPr>
    <w:r>
      <w:t>C2001/#-F</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045" w:rsidRDefault="00C27A7C" w:rsidP="00475FB3">
    <w:pPr>
      <w:pStyle w:val="Header"/>
    </w:pPr>
    <w:r>
      <w:fldChar w:fldCharType="begin"/>
    </w:r>
    <w:r>
      <w:instrText>PAGE</w:instrText>
    </w:r>
    <w:r>
      <w:fldChar w:fldCharType="separate"/>
    </w:r>
    <w:r w:rsidR="003F5312">
      <w:rPr>
        <w:noProof/>
      </w:rPr>
      <w:t>8</w:t>
    </w:r>
    <w:r>
      <w:rPr>
        <w:noProof/>
      </w:rPr>
      <w:fldChar w:fldCharType="end"/>
    </w:r>
  </w:p>
  <w:p w:rsidR="00732045" w:rsidRDefault="00732045" w:rsidP="00A63AED">
    <w:pPr>
      <w:pStyle w:val="Header"/>
    </w:pPr>
    <w:r>
      <w:t>C1</w:t>
    </w:r>
    <w:r w:rsidR="0093234A">
      <w:t>7</w:t>
    </w:r>
    <w:r>
      <w:t>/</w:t>
    </w:r>
    <w:r w:rsidR="00A63AED">
      <w:t>128</w:t>
    </w:r>
    <w:r>
      <w:t>-F</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457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64D44437-BE3C-4370-9764-26189B241F8A}"/>
    <w:docVar w:name="dgnword-eventsink" w:val="371654160"/>
  </w:docVars>
  <w:rsids>
    <w:rsidRoot w:val="00A626E5"/>
    <w:rsid w:val="0000172C"/>
    <w:rsid w:val="0002095B"/>
    <w:rsid w:val="000633E6"/>
    <w:rsid w:val="000A7919"/>
    <w:rsid w:val="000C70F2"/>
    <w:rsid w:val="000D0D0A"/>
    <w:rsid w:val="00103163"/>
    <w:rsid w:val="00105602"/>
    <w:rsid w:val="00115D93"/>
    <w:rsid w:val="001247A8"/>
    <w:rsid w:val="001378C0"/>
    <w:rsid w:val="00150168"/>
    <w:rsid w:val="001711D2"/>
    <w:rsid w:val="0018694A"/>
    <w:rsid w:val="001A3287"/>
    <w:rsid w:val="001A6508"/>
    <w:rsid w:val="001D4C31"/>
    <w:rsid w:val="001D721F"/>
    <w:rsid w:val="001E4D21"/>
    <w:rsid w:val="001F2206"/>
    <w:rsid w:val="00207CD1"/>
    <w:rsid w:val="00216E52"/>
    <w:rsid w:val="002477A2"/>
    <w:rsid w:val="00254404"/>
    <w:rsid w:val="00263A51"/>
    <w:rsid w:val="00267E02"/>
    <w:rsid w:val="002A5D44"/>
    <w:rsid w:val="002A5F81"/>
    <w:rsid w:val="002C70F1"/>
    <w:rsid w:val="002D61FA"/>
    <w:rsid w:val="002E0BC4"/>
    <w:rsid w:val="002F1B76"/>
    <w:rsid w:val="00315A58"/>
    <w:rsid w:val="0034761F"/>
    <w:rsid w:val="00355FF5"/>
    <w:rsid w:val="00361350"/>
    <w:rsid w:val="003B3E9F"/>
    <w:rsid w:val="003E30D9"/>
    <w:rsid w:val="003F5312"/>
    <w:rsid w:val="004038CB"/>
    <w:rsid w:val="00403C2E"/>
    <w:rsid w:val="0040546F"/>
    <w:rsid w:val="004059A2"/>
    <w:rsid w:val="00407024"/>
    <w:rsid w:val="00407B78"/>
    <w:rsid w:val="004169D5"/>
    <w:rsid w:val="0042404A"/>
    <w:rsid w:val="004412AA"/>
    <w:rsid w:val="0044618F"/>
    <w:rsid w:val="00450907"/>
    <w:rsid w:val="00466C1D"/>
    <w:rsid w:val="0046769A"/>
    <w:rsid w:val="00470D0E"/>
    <w:rsid w:val="00475FB3"/>
    <w:rsid w:val="004971D0"/>
    <w:rsid w:val="004B3835"/>
    <w:rsid w:val="004C37A9"/>
    <w:rsid w:val="004D50FF"/>
    <w:rsid w:val="004F259E"/>
    <w:rsid w:val="00511F1D"/>
    <w:rsid w:val="00520F36"/>
    <w:rsid w:val="00540615"/>
    <w:rsid w:val="00540A6D"/>
    <w:rsid w:val="005474B3"/>
    <w:rsid w:val="00571EEA"/>
    <w:rsid w:val="00575417"/>
    <w:rsid w:val="005768E1"/>
    <w:rsid w:val="005C3890"/>
    <w:rsid w:val="005F61D4"/>
    <w:rsid w:val="005F7BFE"/>
    <w:rsid w:val="00600017"/>
    <w:rsid w:val="006004C7"/>
    <w:rsid w:val="006235CA"/>
    <w:rsid w:val="006643AB"/>
    <w:rsid w:val="006942C4"/>
    <w:rsid w:val="006B316A"/>
    <w:rsid w:val="007210CD"/>
    <w:rsid w:val="00732045"/>
    <w:rsid w:val="007369DB"/>
    <w:rsid w:val="00743A18"/>
    <w:rsid w:val="00757019"/>
    <w:rsid w:val="00777926"/>
    <w:rsid w:val="00793B26"/>
    <w:rsid w:val="007956C2"/>
    <w:rsid w:val="007A187E"/>
    <w:rsid w:val="007C72C2"/>
    <w:rsid w:val="007D4436"/>
    <w:rsid w:val="007F257A"/>
    <w:rsid w:val="007F3665"/>
    <w:rsid w:val="00800037"/>
    <w:rsid w:val="00817AF7"/>
    <w:rsid w:val="00842DB1"/>
    <w:rsid w:val="008576F0"/>
    <w:rsid w:val="00857958"/>
    <w:rsid w:val="00861D73"/>
    <w:rsid w:val="008A4E87"/>
    <w:rsid w:val="008D76E6"/>
    <w:rsid w:val="008E2AA6"/>
    <w:rsid w:val="0092392D"/>
    <w:rsid w:val="0093234A"/>
    <w:rsid w:val="00942766"/>
    <w:rsid w:val="009428FC"/>
    <w:rsid w:val="009A6600"/>
    <w:rsid w:val="009C307F"/>
    <w:rsid w:val="009D3B36"/>
    <w:rsid w:val="009E2099"/>
    <w:rsid w:val="00A20BA7"/>
    <w:rsid w:val="00A2113E"/>
    <w:rsid w:val="00A23A51"/>
    <w:rsid w:val="00A24607"/>
    <w:rsid w:val="00A25CD3"/>
    <w:rsid w:val="00A43D3E"/>
    <w:rsid w:val="00A613B6"/>
    <w:rsid w:val="00A626E5"/>
    <w:rsid w:val="00A63AED"/>
    <w:rsid w:val="00A82767"/>
    <w:rsid w:val="00AA332F"/>
    <w:rsid w:val="00AA7BBB"/>
    <w:rsid w:val="00AB6289"/>
    <w:rsid w:val="00AB64A8"/>
    <w:rsid w:val="00AC0266"/>
    <w:rsid w:val="00AD24EC"/>
    <w:rsid w:val="00AE5588"/>
    <w:rsid w:val="00AF049C"/>
    <w:rsid w:val="00B301D4"/>
    <w:rsid w:val="00B309F9"/>
    <w:rsid w:val="00B32B60"/>
    <w:rsid w:val="00B57D88"/>
    <w:rsid w:val="00B61619"/>
    <w:rsid w:val="00B70D22"/>
    <w:rsid w:val="00BA604E"/>
    <w:rsid w:val="00BB4545"/>
    <w:rsid w:val="00BC56EB"/>
    <w:rsid w:val="00BD5873"/>
    <w:rsid w:val="00C04BE3"/>
    <w:rsid w:val="00C155DC"/>
    <w:rsid w:val="00C25D29"/>
    <w:rsid w:val="00C27A7C"/>
    <w:rsid w:val="00C41D30"/>
    <w:rsid w:val="00C56264"/>
    <w:rsid w:val="00C83BEA"/>
    <w:rsid w:val="00CA08ED"/>
    <w:rsid w:val="00CF183B"/>
    <w:rsid w:val="00CF7CA9"/>
    <w:rsid w:val="00D03A47"/>
    <w:rsid w:val="00D17085"/>
    <w:rsid w:val="00D375CD"/>
    <w:rsid w:val="00D5158E"/>
    <w:rsid w:val="00D52993"/>
    <w:rsid w:val="00D553A2"/>
    <w:rsid w:val="00D613B9"/>
    <w:rsid w:val="00D724FB"/>
    <w:rsid w:val="00D774D3"/>
    <w:rsid w:val="00D904E8"/>
    <w:rsid w:val="00DA08C3"/>
    <w:rsid w:val="00DB5A3E"/>
    <w:rsid w:val="00DC22AA"/>
    <w:rsid w:val="00DE3F2B"/>
    <w:rsid w:val="00DF74DD"/>
    <w:rsid w:val="00DF772B"/>
    <w:rsid w:val="00E14327"/>
    <w:rsid w:val="00E17DA1"/>
    <w:rsid w:val="00E24DF2"/>
    <w:rsid w:val="00E25AD0"/>
    <w:rsid w:val="00E43F05"/>
    <w:rsid w:val="00E90A99"/>
    <w:rsid w:val="00EB4203"/>
    <w:rsid w:val="00EB535E"/>
    <w:rsid w:val="00EB6350"/>
    <w:rsid w:val="00EF20E4"/>
    <w:rsid w:val="00F15B57"/>
    <w:rsid w:val="00F30CF0"/>
    <w:rsid w:val="00F427DB"/>
    <w:rsid w:val="00F629B4"/>
    <w:rsid w:val="00F77A97"/>
    <w:rsid w:val="00F8588B"/>
    <w:rsid w:val="00FA3D30"/>
    <w:rsid w:val="00FA5EB1"/>
    <w:rsid w:val="00FA7439"/>
    <w:rsid w:val="00FC4EC0"/>
    <w:rsid w:val="00FF0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5:docId w15:val="{D071EA8B-0D01-48F1-872A-62EFE0320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2045"/>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732045"/>
    <w:pPr>
      <w:keepNext/>
      <w:keepLines/>
      <w:spacing w:before="480"/>
      <w:ind w:left="567" w:hanging="567"/>
      <w:outlineLvl w:val="0"/>
    </w:pPr>
    <w:rPr>
      <w:b/>
      <w:sz w:val="28"/>
    </w:rPr>
  </w:style>
  <w:style w:type="paragraph" w:styleId="Heading2">
    <w:name w:val="heading 2"/>
    <w:basedOn w:val="Heading1"/>
    <w:next w:val="Normal"/>
    <w:qFormat/>
    <w:rsid w:val="00732045"/>
    <w:pPr>
      <w:spacing w:before="320"/>
      <w:outlineLvl w:val="1"/>
    </w:pPr>
    <w:rPr>
      <w:sz w:val="24"/>
    </w:rPr>
  </w:style>
  <w:style w:type="paragraph" w:styleId="Heading3">
    <w:name w:val="heading 3"/>
    <w:basedOn w:val="Heading1"/>
    <w:next w:val="Normal"/>
    <w:qFormat/>
    <w:rsid w:val="00732045"/>
    <w:pPr>
      <w:spacing w:before="200"/>
      <w:outlineLvl w:val="2"/>
    </w:pPr>
    <w:rPr>
      <w:sz w:val="24"/>
    </w:rPr>
  </w:style>
  <w:style w:type="paragraph" w:styleId="Heading4">
    <w:name w:val="heading 4"/>
    <w:basedOn w:val="Heading3"/>
    <w:next w:val="Normal"/>
    <w:qFormat/>
    <w:rsid w:val="00732045"/>
    <w:pPr>
      <w:ind w:left="1134" w:hanging="1134"/>
      <w:outlineLvl w:val="3"/>
    </w:pPr>
  </w:style>
  <w:style w:type="paragraph" w:styleId="Heading5">
    <w:name w:val="heading 5"/>
    <w:basedOn w:val="Heading4"/>
    <w:next w:val="Normal"/>
    <w:qFormat/>
    <w:rsid w:val="00732045"/>
    <w:pPr>
      <w:outlineLvl w:val="4"/>
    </w:pPr>
  </w:style>
  <w:style w:type="paragraph" w:styleId="Heading6">
    <w:name w:val="heading 6"/>
    <w:basedOn w:val="Heading4"/>
    <w:next w:val="Normal"/>
    <w:qFormat/>
    <w:rsid w:val="00732045"/>
    <w:pPr>
      <w:outlineLvl w:val="5"/>
    </w:pPr>
  </w:style>
  <w:style w:type="paragraph" w:styleId="Heading7">
    <w:name w:val="heading 7"/>
    <w:basedOn w:val="Heading4"/>
    <w:next w:val="Normal"/>
    <w:qFormat/>
    <w:rsid w:val="00732045"/>
    <w:pPr>
      <w:ind w:left="1701" w:hanging="1701"/>
      <w:outlineLvl w:val="6"/>
    </w:pPr>
  </w:style>
  <w:style w:type="paragraph" w:styleId="Heading8">
    <w:name w:val="heading 8"/>
    <w:basedOn w:val="Heading4"/>
    <w:next w:val="Normal"/>
    <w:qFormat/>
    <w:rsid w:val="00732045"/>
    <w:pPr>
      <w:ind w:left="1701" w:hanging="1701"/>
      <w:outlineLvl w:val="7"/>
    </w:pPr>
  </w:style>
  <w:style w:type="paragraph" w:styleId="Heading9">
    <w:name w:val="heading 9"/>
    <w:basedOn w:val="Heading4"/>
    <w:next w:val="Normal"/>
    <w:qFormat/>
    <w:rsid w:val="0073204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3">
    <w:name w:val="toc 3"/>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732045"/>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732045"/>
    <w:pPr>
      <w:tabs>
        <w:tab w:val="clear" w:pos="567"/>
        <w:tab w:val="clear" w:pos="1134"/>
        <w:tab w:val="clear" w:pos="1701"/>
        <w:tab w:val="clear" w:pos="2268"/>
        <w:tab w:val="clear" w:pos="2835"/>
        <w:tab w:val="left" w:pos="964"/>
        <w:tab w:val="left" w:pos="8789"/>
        <w:tab w:val="right" w:pos="9639"/>
      </w:tabs>
      <w:ind w:left="964" w:hanging="964"/>
    </w:pPr>
  </w:style>
  <w:style w:type="paragraph" w:styleId="Index7">
    <w:name w:val="index 7"/>
    <w:basedOn w:val="Normal"/>
    <w:next w:val="Normal"/>
    <w:rsid w:val="005C3890"/>
    <w:pPr>
      <w:ind w:left="1698"/>
    </w:pPr>
  </w:style>
  <w:style w:type="paragraph" w:styleId="Index6">
    <w:name w:val="index 6"/>
    <w:basedOn w:val="Normal"/>
    <w:next w:val="Normal"/>
    <w:rsid w:val="005C3890"/>
    <w:pPr>
      <w:ind w:left="1415"/>
    </w:pPr>
  </w:style>
  <w:style w:type="paragraph" w:styleId="Index5">
    <w:name w:val="index 5"/>
    <w:basedOn w:val="Normal"/>
    <w:next w:val="Normal"/>
    <w:rsid w:val="005C3890"/>
    <w:pPr>
      <w:ind w:left="1132"/>
    </w:pPr>
  </w:style>
  <w:style w:type="paragraph" w:styleId="Index4">
    <w:name w:val="index 4"/>
    <w:basedOn w:val="Normal"/>
    <w:next w:val="Normal"/>
    <w:rsid w:val="005C3890"/>
    <w:pPr>
      <w:ind w:left="849"/>
    </w:pPr>
  </w:style>
  <w:style w:type="paragraph" w:styleId="Index3">
    <w:name w:val="index 3"/>
    <w:basedOn w:val="Normal"/>
    <w:next w:val="Normal"/>
    <w:rsid w:val="005C3890"/>
    <w:pPr>
      <w:ind w:left="566"/>
    </w:pPr>
  </w:style>
  <w:style w:type="paragraph" w:styleId="Index2">
    <w:name w:val="index 2"/>
    <w:basedOn w:val="Normal"/>
    <w:next w:val="Normal"/>
    <w:rsid w:val="005C3890"/>
    <w:pPr>
      <w:ind w:left="283"/>
    </w:pPr>
  </w:style>
  <w:style w:type="paragraph" w:styleId="Index1">
    <w:name w:val="index 1"/>
    <w:basedOn w:val="Normal"/>
    <w:next w:val="Normal"/>
    <w:rsid w:val="005C3890"/>
  </w:style>
  <w:style w:type="character" w:styleId="LineNumber">
    <w:name w:val="line number"/>
    <w:basedOn w:val="DefaultParagraphFont"/>
    <w:rsid w:val="005C3890"/>
  </w:style>
  <w:style w:type="paragraph" w:styleId="IndexHeading">
    <w:name w:val="index heading"/>
    <w:basedOn w:val="Normal"/>
    <w:next w:val="Index1"/>
    <w:rsid w:val="005C3890"/>
  </w:style>
  <w:style w:type="paragraph" w:styleId="Footer">
    <w:name w:val="footer"/>
    <w:basedOn w:val="Normal"/>
    <w:rsid w:val="0073204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rsid w:val="0073204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732045"/>
    <w:rPr>
      <w:rFonts w:ascii="Calibri" w:hAnsi="Calibri"/>
      <w:position w:val="6"/>
      <w:sz w:val="16"/>
    </w:rPr>
  </w:style>
  <w:style w:type="paragraph" w:styleId="FootnoteText">
    <w:name w:val="footnote text"/>
    <w:basedOn w:val="Normal"/>
    <w:rsid w:val="00732045"/>
    <w:pPr>
      <w:keepLines/>
      <w:tabs>
        <w:tab w:val="left" w:pos="256"/>
      </w:tabs>
      <w:ind w:left="256" w:hanging="256"/>
    </w:pPr>
  </w:style>
  <w:style w:type="paragraph" w:styleId="NormalIndent">
    <w:name w:val="Normal Indent"/>
    <w:basedOn w:val="Normal"/>
    <w:rsid w:val="00732045"/>
    <w:pPr>
      <w:ind w:left="567"/>
    </w:pPr>
  </w:style>
  <w:style w:type="paragraph" w:customStyle="1" w:styleId="enumlev1">
    <w:name w:val="enumlev1"/>
    <w:basedOn w:val="Normal"/>
    <w:rsid w:val="00732045"/>
    <w:pPr>
      <w:spacing w:before="86"/>
      <w:ind w:left="567" w:hanging="567"/>
    </w:pPr>
  </w:style>
  <w:style w:type="paragraph" w:customStyle="1" w:styleId="enumlev2">
    <w:name w:val="enumlev2"/>
    <w:basedOn w:val="enumlev1"/>
    <w:rsid w:val="00732045"/>
    <w:pPr>
      <w:ind w:left="1134"/>
    </w:pPr>
  </w:style>
  <w:style w:type="paragraph" w:customStyle="1" w:styleId="enumlev3">
    <w:name w:val="enumlev3"/>
    <w:basedOn w:val="enumlev2"/>
    <w:rsid w:val="00732045"/>
    <w:pPr>
      <w:ind w:left="1701"/>
    </w:pPr>
  </w:style>
  <w:style w:type="paragraph" w:customStyle="1" w:styleId="Equation">
    <w:name w:val="Equation"/>
    <w:basedOn w:val="Normal"/>
    <w:rsid w:val="005C3890"/>
    <w:pPr>
      <w:tabs>
        <w:tab w:val="center" w:pos="4820"/>
        <w:tab w:val="right" w:pos="9639"/>
      </w:tabs>
    </w:pPr>
  </w:style>
  <w:style w:type="paragraph" w:customStyle="1" w:styleId="Head">
    <w:name w:val="Head"/>
    <w:basedOn w:val="Normal"/>
    <w:rsid w:val="005C3890"/>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rsid w:val="00732045"/>
    <w:pPr>
      <w:spacing w:before="240"/>
    </w:pPr>
  </w:style>
  <w:style w:type="paragraph" w:customStyle="1" w:styleId="Call">
    <w:name w:val="Call"/>
    <w:basedOn w:val="Normal"/>
    <w:next w:val="Normal"/>
    <w:rsid w:val="00732045"/>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732045"/>
    <w:pPr>
      <w:tabs>
        <w:tab w:val="clear" w:pos="567"/>
        <w:tab w:val="clear" w:pos="1134"/>
        <w:tab w:val="clear" w:pos="1701"/>
        <w:tab w:val="clear" w:pos="2268"/>
        <w:tab w:val="clear" w:pos="2835"/>
        <w:tab w:val="right" w:pos="9781"/>
      </w:tabs>
    </w:pPr>
    <w:rPr>
      <w:b/>
    </w:rPr>
  </w:style>
  <w:style w:type="paragraph" w:styleId="List">
    <w:name w:val="List"/>
    <w:basedOn w:val="Normal"/>
    <w:rsid w:val="005C3890"/>
    <w:pPr>
      <w:tabs>
        <w:tab w:val="left" w:pos="2127"/>
      </w:tabs>
      <w:ind w:left="2127" w:hanging="2127"/>
    </w:pPr>
  </w:style>
  <w:style w:type="paragraph" w:customStyle="1" w:styleId="Part">
    <w:name w:val="Part"/>
    <w:basedOn w:val="Normal"/>
    <w:rsid w:val="005C3890"/>
    <w:pPr>
      <w:tabs>
        <w:tab w:val="left" w:pos="1276"/>
      </w:tabs>
      <w:spacing w:before="199"/>
      <w:ind w:left="1701" w:hanging="1701"/>
    </w:pPr>
    <w:rPr>
      <w:caps/>
    </w:rPr>
  </w:style>
  <w:style w:type="paragraph" w:customStyle="1" w:styleId="Reasons">
    <w:name w:val="Reasons"/>
    <w:basedOn w:val="Normal"/>
    <w:rsid w:val="00732045"/>
  </w:style>
  <w:style w:type="paragraph" w:customStyle="1" w:styleId="meeting">
    <w:name w:val="meeting"/>
    <w:basedOn w:val="Head"/>
    <w:next w:val="Head"/>
    <w:rsid w:val="005C3890"/>
    <w:pPr>
      <w:tabs>
        <w:tab w:val="left" w:pos="7371"/>
      </w:tabs>
      <w:spacing w:after="567"/>
    </w:pPr>
  </w:style>
  <w:style w:type="paragraph" w:customStyle="1" w:styleId="Subject">
    <w:name w:val="Subject"/>
    <w:basedOn w:val="Normal"/>
    <w:next w:val="Source"/>
    <w:rsid w:val="005C3890"/>
    <w:pPr>
      <w:tabs>
        <w:tab w:val="left" w:pos="709"/>
      </w:tabs>
      <w:spacing w:before="0"/>
      <w:ind w:left="709" w:hanging="709"/>
    </w:pPr>
  </w:style>
  <w:style w:type="paragraph" w:customStyle="1" w:styleId="Source">
    <w:name w:val="Source"/>
    <w:basedOn w:val="Normal"/>
    <w:next w:val="Title1"/>
    <w:rsid w:val="00732045"/>
    <w:pPr>
      <w:spacing w:before="840"/>
      <w:jc w:val="center"/>
    </w:pPr>
    <w:rPr>
      <w:b/>
      <w:sz w:val="28"/>
    </w:rPr>
  </w:style>
  <w:style w:type="paragraph" w:customStyle="1" w:styleId="Object">
    <w:name w:val="Object"/>
    <w:basedOn w:val="Subject"/>
    <w:next w:val="Subject"/>
    <w:rsid w:val="005C3890"/>
  </w:style>
  <w:style w:type="paragraph" w:customStyle="1" w:styleId="Data">
    <w:name w:val="Data"/>
    <w:basedOn w:val="Subject"/>
    <w:next w:val="Subject"/>
    <w:rsid w:val="005C3890"/>
  </w:style>
  <w:style w:type="paragraph" w:customStyle="1" w:styleId="Headingb">
    <w:name w:val="Heading_b"/>
    <w:basedOn w:val="Heading3"/>
    <w:next w:val="Normal"/>
    <w:rsid w:val="00732045"/>
    <w:pPr>
      <w:spacing w:before="160"/>
      <w:outlineLvl w:val="0"/>
    </w:pPr>
  </w:style>
  <w:style w:type="paragraph" w:customStyle="1" w:styleId="Title1">
    <w:name w:val="Title 1"/>
    <w:basedOn w:val="Source"/>
    <w:next w:val="Title2"/>
    <w:rsid w:val="00732045"/>
    <w:pPr>
      <w:spacing w:before="240"/>
    </w:pPr>
    <w:rPr>
      <w:b w:val="0"/>
      <w:caps/>
    </w:rPr>
  </w:style>
  <w:style w:type="paragraph" w:customStyle="1" w:styleId="dnum">
    <w:name w:val="dnum"/>
    <w:basedOn w:val="Normal"/>
    <w:rsid w:val="005C3890"/>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732045"/>
    <w:rPr>
      <w:caps w:val="0"/>
    </w:rPr>
  </w:style>
  <w:style w:type="paragraph" w:customStyle="1" w:styleId="Note">
    <w:name w:val="Note"/>
    <w:basedOn w:val="Normal"/>
    <w:rsid w:val="005C3890"/>
    <w:pPr>
      <w:spacing w:before="80"/>
    </w:pPr>
  </w:style>
  <w:style w:type="paragraph" w:styleId="TOC9">
    <w:name w:val="toc 9"/>
    <w:basedOn w:val="Normal"/>
    <w:next w:val="Normal"/>
    <w:rsid w:val="00732045"/>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5C3890"/>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5C3890"/>
    <w:pPr>
      <w:framePr w:hSpace="181" w:wrap="notBeside" w:vAnchor="page" w:hAnchor="margin" w:x="1" w:y="852"/>
      <w:shd w:val="solid" w:color="FFFFFF" w:fill="FFFFFF"/>
      <w:tabs>
        <w:tab w:val="left" w:pos="1871"/>
      </w:tabs>
      <w:spacing w:before="0"/>
    </w:pPr>
    <w:rPr>
      <w:b/>
      <w:bCs/>
    </w:rPr>
  </w:style>
  <w:style w:type="character" w:styleId="Hyperlink">
    <w:name w:val="Hyperlink"/>
    <w:basedOn w:val="DefaultParagraphFont"/>
    <w:rsid w:val="00732045"/>
    <w:rPr>
      <w:color w:val="0000FF"/>
      <w:u w:val="single"/>
    </w:rPr>
  </w:style>
  <w:style w:type="character" w:styleId="FollowedHyperlink">
    <w:name w:val="FollowedHyperlink"/>
    <w:basedOn w:val="DefaultParagraphFont"/>
    <w:rsid w:val="005C3890"/>
    <w:rPr>
      <w:color w:val="800080"/>
      <w:u w:val="single"/>
    </w:rPr>
  </w:style>
  <w:style w:type="paragraph" w:customStyle="1" w:styleId="AnnexNo">
    <w:name w:val="Annex_No"/>
    <w:basedOn w:val="Normal"/>
    <w:next w:val="Annexref"/>
    <w:rsid w:val="00732045"/>
    <w:pPr>
      <w:spacing w:before="720"/>
      <w:jc w:val="center"/>
    </w:pPr>
    <w:rPr>
      <w:caps/>
      <w:sz w:val="28"/>
    </w:rPr>
  </w:style>
  <w:style w:type="paragraph" w:customStyle="1" w:styleId="Annexref">
    <w:name w:val="Annex_ref"/>
    <w:basedOn w:val="Normal"/>
    <w:next w:val="Annextitle"/>
    <w:rsid w:val="00732045"/>
    <w:pPr>
      <w:jc w:val="center"/>
    </w:pPr>
    <w:rPr>
      <w:sz w:val="28"/>
    </w:rPr>
  </w:style>
  <w:style w:type="paragraph" w:customStyle="1" w:styleId="Annextitle">
    <w:name w:val="Annex_title"/>
    <w:basedOn w:val="Normal"/>
    <w:next w:val="Normal"/>
    <w:rsid w:val="00732045"/>
    <w:pPr>
      <w:spacing w:before="240" w:after="240"/>
      <w:jc w:val="center"/>
    </w:pPr>
    <w:rPr>
      <w:b/>
      <w:sz w:val="28"/>
    </w:rPr>
  </w:style>
  <w:style w:type="paragraph" w:customStyle="1" w:styleId="AppendixNo">
    <w:name w:val="Appendix_No"/>
    <w:basedOn w:val="AnnexNo"/>
    <w:next w:val="Appendixref"/>
    <w:rsid w:val="00732045"/>
  </w:style>
  <w:style w:type="paragraph" w:customStyle="1" w:styleId="Appendixref">
    <w:name w:val="Appendix_ref"/>
    <w:basedOn w:val="Annexref"/>
    <w:next w:val="Appendixtitle"/>
    <w:rsid w:val="00732045"/>
  </w:style>
  <w:style w:type="paragraph" w:customStyle="1" w:styleId="Appendixtitle">
    <w:name w:val="Appendix_title"/>
    <w:basedOn w:val="Annextitle"/>
    <w:next w:val="Normal"/>
    <w:rsid w:val="00732045"/>
  </w:style>
  <w:style w:type="paragraph" w:customStyle="1" w:styleId="Artheading">
    <w:name w:val="Art_heading"/>
    <w:basedOn w:val="Normal"/>
    <w:next w:val="Normalaftertitle"/>
    <w:rsid w:val="0073204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732045"/>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732045"/>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32045"/>
  </w:style>
  <w:style w:type="paragraph" w:customStyle="1" w:styleId="Chaptitle">
    <w:name w:val="Chap_title"/>
    <w:basedOn w:val="Arttitle"/>
    <w:next w:val="Normal"/>
    <w:rsid w:val="00732045"/>
  </w:style>
  <w:style w:type="paragraph" w:customStyle="1" w:styleId="Equationlegend">
    <w:name w:val="Equation_legend"/>
    <w:basedOn w:val="NormalIndent"/>
    <w:rsid w:val="005C3890"/>
    <w:pPr>
      <w:tabs>
        <w:tab w:val="right" w:pos="1531"/>
      </w:tabs>
      <w:spacing w:before="80"/>
      <w:ind w:left="1701" w:hanging="1701"/>
    </w:pPr>
  </w:style>
  <w:style w:type="paragraph" w:customStyle="1" w:styleId="Figure">
    <w:name w:val="Figure"/>
    <w:basedOn w:val="Normal"/>
    <w:next w:val="Figuretitle"/>
    <w:rsid w:val="005C3890"/>
    <w:pPr>
      <w:keepNext/>
      <w:keepLines/>
      <w:spacing w:after="120"/>
      <w:jc w:val="center"/>
    </w:pPr>
  </w:style>
  <w:style w:type="paragraph" w:customStyle="1" w:styleId="Figurelegend">
    <w:name w:val="Figure_legend"/>
    <w:basedOn w:val="Normal"/>
    <w:rsid w:val="005C3890"/>
    <w:pPr>
      <w:keepNext/>
      <w:keepLines/>
      <w:spacing w:before="20" w:after="20"/>
    </w:pPr>
    <w:rPr>
      <w:sz w:val="18"/>
    </w:rPr>
  </w:style>
  <w:style w:type="paragraph" w:customStyle="1" w:styleId="TableNo">
    <w:name w:val="Table_No"/>
    <w:basedOn w:val="Normal"/>
    <w:next w:val="Tabletitle"/>
    <w:rsid w:val="00732045"/>
    <w:pPr>
      <w:keepNext/>
      <w:spacing w:before="560" w:after="120"/>
      <w:jc w:val="center"/>
    </w:pPr>
    <w:rPr>
      <w:caps/>
    </w:rPr>
  </w:style>
  <w:style w:type="paragraph" w:customStyle="1" w:styleId="Tabletitle">
    <w:name w:val="Table_title"/>
    <w:basedOn w:val="TableNo"/>
    <w:next w:val="Tabletext"/>
    <w:rsid w:val="0073204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rsid w:val="005C3890"/>
    <w:pPr>
      <w:spacing w:before="240" w:after="480"/>
    </w:pPr>
  </w:style>
  <w:style w:type="paragraph" w:customStyle="1" w:styleId="Figurewithouttitle">
    <w:name w:val="Figure_without_title"/>
    <w:basedOn w:val="Figure"/>
    <w:next w:val="Normalaftertitle"/>
    <w:rsid w:val="005C3890"/>
    <w:pPr>
      <w:keepNext w:val="0"/>
      <w:spacing w:after="240"/>
    </w:pPr>
  </w:style>
  <w:style w:type="paragraph" w:customStyle="1" w:styleId="Headingi">
    <w:name w:val="Heading_i"/>
    <w:basedOn w:val="Heading3"/>
    <w:next w:val="Normal"/>
    <w:rsid w:val="00732045"/>
    <w:pPr>
      <w:spacing w:before="160"/>
      <w:outlineLvl w:val="0"/>
    </w:pPr>
    <w:rPr>
      <w:b w:val="0"/>
      <w:i/>
    </w:rPr>
  </w:style>
  <w:style w:type="character" w:styleId="PageNumber">
    <w:name w:val="page number"/>
    <w:basedOn w:val="DefaultParagraphFont"/>
    <w:rsid w:val="00732045"/>
    <w:rPr>
      <w:rFonts w:ascii="Calibri" w:hAnsi="Calibri"/>
    </w:rPr>
  </w:style>
  <w:style w:type="paragraph" w:customStyle="1" w:styleId="PartNo">
    <w:name w:val="Part_No"/>
    <w:basedOn w:val="AnnexNo"/>
    <w:next w:val="Parttitle"/>
    <w:rsid w:val="005C3890"/>
  </w:style>
  <w:style w:type="paragraph" w:customStyle="1" w:styleId="Partref">
    <w:name w:val="Part_ref"/>
    <w:basedOn w:val="Annexref"/>
    <w:next w:val="Normalaftertitle"/>
    <w:rsid w:val="005C3890"/>
  </w:style>
  <w:style w:type="paragraph" w:customStyle="1" w:styleId="Parttitle">
    <w:name w:val="Part_title"/>
    <w:basedOn w:val="Annextitle"/>
    <w:next w:val="Partref"/>
    <w:rsid w:val="005C3890"/>
  </w:style>
  <w:style w:type="paragraph" w:customStyle="1" w:styleId="RecNo">
    <w:name w:val="Rec_No"/>
    <w:basedOn w:val="Normal"/>
    <w:next w:val="Rectitle"/>
    <w:rsid w:val="00732045"/>
    <w:pPr>
      <w:spacing w:before="720"/>
      <w:jc w:val="center"/>
    </w:pPr>
    <w:rPr>
      <w:caps/>
      <w:sz w:val="28"/>
    </w:rPr>
  </w:style>
  <w:style w:type="paragraph" w:customStyle="1" w:styleId="Rectitle">
    <w:name w:val="Rec_title"/>
    <w:basedOn w:val="Normal"/>
    <w:next w:val="Heading1"/>
    <w:rsid w:val="00732045"/>
    <w:pPr>
      <w:spacing w:before="240"/>
      <w:jc w:val="center"/>
    </w:pPr>
    <w:rPr>
      <w:b/>
      <w:sz w:val="28"/>
    </w:rPr>
  </w:style>
  <w:style w:type="paragraph" w:customStyle="1" w:styleId="Recref">
    <w:name w:val="Rec_ref"/>
    <w:basedOn w:val="Rectitle"/>
    <w:next w:val="Recdate"/>
    <w:rsid w:val="005C3890"/>
    <w:pPr>
      <w:spacing w:before="120"/>
    </w:pPr>
    <w:rPr>
      <w:rFonts w:ascii="Times New Roman" w:hAnsi="Times New Roman"/>
      <w:b w:val="0"/>
      <w:sz w:val="24"/>
    </w:rPr>
  </w:style>
  <w:style w:type="paragraph" w:customStyle="1" w:styleId="Recdate">
    <w:name w:val="Rec_date"/>
    <w:basedOn w:val="Recref"/>
    <w:next w:val="Normalaftertitle"/>
    <w:rsid w:val="005C3890"/>
    <w:pPr>
      <w:jc w:val="right"/>
    </w:pPr>
    <w:rPr>
      <w:sz w:val="22"/>
    </w:rPr>
  </w:style>
  <w:style w:type="paragraph" w:customStyle="1" w:styleId="Questiondate">
    <w:name w:val="Question_date"/>
    <w:basedOn w:val="Recdate"/>
    <w:next w:val="Normalaftertitle"/>
    <w:rsid w:val="005C3890"/>
  </w:style>
  <w:style w:type="paragraph" w:customStyle="1" w:styleId="QuestionNo">
    <w:name w:val="Question_No"/>
    <w:basedOn w:val="RecNo"/>
    <w:next w:val="Questiontitle"/>
    <w:rsid w:val="005C3890"/>
  </w:style>
  <w:style w:type="paragraph" w:customStyle="1" w:styleId="Questionref">
    <w:name w:val="Question_ref"/>
    <w:basedOn w:val="Recref"/>
    <w:next w:val="Questiondate"/>
    <w:rsid w:val="005C3890"/>
  </w:style>
  <w:style w:type="paragraph" w:customStyle="1" w:styleId="Questiontitle">
    <w:name w:val="Question_title"/>
    <w:basedOn w:val="Rectitle"/>
    <w:next w:val="Questionref"/>
    <w:rsid w:val="005C3890"/>
  </w:style>
  <w:style w:type="paragraph" w:customStyle="1" w:styleId="Reftext">
    <w:name w:val="Ref_text"/>
    <w:basedOn w:val="Normal"/>
    <w:rsid w:val="00732045"/>
    <w:pPr>
      <w:ind w:left="567" w:hanging="567"/>
    </w:pPr>
  </w:style>
  <w:style w:type="paragraph" w:customStyle="1" w:styleId="Reftitle">
    <w:name w:val="Ref_title"/>
    <w:basedOn w:val="Normal"/>
    <w:next w:val="Reftext"/>
    <w:rsid w:val="00732045"/>
    <w:pPr>
      <w:spacing w:before="480"/>
      <w:jc w:val="center"/>
    </w:pPr>
    <w:rPr>
      <w:caps/>
      <w:sz w:val="28"/>
    </w:rPr>
  </w:style>
  <w:style w:type="paragraph" w:customStyle="1" w:styleId="Repdate">
    <w:name w:val="Rep_date"/>
    <w:basedOn w:val="Recdate"/>
    <w:next w:val="Normalaftertitle"/>
    <w:rsid w:val="005C3890"/>
  </w:style>
  <w:style w:type="paragraph" w:customStyle="1" w:styleId="RepNo">
    <w:name w:val="Rep_No"/>
    <w:basedOn w:val="RecNo"/>
    <w:next w:val="Reptitle"/>
    <w:rsid w:val="005C3890"/>
  </w:style>
  <w:style w:type="paragraph" w:customStyle="1" w:styleId="Repref">
    <w:name w:val="Rep_ref"/>
    <w:basedOn w:val="Recref"/>
    <w:next w:val="Repdate"/>
    <w:rsid w:val="005C3890"/>
  </w:style>
  <w:style w:type="paragraph" w:customStyle="1" w:styleId="Reptitle">
    <w:name w:val="Rep_title"/>
    <w:basedOn w:val="Rectitle"/>
    <w:next w:val="Repref"/>
    <w:rsid w:val="005C3890"/>
  </w:style>
  <w:style w:type="paragraph" w:customStyle="1" w:styleId="Resdate">
    <w:name w:val="Res_date"/>
    <w:basedOn w:val="Recdate"/>
    <w:next w:val="Normalaftertitle"/>
    <w:rsid w:val="005C3890"/>
  </w:style>
  <w:style w:type="paragraph" w:customStyle="1" w:styleId="ResNo">
    <w:name w:val="Res_No"/>
    <w:basedOn w:val="AnnexNo"/>
    <w:next w:val="Restitle"/>
    <w:rsid w:val="00732045"/>
  </w:style>
  <w:style w:type="paragraph" w:customStyle="1" w:styleId="Resref">
    <w:name w:val="Res_ref"/>
    <w:basedOn w:val="Recref"/>
    <w:next w:val="Resdate"/>
    <w:rsid w:val="005C3890"/>
  </w:style>
  <w:style w:type="paragraph" w:customStyle="1" w:styleId="Restitle">
    <w:name w:val="Res_title"/>
    <w:basedOn w:val="Annextitle"/>
    <w:next w:val="Normal"/>
    <w:rsid w:val="00732045"/>
  </w:style>
  <w:style w:type="paragraph" w:customStyle="1" w:styleId="SectionNo">
    <w:name w:val="Section_No"/>
    <w:basedOn w:val="AnnexNo"/>
    <w:next w:val="Sectiontitle"/>
    <w:rsid w:val="005C3890"/>
  </w:style>
  <w:style w:type="paragraph" w:customStyle="1" w:styleId="Sectiontitle">
    <w:name w:val="Section_title"/>
    <w:basedOn w:val="Normal"/>
    <w:next w:val="Normalaftertitle"/>
    <w:rsid w:val="005C3890"/>
    <w:rPr>
      <w:sz w:val="28"/>
    </w:rPr>
  </w:style>
  <w:style w:type="paragraph" w:customStyle="1" w:styleId="SpecialFooter">
    <w:name w:val="Special Footer"/>
    <w:basedOn w:val="Footer"/>
    <w:rsid w:val="005C3890"/>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732045"/>
    <w:pPr>
      <w:tabs>
        <w:tab w:val="clear" w:pos="567"/>
        <w:tab w:val="clear" w:pos="1134"/>
        <w:tab w:val="clear" w:pos="1701"/>
        <w:tab w:val="clear" w:pos="2268"/>
        <w:tab w:val="clear" w:pos="2835"/>
      </w:tabs>
      <w:spacing w:before="60" w:after="60"/>
    </w:pPr>
    <w:rPr>
      <w:sz w:val="22"/>
    </w:rPr>
  </w:style>
  <w:style w:type="paragraph" w:customStyle="1" w:styleId="Tablehead">
    <w:name w:val="Table_head"/>
    <w:basedOn w:val="Tabletext"/>
    <w:rsid w:val="00732045"/>
    <w:pPr>
      <w:spacing w:before="120" w:after="120"/>
      <w:jc w:val="center"/>
    </w:pPr>
    <w:rPr>
      <w:b/>
    </w:rPr>
  </w:style>
  <w:style w:type="paragraph" w:customStyle="1" w:styleId="Tablelegend">
    <w:name w:val="Table_legend"/>
    <w:basedOn w:val="Tabletext"/>
    <w:rsid w:val="00732045"/>
    <w:pPr>
      <w:spacing w:before="120"/>
    </w:pPr>
  </w:style>
  <w:style w:type="paragraph" w:customStyle="1" w:styleId="Tableref">
    <w:name w:val="Table_ref"/>
    <w:basedOn w:val="Normal"/>
    <w:next w:val="Tabletitle"/>
    <w:rsid w:val="005C3890"/>
    <w:pPr>
      <w:keepNext/>
      <w:spacing w:before="567"/>
      <w:jc w:val="center"/>
    </w:pPr>
  </w:style>
  <w:style w:type="paragraph" w:customStyle="1" w:styleId="Title2">
    <w:name w:val="Title 2"/>
    <w:basedOn w:val="Source"/>
    <w:next w:val="Title3"/>
    <w:rsid w:val="00732045"/>
    <w:pPr>
      <w:spacing w:before="240"/>
    </w:pPr>
    <w:rPr>
      <w:b w:val="0"/>
      <w:caps/>
    </w:rPr>
  </w:style>
  <w:style w:type="paragraph" w:customStyle="1" w:styleId="Title3">
    <w:name w:val="Title 3"/>
    <w:basedOn w:val="Title2"/>
    <w:next w:val="Normalaftertitle"/>
    <w:rsid w:val="00732045"/>
    <w:rPr>
      <w:caps w:val="0"/>
    </w:rPr>
  </w:style>
  <w:style w:type="paragraph" w:customStyle="1" w:styleId="Title4">
    <w:name w:val="Title 4"/>
    <w:basedOn w:val="Title3"/>
    <w:next w:val="Heading1"/>
    <w:rsid w:val="005C3890"/>
    <w:rPr>
      <w:b/>
    </w:rPr>
  </w:style>
  <w:style w:type="paragraph" w:customStyle="1" w:styleId="FigureNo">
    <w:name w:val="Figure_No"/>
    <w:basedOn w:val="Normal"/>
    <w:next w:val="Figuretitle"/>
    <w:rsid w:val="005C3890"/>
    <w:pPr>
      <w:keepNext/>
      <w:keepLines/>
      <w:spacing w:before="240" w:after="120"/>
      <w:jc w:val="center"/>
    </w:pPr>
    <w:rPr>
      <w:caps/>
    </w:rPr>
  </w:style>
  <w:style w:type="paragraph" w:customStyle="1" w:styleId="firstfooter0">
    <w:name w:val="firstfooter"/>
    <w:basedOn w:val="Normal"/>
    <w:rsid w:val="0073204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Table">
    <w:name w:val="Table_#"/>
    <w:basedOn w:val="Normal"/>
    <w:next w:val="Normal"/>
    <w:rsid w:val="00520F36"/>
    <w:pPr>
      <w:keepNext/>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573084">
      <w:bodyDiv w:val="1"/>
      <w:marLeft w:val="0"/>
      <w:marRight w:val="0"/>
      <w:marTop w:val="0"/>
      <w:marBottom w:val="0"/>
      <w:divBdr>
        <w:top w:val="none" w:sz="0" w:space="0" w:color="auto"/>
        <w:left w:val="none" w:sz="0" w:space="0" w:color="auto"/>
        <w:bottom w:val="none" w:sz="0" w:space="0" w:color="auto"/>
        <w:right w:val="none" w:sz="0" w:space="0" w:color="auto"/>
      </w:divBdr>
      <w:divsChild>
        <w:div w:id="2001886034">
          <w:marLeft w:val="75"/>
          <w:marRight w:val="75"/>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S17-CL-C-0065/en" TargetMode="External"/><Relationship Id="rId13" Type="http://schemas.openxmlformats.org/officeDocument/2006/relationships/hyperlink" Target="https://www.itu.int/md/S17-CL-C-0029/en" TargetMode="External"/><Relationship Id="rId18" Type="http://schemas.openxmlformats.org/officeDocument/2006/relationships/hyperlink" Target="https://www.itu.int/md/S17-CL-C-0023/en" TargetMode="External"/><Relationship Id="rId26" Type="http://schemas.openxmlformats.org/officeDocument/2006/relationships/hyperlink" Target="https://www.itu.int/md/S17-CL-C-0094/en" TargetMode="External"/><Relationship Id="rId39"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hyperlink" Target="https://www.itu.int/md/S17-CL-170515-TD-GEN-0004/en" TargetMode="External"/><Relationship Id="rId34" Type="http://schemas.openxmlformats.org/officeDocument/2006/relationships/hyperlink" Target="https://www.itu.int/md/S17-CL-C-0023/en" TargetMode="External"/><Relationship Id="rId42" Type="http://schemas.openxmlformats.org/officeDocument/2006/relationships/footer" Target="footer2.xml"/><Relationship Id="rId7" Type="http://schemas.openxmlformats.org/officeDocument/2006/relationships/hyperlink" Target="https://www.itu.int/md/S17-CL-C-0059/en" TargetMode="External"/><Relationship Id="rId12" Type="http://schemas.openxmlformats.org/officeDocument/2006/relationships/hyperlink" Target="https://www.itu.int/md/S17-CL-C-0028/en" TargetMode="External"/><Relationship Id="rId17" Type="http://schemas.openxmlformats.org/officeDocument/2006/relationships/hyperlink" Target="https://www.itu.int/md/S17-CL-C-0024/en" TargetMode="External"/><Relationship Id="rId25" Type="http://schemas.openxmlformats.org/officeDocument/2006/relationships/hyperlink" Target="https://www.itu.int/md/S17-CL-C-0036/en" TargetMode="External"/><Relationship Id="rId33" Type="http://schemas.openxmlformats.org/officeDocument/2006/relationships/hyperlink" Target="https://www.itu.int/md/S17-CL-C-0024/en" TargetMode="External"/><Relationship Id="rId38" Type="http://schemas.openxmlformats.org/officeDocument/2006/relationships/hyperlink" Target="https://www.itu.int/md/S17-CL-C-0025/en" TargetMode="External"/><Relationship Id="rId2" Type="http://schemas.openxmlformats.org/officeDocument/2006/relationships/settings" Target="settings.xml"/><Relationship Id="rId16" Type="http://schemas.openxmlformats.org/officeDocument/2006/relationships/hyperlink" Target="https://www.itu.int/md/S17-CL-C-0032/en" TargetMode="External"/><Relationship Id="rId20" Type="http://schemas.openxmlformats.org/officeDocument/2006/relationships/hyperlink" Target="https://www.itu.int/md/S17-CL-C-0072/en" TargetMode="External"/><Relationship Id="rId29" Type="http://schemas.openxmlformats.org/officeDocument/2006/relationships/hyperlink" Target="https://www.itu.int/md/S17-CL-C-0029/en" TargetMode="External"/><Relationship Id="rId41"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www.itu.int/md/S17-CL-C-0111/en" TargetMode="External"/><Relationship Id="rId24" Type="http://schemas.openxmlformats.org/officeDocument/2006/relationships/hyperlink" Target="https://www.itu.int/md/S17-CL-C-0065/en" TargetMode="External"/><Relationship Id="rId32" Type="http://schemas.openxmlformats.org/officeDocument/2006/relationships/hyperlink" Target="https://www.itu.int/md/S17-CL-C-0032/en" TargetMode="External"/><Relationship Id="rId37" Type="http://schemas.openxmlformats.org/officeDocument/2006/relationships/hyperlink" Target="https://www.itu.int/md/S17-CL-170515-TD-GEN-0004/en" TargetMode="External"/><Relationship Id="rId40" Type="http://schemas.openxmlformats.org/officeDocument/2006/relationships/header" Target="header2.xml"/><Relationship Id="rId45"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www.itu.int/md/S17-CL-C-0031/en" TargetMode="External"/><Relationship Id="rId23" Type="http://schemas.openxmlformats.org/officeDocument/2006/relationships/hyperlink" Target="https://www.itu.int/md/S17-CL-C-0059/en" TargetMode="External"/><Relationship Id="rId28" Type="http://schemas.openxmlformats.org/officeDocument/2006/relationships/hyperlink" Target="https://www.itu.int/md/S17-CL-C-0028/en" TargetMode="External"/><Relationship Id="rId36" Type="http://schemas.openxmlformats.org/officeDocument/2006/relationships/hyperlink" Target="https://www.itu.int/md/S17-CL-C-0072/en" TargetMode="External"/><Relationship Id="rId10" Type="http://schemas.openxmlformats.org/officeDocument/2006/relationships/hyperlink" Target="https://www.itu.int/md/S17-CL-C-0094/en" TargetMode="External"/><Relationship Id="rId19" Type="http://schemas.openxmlformats.org/officeDocument/2006/relationships/hyperlink" Target="https://www.itu.int/md/S17-CL-C-0068/en" TargetMode="External"/><Relationship Id="rId31" Type="http://schemas.openxmlformats.org/officeDocument/2006/relationships/hyperlink" Target="https://www.itu.int/md/S17-CL-C-0031/en" TargetMode="External"/><Relationship Id="rId44"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itu.int/md/S17-CL-C-0036/en" TargetMode="External"/><Relationship Id="rId14" Type="http://schemas.openxmlformats.org/officeDocument/2006/relationships/hyperlink" Target="https://www.itu.int/md/S17-CL-C-0030/en" TargetMode="External"/><Relationship Id="rId22" Type="http://schemas.openxmlformats.org/officeDocument/2006/relationships/hyperlink" Target="https://www.itu.int/md/S17-CL-C-0025/en" TargetMode="External"/><Relationship Id="rId27" Type="http://schemas.openxmlformats.org/officeDocument/2006/relationships/hyperlink" Target="https://www.itu.int/md/S17-CL-C-0111/en" TargetMode="External"/><Relationship Id="rId30" Type="http://schemas.openxmlformats.org/officeDocument/2006/relationships/hyperlink" Target="https://www.itu.int/md/S17-CL-C-0030/en" TargetMode="External"/><Relationship Id="rId35" Type="http://schemas.openxmlformats.org/officeDocument/2006/relationships/hyperlink" Target="https://www.itu.int/md/S17-CL-C-0068/en" TargetMode="External"/><Relationship Id="rId43"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F%20-%20ITU\PF_C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PF_C17.dotx</Template>
  <TotalTime>17</TotalTime>
  <Pages>8</Pages>
  <Words>3251</Words>
  <Characters>19928</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Manager>Secrétariat général - Pool</Manager>
  <Company>Union internationale des télécommunications (UIT)</Company>
  <LinksUpToDate>false</LinksUpToDate>
  <CharactersWithSpaces>23133</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Conseil 2010</dc:subject>
  <dc:creator>Margaret Murphy</dc:creator>
  <cp:keywords>C2010, C10</cp:keywords>
  <dc:description>Document C17/-F  Pour: _x000d_Date du document: janvier 2017_x000d_Enregistré par ITU51009317 à 15:30:24 le 06/04/2017</dc:description>
  <cp:lastModifiedBy>Jones, Jacqueline</cp:lastModifiedBy>
  <cp:revision>7</cp:revision>
  <cp:lastPrinted>2017-06-28T06:50:00Z</cp:lastPrinted>
  <dcterms:created xsi:type="dcterms:W3CDTF">2017-06-28T06:38:00Z</dcterms:created>
  <dcterms:modified xsi:type="dcterms:W3CDTF">2017-06-29T09:14:00Z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C17/-F</vt:lpwstr>
  </property>
  <property fmtid="{D5CDD505-2E9C-101B-9397-08002B2CF9AE}" pid="3" name="Docdate">
    <vt:lpwstr>janvier 2017</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