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92308" w:rsidRPr="00813E5E">
        <w:trPr>
          <w:cantSplit/>
        </w:trPr>
        <w:tc>
          <w:tcPr>
            <w:tcW w:w="6911" w:type="dxa"/>
          </w:tcPr>
          <w:p w:rsidR="00B92308" w:rsidRPr="00813E5E" w:rsidRDefault="00B92308" w:rsidP="00B92308">
            <w:pPr>
              <w:spacing w:before="360" w:after="48" w:line="240" w:lineRule="atLeast"/>
              <w:rPr>
                <w:position w:val="6"/>
              </w:rPr>
            </w:pPr>
            <w:bookmarkStart w:id="0" w:name="dc06"/>
            <w:bookmarkEnd w:id="0"/>
            <w:r w:rsidRPr="00B92308">
              <w:rPr>
                <w:b/>
                <w:bCs/>
                <w:position w:val="6"/>
                <w:sz w:val="30"/>
                <w:szCs w:val="30"/>
                <w:lang w:val="fr-CH"/>
              </w:rPr>
              <w:t>Council 2017</w:t>
            </w:r>
            <w:r w:rsidRPr="00B92308">
              <w:rPr>
                <w:rFonts w:cs="Times"/>
                <w:b/>
                <w:position w:val="6"/>
                <w:sz w:val="26"/>
                <w:szCs w:val="26"/>
                <w:lang w:val="en-US"/>
              </w:rPr>
              <w:br/>
            </w:r>
            <w:r w:rsidRPr="00B92308">
              <w:rPr>
                <w:b/>
                <w:bCs/>
                <w:position w:val="6"/>
                <w:szCs w:val="24"/>
                <w:lang w:val="fr-CH"/>
              </w:rPr>
              <w:t>Geneva, 15-25 May 2017</w:t>
            </w:r>
          </w:p>
        </w:tc>
        <w:tc>
          <w:tcPr>
            <w:tcW w:w="3120" w:type="dxa"/>
          </w:tcPr>
          <w:p w:rsidR="00B92308" w:rsidRPr="00813E5E" w:rsidRDefault="00B92308" w:rsidP="00B92308">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51DF518A" wp14:editId="7F480899">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B92308" w:rsidRPr="00813E5E">
        <w:trPr>
          <w:cantSplit/>
        </w:trPr>
        <w:tc>
          <w:tcPr>
            <w:tcW w:w="6911" w:type="dxa"/>
            <w:tcBorders>
              <w:bottom w:val="single" w:sz="12" w:space="0" w:color="auto"/>
            </w:tcBorders>
          </w:tcPr>
          <w:p w:rsidR="00B92308" w:rsidRPr="00813E5E" w:rsidRDefault="00B92308">
            <w:pPr>
              <w:spacing w:before="0" w:after="48" w:line="240" w:lineRule="atLeast"/>
              <w:rPr>
                <w:b/>
                <w:smallCaps/>
                <w:szCs w:val="24"/>
              </w:rPr>
            </w:pPr>
          </w:p>
        </w:tc>
        <w:tc>
          <w:tcPr>
            <w:tcW w:w="3120" w:type="dxa"/>
            <w:tcBorders>
              <w:bottom w:val="single" w:sz="12" w:space="0" w:color="auto"/>
            </w:tcBorders>
          </w:tcPr>
          <w:p w:rsidR="00B92308" w:rsidRPr="00813E5E" w:rsidRDefault="00B92308">
            <w:pPr>
              <w:spacing w:before="0" w:line="240" w:lineRule="atLeast"/>
              <w:rPr>
                <w:szCs w:val="24"/>
              </w:rPr>
            </w:pPr>
          </w:p>
        </w:tc>
      </w:tr>
      <w:tr w:rsidR="00B92308" w:rsidRPr="00813E5E">
        <w:trPr>
          <w:cantSplit/>
        </w:trPr>
        <w:tc>
          <w:tcPr>
            <w:tcW w:w="6911" w:type="dxa"/>
            <w:tcBorders>
              <w:top w:val="single" w:sz="12" w:space="0" w:color="auto"/>
            </w:tcBorders>
          </w:tcPr>
          <w:p w:rsidR="00B92308" w:rsidRPr="00813E5E" w:rsidRDefault="00B92308">
            <w:pPr>
              <w:spacing w:before="0" w:after="48" w:line="240" w:lineRule="atLeast"/>
              <w:rPr>
                <w:b/>
                <w:smallCaps/>
                <w:szCs w:val="24"/>
              </w:rPr>
            </w:pPr>
          </w:p>
        </w:tc>
        <w:tc>
          <w:tcPr>
            <w:tcW w:w="3120" w:type="dxa"/>
            <w:tcBorders>
              <w:top w:val="single" w:sz="12" w:space="0" w:color="auto"/>
            </w:tcBorders>
          </w:tcPr>
          <w:p w:rsidR="00B92308" w:rsidRPr="00813E5E" w:rsidRDefault="00B92308">
            <w:pPr>
              <w:spacing w:before="0" w:line="240" w:lineRule="atLeast"/>
              <w:rPr>
                <w:szCs w:val="24"/>
              </w:rPr>
            </w:pPr>
          </w:p>
        </w:tc>
      </w:tr>
      <w:tr w:rsidR="00B92308" w:rsidRPr="00813E5E">
        <w:trPr>
          <w:cantSplit/>
          <w:trHeight w:val="23"/>
        </w:trPr>
        <w:tc>
          <w:tcPr>
            <w:tcW w:w="6911" w:type="dxa"/>
            <w:vMerge w:val="restart"/>
          </w:tcPr>
          <w:p w:rsidR="00B92308" w:rsidRPr="00B92308" w:rsidRDefault="00B92308">
            <w:pPr>
              <w:tabs>
                <w:tab w:val="left" w:pos="851"/>
              </w:tabs>
              <w:spacing w:line="240" w:lineRule="atLeast"/>
              <w:rPr>
                <w:b/>
              </w:rPr>
            </w:pPr>
            <w:bookmarkStart w:id="2" w:name="dmeeting" w:colFirst="0" w:colLast="0"/>
            <w:bookmarkStart w:id="3" w:name="dnum" w:colFirst="1" w:colLast="1"/>
          </w:p>
        </w:tc>
        <w:tc>
          <w:tcPr>
            <w:tcW w:w="3120" w:type="dxa"/>
          </w:tcPr>
          <w:p w:rsidR="00B92308" w:rsidRPr="00B92308" w:rsidRDefault="00B92308" w:rsidP="00B92308">
            <w:pPr>
              <w:tabs>
                <w:tab w:val="left" w:pos="851"/>
              </w:tabs>
              <w:spacing w:before="0" w:line="240" w:lineRule="atLeast"/>
              <w:rPr>
                <w:b/>
              </w:rPr>
            </w:pPr>
            <w:r>
              <w:rPr>
                <w:b/>
              </w:rPr>
              <w:t>Document C17/128-E</w:t>
            </w:r>
          </w:p>
        </w:tc>
      </w:tr>
      <w:tr w:rsidR="00B92308" w:rsidRPr="00813E5E">
        <w:trPr>
          <w:cantSplit/>
          <w:trHeight w:val="23"/>
        </w:trPr>
        <w:tc>
          <w:tcPr>
            <w:tcW w:w="6911" w:type="dxa"/>
            <w:vMerge/>
          </w:tcPr>
          <w:p w:rsidR="00B92308" w:rsidRPr="00813E5E" w:rsidRDefault="00B92308">
            <w:pPr>
              <w:tabs>
                <w:tab w:val="left" w:pos="851"/>
              </w:tabs>
              <w:spacing w:line="240" w:lineRule="atLeast"/>
              <w:rPr>
                <w:b/>
              </w:rPr>
            </w:pPr>
            <w:bookmarkStart w:id="4" w:name="ddate" w:colFirst="1" w:colLast="1"/>
            <w:bookmarkEnd w:id="2"/>
            <w:bookmarkEnd w:id="3"/>
          </w:p>
        </w:tc>
        <w:tc>
          <w:tcPr>
            <w:tcW w:w="3120" w:type="dxa"/>
          </w:tcPr>
          <w:p w:rsidR="00B92308" w:rsidRPr="00B92308" w:rsidRDefault="00B92308" w:rsidP="00B92308">
            <w:pPr>
              <w:tabs>
                <w:tab w:val="left" w:pos="993"/>
              </w:tabs>
              <w:spacing w:before="0"/>
              <w:rPr>
                <w:b/>
              </w:rPr>
            </w:pPr>
            <w:r>
              <w:rPr>
                <w:b/>
              </w:rPr>
              <w:t>1 June 2017</w:t>
            </w:r>
          </w:p>
        </w:tc>
      </w:tr>
      <w:tr w:rsidR="00B92308" w:rsidRPr="00813E5E">
        <w:trPr>
          <w:cantSplit/>
          <w:trHeight w:val="23"/>
        </w:trPr>
        <w:tc>
          <w:tcPr>
            <w:tcW w:w="6911" w:type="dxa"/>
            <w:vMerge/>
          </w:tcPr>
          <w:p w:rsidR="00B92308" w:rsidRPr="00813E5E" w:rsidRDefault="00B92308">
            <w:pPr>
              <w:tabs>
                <w:tab w:val="left" w:pos="851"/>
              </w:tabs>
              <w:spacing w:line="240" w:lineRule="atLeast"/>
              <w:rPr>
                <w:b/>
              </w:rPr>
            </w:pPr>
            <w:bookmarkStart w:id="5" w:name="dorlang" w:colFirst="1" w:colLast="1"/>
            <w:bookmarkEnd w:id="4"/>
          </w:p>
        </w:tc>
        <w:tc>
          <w:tcPr>
            <w:tcW w:w="3120" w:type="dxa"/>
          </w:tcPr>
          <w:p w:rsidR="00B92308" w:rsidRPr="00B92308" w:rsidRDefault="00B92308" w:rsidP="00B92308">
            <w:pPr>
              <w:tabs>
                <w:tab w:val="left" w:pos="993"/>
              </w:tabs>
              <w:spacing w:before="0"/>
              <w:rPr>
                <w:b/>
              </w:rPr>
            </w:pPr>
            <w:r>
              <w:rPr>
                <w:b/>
              </w:rPr>
              <w:t>Original: English</w:t>
            </w:r>
          </w:p>
        </w:tc>
      </w:tr>
      <w:tr w:rsidR="00B92308" w:rsidRPr="00813E5E">
        <w:trPr>
          <w:cantSplit/>
        </w:trPr>
        <w:tc>
          <w:tcPr>
            <w:tcW w:w="10031" w:type="dxa"/>
            <w:gridSpan w:val="2"/>
          </w:tcPr>
          <w:p w:rsidR="00B92308" w:rsidRDefault="00B92308" w:rsidP="00B92308">
            <w:pPr>
              <w:pStyle w:val="Title1"/>
            </w:pPr>
            <w:bookmarkStart w:id="6" w:name="dtitle1" w:colFirst="0" w:colLast="0"/>
            <w:bookmarkEnd w:id="5"/>
            <w:r>
              <w:t>SUMMARY RECORD</w:t>
            </w:r>
          </w:p>
          <w:p w:rsidR="00B92308" w:rsidRDefault="00B92308" w:rsidP="00B92308">
            <w:pPr>
              <w:pStyle w:val="Title2"/>
            </w:pPr>
            <w:r>
              <w:t>OF THE</w:t>
            </w:r>
          </w:p>
          <w:p w:rsidR="00B92308" w:rsidRPr="00813E5E" w:rsidRDefault="00B92308" w:rsidP="00B92308">
            <w:pPr>
              <w:pStyle w:val="Title1"/>
            </w:pPr>
            <w:r>
              <w:t>SEVENTH PLENARY MEETING</w:t>
            </w:r>
          </w:p>
        </w:tc>
      </w:tr>
      <w:tr w:rsidR="00B92308" w:rsidRPr="00813E5E">
        <w:trPr>
          <w:cantSplit/>
        </w:trPr>
        <w:tc>
          <w:tcPr>
            <w:tcW w:w="10031" w:type="dxa"/>
            <w:gridSpan w:val="2"/>
          </w:tcPr>
          <w:p w:rsidR="00B92308" w:rsidRDefault="00B92308" w:rsidP="00B92308">
            <w:pPr>
              <w:pStyle w:val="Title1"/>
            </w:pPr>
            <w:r w:rsidRPr="00B92308">
              <w:rPr>
                <w:caps w:val="0"/>
                <w:sz w:val="24"/>
              </w:rPr>
              <w:t>Wednesday, 24 May 2017, from 1010 to 1240 hours</w:t>
            </w:r>
          </w:p>
        </w:tc>
      </w:tr>
      <w:tr w:rsidR="00B92308" w:rsidRPr="00813E5E">
        <w:trPr>
          <w:cantSplit/>
        </w:trPr>
        <w:tc>
          <w:tcPr>
            <w:tcW w:w="10031" w:type="dxa"/>
            <w:gridSpan w:val="2"/>
          </w:tcPr>
          <w:p w:rsidR="00B92308" w:rsidRDefault="00B92308" w:rsidP="00B92308">
            <w:pPr>
              <w:pStyle w:val="Title1"/>
            </w:pPr>
            <w:r w:rsidRPr="00B92308">
              <w:rPr>
                <w:b/>
                <w:bCs/>
                <w:caps w:val="0"/>
                <w:sz w:val="24"/>
              </w:rPr>
              <w:t>Chairman</w:t>
            </w:r>
            <w:r w:rsidRPr="00B92308">
              <w:rPr>
                <w:caps w:val="0"/>
                <w:sz w:val="24"/>
              </w:rPr>
              <w:t>: Dr E. SPINA</w:t>
            </w:r>
          </w:p>
        </w:tc>
      </w:tr>
      <w:bookmarkEnd w:id="6"/>
    </w:tbl>
    <w:p w:rsidR="00B92308" w:rsidRPr="00813E5E" w:rsidRDefault="00B92308" w:rsidP="00B92308">
      <w:pPr>
        <w:spacing w:before="720"/>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7427"/>
        <w:gridCol w:w="1977"/>
      </w:tblGrid>
      <w:tr w:rsidR="00B92308" w:rsidRPr="00AF6E49" w:rsidTr="00C63980">
        <w:tc>
          <w:tcPr>
            <w:tcW w:w="263" w:type="pct"/>
            <w:tcBorders>
              <w:top w:val="nil"/>
              <w:left w:val="nil"/>
              <w:bottom w:val="nil"/>
              <w:right w:val="nil"/>
            </w:tcBorders>
          </w:tcPr>
          <w:p w:rsidR="00B92308" w:rsidRPr="00AF6E49" w:rsidRDefault="00B92308" w:rsidP="00C63980">
            <w:pPr>
              <w:pStyle w:val="toc0"/>
            </w:pPr>
            <w:bookmarkStart w:id="7" w:name="dstart"/>
            <w:bookmarkStart w:id="8" w:name="dbreak"/>
            <w:bookmarkEnd w:id="7"/>
            <w:bookmarkEnd w:id="8"/>
          </w:p>
        </w:tc>
        <w:tc>
          <w:tcPr>
            <w:tcW w:w="3741" w:type="pct"/>
            <w:tcBorders>
              <w:top w:val="nil"/>
              <w:left w:val="nil"/>
              <w:bottom w:val="nil"/>
              <w:right w:val="nil"/>
            </w:tcBorders>
          </w:tcPr>
          <w:p w:rsidR="00B92308" w:rsidRPr="00AF6E49" w:rsidRDefault="00B92308" w:rsidP="00C63980">
            <w:pPr>
              <w:pStyle w:val="toc0"/>
            </w:pPr>
            <w:r>
              <w:t>Subjects discussed:</w:t>
            </w:r>
          </w:p>
        </w:tc>
        <w:tc>
          <w:tcPr>
            <w:tcW w:w="996" w:type="pct"/>
            <w:tcBorders>
              <w:top w:val="nil"/>
              <w:left w:val="nil"/>
              <w:bottom w:val="nil"/>
              <w:right w:val="nil"/>
            </w:tcBorders>
          </w:tcPr>
          <w:p w:rsidR="00B92308" w:rsidRPr="00AF6E49" w:rsidRDefault="00B92308" w:rsidP="00C63980">
            <w:pPr>
              <w:pStyle w:val="toc0"/>
              <w:jc w:val="center"/>
            </w:pPr>
            <w:r w:rsidRPr="00AF6E49">
              <w:t>Documents</w:t>
            </w:r>
          </w:p>
        </w:tc>
      </w:tr>
      <w:tr w:rsidR="00B92308" w:rsidRPr="00AF6E49" w:rsidTr="00C63980">
        <w:tc>
          <w:tcPr>
            <w:tcW w:w="263" w:type="pct"/>
            <w:tcBorders>
              <w:top w:val="nil"/>
              <w:left w:val="nil"/>
              <w:bottom w:val="nil"/>
              <w:right w:val="nil"/>
            </w:tcBorders>
          </w:tcPr>
          <w:p w:rsidR="00B92308" w:rsidRPr="00AF6E49" w:rsidRDefault="00B92308" w:rsidP="00C63980">
            <w:pPr>
              <w:ind w:left="567" w:hanging="567"/>
            </w:pPr>
            <w:r>
              <w:t>1</w:t>
            </w:r>
          </w:p>
        </w:tc>
        <w:tc>
          <w:tcPr>
            <w:tcW w:w="3741" w:type="pct"/>
            <w:tcBorders>
              <w:top w:val="nil"/>
              <w:left w:val="nil"/>
              <w:bottom w:val="nil"/>
              <w:right w:val="nil"/>
            </w:tcBorders>
          </w:tcPr>
          <w:p w:rsidR="00B92308" w:rsidRPr="00A10E4E" w:rsidRDefault="00B92308" w:rsidP="00C63980">
            <w:r>
              <w:t>World Telecommunication/ICT Policy Forum</w:t>
            </w:r>
            <w:r w:rsidRPr="00A10E4E">
              <w:t xml:space="preserve"> </w:t>
            </w:r>
            <w:r>
              <w:t>(WTPF)</w:t>
            </w:r>
          </w:p>
        </w:tc>
        <w:tc>
          <w:tcPr>
            <w:tcW w:w="996" w:type="pct"/>
            <w:tcBorders>
              <w:top w:val="nil"/>
              <w:left w:val="nil"/>
              <w:bottom w:val="nil"/>
              <w:right w:val="nil"/>
            </w:tcBorders>
          </w:tcPr>
          <w:p w:rsidR="00B92308" w:rsidRPr="00AF6E49" w:rsidRDefault="006476B4" w:rsidP="00C63980">
            <w:pPr>
              <w:jc w:val="center"/>
            </w:pPr>
            <w:hyperlink r:id="rId9" w:history="1">
              <w:r w:rsidR="00B92308" w:rsidRPr="00347EDF">
                <w:rPr>
                  <w:rStyle w:val="Hyperlink"/>
                </w:rPr>
                <w:t>C17/59</w:t>
              </w:r>
            </w:hyperlink>
          </w:p>
        </w:tc>
      </w:tr>
      <w:tr w:rsidR="00B92308" w:rsidRPr="00AF6E49" w:rsidTr="00C63980">
        <w:tc>
          <w:tcPr>
            <w:tcW w:w="263" w:type="pct"/>
            <w:tcBorders>
              <w:top w:val="nil"/>
              <w:left w:val="nil"/>
              <w:bottom w:val="nil"/>
              <w:right w:val="nil"/>
            </w:tcBorders>
          </w:tcPr>
          <w:p w:rsidR="00B92308" w:rsidRPr="00AF6E49" w:rsidRDefault="00B92308" w:rsidP="00C63980">
            <w:pPr>
              <w:ind w:left="567" w:hanging="567"/>
            </w:pPr>
            <w:r>
              <w:t>2</w:t>
            </w:r>
          </w:p>
        </w:tc>
        <w:tc>
          <w:tcPr>
            <w:tcW w:w="3741" w:type="pct"/>
            <w:tcBorders>
              <w:top w:val="nil"/>
              <w:left w:val="nil"/>
              <w:bottom w:val="nil"/>
              <w:right w:val="nil"/>
            </w:tcBorders>
          </w:tcPr>
          <w:p w:rsidR="00B92308" w:rsidRPr="00AF6E49" w:rsidRDefault="00B92308" w:rsidP="00C63980">
            <w:pPr>
              <w:ind w:left="567" w:hanging="567"/>
            </w:pPr>
            <w:r>
              <w:t>Cooperation agreement between ITU and INTERPOL</w:t>
            </w:r>
          </w:p>
        </w:tc>
        <w:tc>
          <w:tcPr>
            <w:tcW w:w="996" w:type="pct"/>
            <w:tcBorders>
              <w:top w:val="nil"/>
              <w:left w:val="nil"/>
              <w:bottom w:val="nil"/>
              <w:right w:val="nil"/>
            </w:tcBorders>
          </w:tcPr>
          <w:p w:rsidR="00B92308" w:rsidRPr="00AF6E49" w:rsidRDefault="006476B4" w:rsidP="00C63980">
            <w:pPr>
              <w:jc w:val="center"/>
            </w:pPr>
            <w:hyperlink r:id="rId10" w:history="1">
              <w:r w:rsidR="00B92308" w:rsidRPr="00347EDF">
                <w:rPr>
                  <w:rStyle w:val="Hyperlink"/>
                </w:rPr>
                <w:t>C17/65</w:t>
              </w:r>
            </w:hyperlink>
          </w:p>
        </w:tc>
      </w:tr>
      <w:tr w:rsidR="00B92308" w:rsidRPr="00AF6E49" w:rsidTr="00C63980">
        <w:tc>
          <w:tcPr>
            <w:tcW w:w="263" w:type="pct"/>
            <w:tcBorders>
              <w:top w:val="nil"/>
              <w:left w:val="nil"/>
              <w:bottom w:val="nil"/>
              <w:right w:val="nil"/>
            </w:tcBorders>
          </w:tcPr>
          <w:p w:rsidR="00B92308" w:rsidRPr="00AF6E49" w:rsidRDefault="00B92308" w:rsidP="00C63980">
            <w:pPr>
              <w:ind w:left="567" w:hanging="567"/>
            </w:pPr>
            <w:r>
              <w:t>3</w:t>
            </w:r>
          </w:p>
        </w:tc>
        <w:tc>
          <w:tcPr>
            <w:tcW w:w="3741" w:type="pct"/>
            <w:tcBorders>
              <w:top w:val="nil"/>
              <w:left w:val="nil"/>
              <w:bottom w:val="nil"/>
              <w:right w:val="nil"/>
            </w:tcBorders>
          </w:tcPr>
          <w:p w:rsidR="00B92308" w:rsidRDefault="00B92308" w:rsidP="00C63980">
            <w:r>
              <w:t>ITU’s role as Supervisory Authority of the International Registration System for Space Assets under the draft Space Protocol</w:t>
            </w:r>
          </w:p>
        </w:tc>
        <w:tc>
          <w:tcPr>
            <w:tcW w:w="996" w:type="pct"/>
            <w:tcBorders>
              <w:top w:val="nil"/>
              <w:left w:val="nil"/>
              <w:bottom w:val="nil"/>
              <w:right w:val="nil"/>
            </w:tcBorders>
          </w:tcPr>
          <w:p w:rsidR="00B92308" w:rsidRDefault="006476B4" w:rsidP="00C63980">
            <w:pPr>
              <w:jc w:val="center"/>
            </w:pPr>
            <w:hyperlink r:id="rId11" w:history="1">
              <w:r w:rsidR="00B92308" w:rsidRPr="00347EDF">
                <w:rPr>
                  <w:rStyle w:val="Hyperlink"/>
                </w:rPr>
                <w:t>C17/36</w:t>
              </w:r>
            </w:hyperlink>
            <w:r w:rsidR="00B92308">
              <w:t xml:space="preserve">(Rev.1), </w:t>
            </w:r>
            <w:hyperlink r:id="rId12" w:history="1">
              <w:r w:rsidR="00B92308" w:rsidRPr="00347EDF">
                <w:rPr>
                  <w:rStyle w:val="Hyperlink"/>
                </w:rPr>
                <w:t>C17/94</w:t>
              </w:r>
            </w:hyperlink>
            <w:r w:rsidR="00B92308">
              <w:t xml:space="preserve">, </w:t>
            </w:r>
            <w:hyperlink r:id="rId13" w:history="1">
              <w:r w:rsidR="00B92308" w:rsidRPr="00347EDF">
                <w:rPr>
                  <w:rStyle w:val="Hyperlink"/>
                </w:rPr>
                <w:t>C17/111</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4</w:t>
            </w:r>
          </w:p>
        </w:tc>
        <w:tc>
          <w:tcPr>
            <w:tcW w:w="3741" w:type="pct"/>
            <w:tcBorders>
              <w:top w:val="nil"/>
              <w:left w:val="nil"/>
              <w:bottom w:val="nil"/>
              <w:right w:val="nil"/>
            </w:tcBorders>
          </w:tcPr>
          <w:p w:rsidR="00B92308" w:rsidRPr="009C3900" w:rsidRDefault="00B92308" w:rsidP="00C63980">
            <w:pPr>
              <w:ind w:left="567" w:hanging="567"/>
              <w:rPr>
                <w:szCs w:val="24"/>
              </w:rPr>
            </w:pPr>
            <w:r w:rsidRPr="009C3900">
              <w:rPr>
                <w:szCs w:val="24"/>
              </w:rPr>
              <w:t xml:space="preserve">Draft four-year </w:t>
            </w:r>
            <w:r>
              <w:rPr>
                <w:szCs w:val="24"/>
              </w:rPr>
              <w:t>o</w:t>
            </w:r>
            <w:r w:rsidRPr="009C3900">
              <w:rPr>
                <w:szCs w:val="24"/>
              </w:rPr>
              <w:t xml:space="preserve">perational </w:t>
            </w:r>
            <w:r>
              <w:rPr>
                <w:szCs w:val="24"/>
              </w:rPr>
              <w:t>p</w:t>
            </w:r>
            <w:r w:rsidRPr="009C3900">
              <w:rPr>
                <w:szCs w:val="24"/>
              </w:rPr>
              <w:t>lans for 2018-2021  (continued)</w:t>
            </w:r>
          </w:p>
        </w:tc>
        <w:tc>
          <w:tcPr>
            <w:tcW w:w="996" w:type="pct"/>
            <w:tcBorders>
              <w:top w:val="nil"/>
              <w:left w:val="nil"/>
              <w:bottom w:val="nil"/>
              <w:right w:val="nil"/>
            </w:tcBorders>
          </w:tcPr>
          <w:p w:rsidR="00B92308" w:rsidRPr="009C3900" w:rsidRDefault="006476B4" w:rsidP="00C63980">
            <w:pPr>
              <w:jc w:val="center"/>
              <w:rPr>
                <w:szCs w:val="24"/>
              </w:rPr>
            </w:pPr>
            <w:hyperlink r:id="rId14" w:history="1">
              <w:r w:rsidR="00B92308" w:rsidRPr="00347EDF">
                <w:rPr>
                  <w:rStyle w:val="Hyperlink"/>
                  <w:szCs w:val="24"/>
                </w:rPr>
                <w:t>C17/28</w:t>
              </w:r>
            </w:hyperlink>
            <w:r w:rsidR="00B92308" w:rsidRPr="009C3900">
              <w:rPr>
                <w:szCs w:val="24"/>
              </w:rPr>
              <w:t xml:space="preserve">(Rev.1), </w:t>
            </w:r>
            <w:hyperlink r:id="rId15" w:history="1">
              <w:r w:rsidR="00B92308" w:rsidRPr="00347EDF">
                <w:rPr>
                  <w:rStyle w:val="Hyperlink"/>
                  <w:szCs w:val="24"/>
                </w:rPr>
                <w:t>C17/29</w:t>
              </w:r>
            </w:hyperlink>
            <w:r w:rsidR="00B92308" w:rsidRPr="009C3900">
              <w:rPr>
                <w:szCs w:val="24"/>
              </w:rPr>
              <w:t xml:space="preserve">, </w:t>
            </w:r>
            <w:hyperlink r:id="rId16" w:history="1">
              <w:r w:rsidR="00B92308" w:rsidRPr="00347EDF">
                <w:rPr>
                  <w:rStyle w:val="Hyperlink"/>
                  <w:szCs w:val="24"/>
                </w:rPr>
                <w:t>C17/30</w:t>
              </w:r>
            </w:hyperlink>
            <w:r w:rsidR="00B92308" w:rsidRPr="009C3900">
              <w:rPr>
                <w:szCs w:val="24"/>
              </w:rPr>
              <w:t xml:space="preserve">(Rev.1), </w:t>
            </w:r>
            <w:hyperlink r:id="rId17" w:history="1">
              <w:r w:rsidR="00B92308" w:rsidRPr="00347EDF">
                <w:rPr>
                  <w:rStyle w:val="Hyperlink"/>
                  <w:szCs w:val="24"/>
                </w:rPr>
                <w:t>C17/31</w:t>
              </w:r>
            </w:hyperlink>
            <w:r w:rsidR="00B92308" w:rsidRPr="009C3900">
              <w:rPr>
                <w:szCs w:val="24"/>
              </w:rPr>
              <w:t xml:space="preserve">, </w:t>
            </w:r>
            <w:hyperlink r:id="rId18" w:history="1">
              <w:r w:rsidR="00B92308" w:rsidRPr="00347EDF">
                <w:rPr>
                  <w:rStyle w:val="Hyperlink"/>
                  <w:szCs w:val="24"/>
                </w:rPr>
                <w:t>C17/32</w:t>
              </w:r>
            </w:hyperlink>
            <w:r w:rsidR="00B92308" w:rsidRPr="009C3900">
              <w:rPr>
                <w:szCs w:val="24"/>
              </w:rPr>
              <w:t xml:space="preserve"> </w:t>
            </w:r>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5</w:t>
            </w:r>
          </w:p>
        </w:tc>
        <w:tc>
          <w:tcPr>
            <w:tcW w:w="3741" w:type="pct"/>
            <w:tcBorders>
              <w:top w:val="nil"/>
              <w:left w:val="nil"/>
              <w:bottom w:val="nil"/>
              <w:right w:val="nil"/>
            </w:tcBorders>
          </w:tcPr>
          <w:p w:rsidR="00B92308" w:rsidRPr="009C3900" w:rsidRDefault="00B92308" w:rsidP="00C63980">
            <w:r w:rsidRPr="009C3900">
              <w:rPr>
                <w:lang w:val="en-CA"/>
              </w:rPr>
              <w:t>Conformance and interoperability programme - status report and action plan</w:t>
            </w:r>
          </w:p>
        </w:tc>
        <w:tc>
          <w:tcPr>
            <w:tcW w:w="996" w:type="pct"/>
            <w:tcBorders>
              <w:top w:val="nil"/>
              <w:left w:val="nil"/>
              <w:bottom w:val="nil"/>
              <w:right w:val="nil"/>
            </w:tcBorders>
          </w:tcPr>
          <w:p w:rsidR="00B92308" w:rsidRPr="009C3900" w:rsidRDefault="006476B4" w:rsidP="00C63980">
            <w:pPr>
              <w:jc w:val="center"/>
              <w:rPr>
                <w:szCs w:val="24"/>
              </w:rPr>
            </w:pPr>
            <w:hyperlink r:id="rId19" w:history="1">
              <w:r w:rsidR="00B92308" w:rsidRPr="00347EDF">
                <w:rPr>
                  <w:rStyle w:val="Hyperlink"/>
                  <w:szCs w:val="24"/>
                  <w:lang w:val="en-CA"/>
                </w:rPr>
                <w:t>C17/24</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6</w:t>
            </w:r>
          </w:p>
        </w:tc>
        <w:tc>
          <w:tcPr>
            <w:tcW w:w="3741" w:type="pct"/>
            <w:tcBorders>
              <w:top w:val="nil"/>
              <w:left w:val="nil"/>
              <w:bottom w:val="nil"/>
              <w:right w:val="nil"/>
            </w:tcBorders>
          </w:tcPr>
          <w:p w:rsidR="00B92308" w:rsidRPr="009C3900" w:rsidRDefault="00B92308" w:rsidP="00C63980">
            <w:pPr>
              <w:rPr>
                <w:lang w:val="en-CA"/>
              </w:rPr>
            </w:pPr>
            <w:r w:rsidRPr="009C3900">
              <w:rPr>
                <w:lang w:val="en-CA"/>
              </w:rPr>
              <w:t>Facilitating the Internet of Things to prepare for a globally connected world</w:t>
            </w:r>
          </w:p>
        </w:tc>
        <w:tc>
          <w:tcPr>
            <w:tcW w:w="996" w:type="pct"/>
            <w:tcBorders>
              <w:top w:val="nil"/>
              <w:left w:val="nil"/>
              <w:bottom w:val="nil"/>
              <w:right w:val="nil"/>
            </w:tcBorders>
          </w:tcPr>
          <w:p w:rsidR="00B92308" w:rsidRPr="009C3900" w:rsidRDefault="006476B4" w:rsidP="00C63980">
            <w:pPr>
              <w:jc w:val="center"/>
              <w:rPr>
                <w:szCs w:val="24"/>
                <w:lang w:val="en-CA"/>
              </w:rPr>
            </w:pPr>
            <w:hyperlink r:id="rId20" w:history="1">
              <w:r w:rsidR="00B92308" w:rsidRPr="00347EDF">
                <w:rPr>
                  <w:rStyle w:val="Hyperlink"/>
                  <w:szCs w:val="24"/>
                  <w:lang w:val="en-CA"/>
                </w:rPr>
                <w:t>C17/23</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7</w:t>
            </w:r>
          </w:p>
        </w:tc>
        <w:tc>
          <w:tcPr>
            <w:tcW w:w="3741" w:type="pct"/>
            <w:tcBorders>
              <w:top w:val="nil"/>
              <w:left w:val="nil"/>
              <w:bottom w:val="nil"/>
              <w:right w:val="nil"/>
            </w:tcBorders>
          </w:tcPr>
          <w:p w:rsidR="00B92308" w:rsidRPr="009C3900" w:rsidRDefault="00B92308" w:rsidP="00C63980">
            <w:pPr>
              <w:rPr>
                <w:lang w:val="en-CA"/>
              </w:rPr>
            </w:pPr>
            <w:r w:rsidRPr="009C3900">
              <w:rPr>
                <w:lang w:val="en-CA"/>
              </w:rPr>
              <w:t xml:space="preserve">Digital </w:t>
            </w:r>
            <w:r>
              <w:rPr>
                <w:lang w:val="en-CA"/>
              </w:rPr>
              <w:t>f</w:t>
            </w:r>
            <w:r w:rsidRPr="009C3900">
              <w:rPr>
                <w:lang w:val="en-CA"/>
              </w:rPr>
              <w:t xml:space="preserve">inancial </w:t>
            </w:r>
            <w:r>
              <w:rPr>
                <w:lang w:val="en-CA"/>
              </w:rPr>
              <w:t>s</w:t>
            </w:r>
            <w:r w:rsidRPr="009C3900">
              <w:rPr>
                <w:lang w:val="en-CA"/>
              </w:rPr>
              <w:t>ervices</w:t>
            </w:r>
          </w:p>
        </w:tc>
        <w:tc>
          <w:tcPr>
            <w:tcW w:w="996" w:type="pct"/>
            <w:tcBorders>
              <w:top w:val="nil"/>
              <w:left w:val="nil"/>
              <w:bottom w:val="nil"/>
              <w:right w:val="nil"/>
            </w:tcBorders>
          </w:tcPr>
          <w:p w:rsidR="00B92308" w:rsidRPr="009C3900" w:rsidRDefault="006476B4" w:rsidP="00C63980">
            <w:pPr>
              <w:jc w:val="center"/>
              <w:rPr>
                <w:szCs w:val="24"/>
                <w:lang w:val="en-CA"/>
              </w:rPr>
            </w:pPr>
            <w:hyperlink r:id="rId21" w:history="1">
              <w:r w:rsidR="00B92308" w:rsidRPr="00347EDF">
                <w:rPr>
                  <w:rStyle w:val="Hyperlink"/>
                  <w:szCs w:val="24"/>
                  <w:lang w:val="en-CA"/>
                </w:rPr>
                <w:t>C17/68</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8</w:t>
            </w:r>
          </w:p>
        </w:tc>
        <w:tc>
          <w:tcPr>
            <w:tcW w:w="3741" w:type="pct"/>
            <w:tcBorders>
              <w:top w:val="nil"/>
              <w:left w:val="nil"/>
              <w:bottom w:val="nil"/>
              <w:right w:val="nil"/>
            </w:tcBorders>
          </w:tcPr>
          <w:p w:rsidR="00B92308" w:rsidRPr="009C3900" w:rsidRDefault="00B92308" w:rsidP="00C63980">
            <w:pPr>
              <w:rPr>
                <w:lang w:val="en-CA"/>
              </w:rPr>
            </w:pPr>
            <w:r w:rsidRPr="009C3900">
              <w:rPr>
                <w:lang w:val="en-CA"/>
              </w:rPr>
              <w:t>Effectiveness of regional groups for bridging the standardization gap</w:t>
            </w:r>
          </w:p>
        </w:tc>
        <w:tc>
          <w:tcPr>
            <w:tcW w:w="996" w:type="pct"/>
            <w:tcBorders>
              <w:top w:val="nil"/>
              <w:left w:val="nil"/>
              <w:bottom w:val="nil"/>
              <w:right w:val="nil"/>
            </w:tcBorders>
          </w:tcPr>
          <w:p w:rsidR="00B92308" w:rsidRPr="009C3900" w:rsidRDefault="006476B4" w:rsidP="00C63980">
            <w:pPr>
              <w:jc w:val="center"/>
              <w:rPr>
                <w:szCs w:val="24"/>
                <w:lang w:val="en-CA"/>
              </w:rPr>
            </w:pPr>
            <w:hyperlink r:id="rId22" w:history="1">
              <w:r w:rsidR="00B92308" w:rsidRPr="00347EDF">
                <w:rPr>
                  <w:rStyle w:val="Hyperlink"/>
                  <w:szCs w:val="24"/>
                  <w:lang w:val="en-CA"/>
                </w:rPr>
                <w:t>C17/72</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9</w:t>
            </w:r>
          </w:p>
        </w:tc>
        <w:tc>
          <w:tcPr>
            <w:tcW w:w="3741" w:type="pct"/>
            <w:tcBorders>
              <w:top w:val="nil"/>
              <w:left w:val="nil"/>
              <w:bottom w:val="nil"/>
              <w:right w:val="nil"/>
            </w:tcBorders>
          </w:tcPr>
          <w:p w:rsidR="00B92308" w:rsidRPr="009C3900" w:rsidRDefault="00B92308" w:rsidP="00C63980">
            <w:pPr>
              <w:ind w:left="567" w:hanging="567"/>
              <w:rPr>
                <w:szCs w:val="24"/>
                <w:lang w:val="en-CA"/>
              </w:rPr>
            </w:pPr>
            <w:r w:rsidRPr="009C3900">
              <w:rPr>
                <w:szCs w:val="24"/>
                <w:lang w:val="en-CA"/>
              </w:rPr>
              <w:t>Report of the Council Working Group on Languages (continued)</w:t>
            </w:r>
          </w:p>
        </w:tc>
        <w:tc>
          <w:tcPr>
            <w:tcW w:w="996" w:type="pct"/>
            <w:tcBorders>
              <w:top w:val="nil"/>
              <w:left w:val="nil"/>
              <w:bottom w:val="nil"/>
              <w:right w:val="nil"/>
            </w:tcBorders>
          </w:tcPr>
          <w:p w:rsidR="00B92308" w:rsidRPr="009C3900" w:rsidRDefault="006476B4" w:rsidP="00C63980">
            <w:pPr>
              <w:jc w:val="center"/>
              <w:rPr>
                <w:szCs w:val="24"/>
                <w:lang w:val="en-CA"/>
              </w:rPr>
            </w:pPr>
            <w:hyperlink r:id="rId23" w:history="1">
              <w:r w:rsidR="00B92308" w:rsidRPr="00347EDF">
                <w:rPr>
                  <w:rStyle w:val="Hyperlink"/>
                  <w:szCs w:val="24"/>
                  <w:lang w:val="en-CA"/>
                </w:rPr>
                <w:t>C17/DT/4</w:t>
              </w:r>
            </w:hyperlink>
          </w:p>
        </w:tc>
      </w:tr>
      <w:tr w:rsidR="00B92308" w:rsidRPr="009C3900" w:rsidTr="00C63980">
        <w:tc>
          <w:tcPr>
            <w:tcW w:w="263" w:type="pct"/>
            <w:tcBorders>
              <w:top w:val="nil"/>
              <w:left w:val="nil"/>
              <w:bottom w:val="nil"/>
              <w:right w:val="nil"/>
            </w:tcBorders>
          </w:tcPr>
          <w:p w:rsidR="00B92308" w:rsidRPr="009C3900" w:rsidRDefault="00B92308" w:rsidP="00C63980">
            <w:pPr>
              <w:ind w:left="567" w:hanging="567"/>
              <w:rPr>
                <w:szCs w:val="24"/>
              </w:rPr>
            </w:pPr>
            <w:r>
              <w:rPr>
                <w:szCs w:val="24"/>
              </w:rPr>
              <w:t>10</w:t>
            </w:r>
          </w:p>
        </w:tc>
        <w:tc>
          <w:tcPr>
            <w:tcW w:w="3741" w:type="pct"/>
            <w:tcBorders>
              <w:top w:val="nil"/>
              <w:left w:val="nil"/>
              <w:bottom w:val="nil"/>
              <w:right w:val="nil"/>
            </w:tcBorders>
          </w:tcPr>
          <w:p w:rsidR="00B92308" w:rsidRPr="009C3900" w:rsidRDefault="00B92308" w:rsidP="00C63980">
            <w:pPr>
              <w:ind w:left="567" w:hanging="567"/>
              <w:rPr>
                <w:szCs w:val="24"/>
                <w:lang w:val="en-CA"/>
              </w:rPr>
            </w:pPr>
            <w:r w:rsidRPr="009C3900">
              <w:rPr>
                <w:szCs w:val="24"/>
                <w:lang w:val="en-CA"/>
              </w:rPr>
              <w:t>Strengthening the regional presence</w:t>
            </w:r>
          </w:p>
        </w:tc>
        <w:tc>
          <w:tcPr>
            <w:tcW w:w="996" w:type="pct"/>
            <w:tcBorders>
              <w:top w:val="nil"/>
              <w:left w:val="nil"/>
              <w:bottom w:val="nil"/>
              <w:right w:val="nil"/>
            </w:tcBorders>
          </w:tcPr>
          <w:p w:rsidR="00B92308" w:rsidRPr="009C3900" w:rsidRDefault="006476B4" w:rsidP="00C63980">
            <w:pPr>
              <w:jc w:val="center"/>
              <w:rPr>
                <w:szCs w:val="24"/>
                <w:lang w:val="en-CA"/>
              </w:rPr>
            </w:pPr>
            <w:hyperlink r:id="rId24" w:history="1">
              <w:r w:rsidR="00B92308" w:rsidRPr="00347EDF">
                <w:rPr>
                  <w:rStyle w:val="Hyperlink"/>
                  <w:szCs w:val="24"/>
                  <w:lang w:val="en-CA"/>
                </w:rPr>
                <w:t>C17/25</w:t>
              </w:r>
            </w:hyperlink>
          </w:p>
        </w:tc>
      </w:tr>
    </w:tbl>
    <w:p w:rsidR="00B92308" w:rsidRDefault="00B92308">
      <w:pPr>
        <w:tabs>
          <w:tab w:val="clear" w:pos="567"/>
          <w:tab w:val="clear" w:pos="1134"/>
          <w:tab w:val="clear" w:pos="1701"/>
          <w:tab w:val="clear" w:pos="2268"/>
          <w:tab w:val="clear" w:pos="2835"/>
        </w:tabs>
        <w:overflowPunct/>
        <w:autoSpaceDE/>
        <w:autoSpaceDN/>
        <w:adjustRightInd/>
        <w:spacing w:before="0"/>
        <w:textAlignment w:val="auto"/>
      </w:pPr>
      <w:r>
        <w:br w:type="page"/>
      </w:r>
    </w:p>
    <w:p w:rsidR="00B92308" w:rsidRPr="00477524" w:rsidRDefault="00B92308" w:rsidP="00B92308">
      <w:pPr>
        <w:tabs>
          <w:tab w:val="clear" w:pos="567"/>
          <w:tab w:val="clear" w:pos="1134"/>
          <w:tab w:val="clear" w:pos="1701"/>
          <w:tab w:val="clear" w:pos="2268"/>
          <w:tab w:val="clear" w:pos="2835"/>
        </w:tabs>
        <w:overflowPunct/>
        <w:autoSpaceDE/>
        <w:autoSpaceDN/>
        <w:snapToGrid w:val="0"/>
        <w:spacing w:after="120"/>
        <w:textAlignment w:val="auto"/>
        <w:rPr>
          <w:b/>
          <w:bCs/>
        </w:rPr>
      </w:pPr>
      <w:r>
        <w:rPr>
          <w:szCs w:val="24"/>
        </w:rPr>
        <w:lastRenderedPageBreak/>
        <w:t>1</w:t>
      </w:r>
      <w:r>
        <w:rPr>
          <w:szCs w:val="24"/>
        </w:rPr>
        <w:tab/>
      </w:r>
      <w:r w:rsidRPr="00477524">
        <w:rPr>
          <w:b/>
          <w:bCs/>
        </w:rPr>
        <w:t xml:space="preserve">World Telecommunication/ICT Policy Forum </w:t>
      </w:r>
      <w:r>
        <w:rPr>
          <w:b/>
          <w:bCs/>
        </w:rPr>
        <w:t xml:space="preserve">(WTPF) </w:t>
      </w:r>
      <w:r w:rsidRPr="00477524">
        <w:rPr>
          <w:b/>
          <w:bCs/>
        </w:rPr>
        <w:t xml:space="preserve">(Document </w:t>
      </w:r>
      <w:hyperlink r:id="rId25" w:history="1">
        <w:r w:rsidRPr="00980F1D">
          <w:rPr>
            <w:rStyle w:val="Hyperlink"/>
            <w:b/>
            <w:bCs/>
          </w:rPr>
          <w:t>C17/59</w:t>
        </w:r>
      </w:hyperlink>
      <w:r w:rsidRPr="00477524">
        <w:rPr>
          <w:b/>
          <w:bCs/>
        </w:rPr>
        <w:t>)</w:t>
      </w:r>
    </w:p>
    <w:p w:rsidR="00B92308" w:rsidRDefault="00B92308" w:rsidP="00B92308">
      <w:pPr>
        <w:tabs>
          <w:tab w:val="clear" w:pos="567"/>
          <w:tab w:val="clear" w:pos="1134"/>
          <w:tab w:val="clear" w:pos="1701"/>
          <w:tab w:val="clear" w:pos="2268"/>
          <w:tab w:val="clear" w:pos="2835"/>
        </w:tabs>
        <w:snapToGrid w:val="0"/>
        <w:spacing w:after="120"/>
      </w:pPr>
      <w:r>
        <w:t>1.1</w:t>
      </w:r>
      <w:r>
        <w:tab/>
        <w:t>The Chief of the Strategic Planning and Membership Department, introducing Document C17/59, reported that the General Secretariat had received five inputs on the possible theme, dates and venue for the next WTPF in response to its circular letter.</w:t>
      </w:r>
    </w:p>
    <w:p w:rsidR="00B92308" w:rsidRDefault="00B92308" w:rsidP="00B92308">
      <w:pPr>
        <w:tabs>
          <w:tab w:val="clear" w:pos="567"/>
          <w:tab w:val="clear" w:pos="1134"/>
          <w:tab w:val="clear" w:pos="1701"/>
          <w:tab w:val="clear" w:pos="2268"/>
          <w:tab w:val="clear" w:pos="2835"/>
        </w:tabs>
        <w:snapToGrid w:val="0"/>
        <w:spacing w:after="120"/>
      </w:pPr>
      <w:r>
        <w:t>1.2</w:t>
      </w:r>
      <w:r>
        <w:tab/>
        <w:t xml:space="preserve">Councillors emphasized the value of the Forum as a unique platform for sharing information and experience on emerging issues relating to ICT/telecommunication development, in particular for developing countries. One councillor proposed that the next WTPF should be convened in the first or second quarter of 2018. Another councillor said that it was important to ensure a timely and harmonized response to emerging policy issues arising from the changing ICT/telecommunication environment, and agreed that the WTPF should not be delayed. A number of councillors said that, given such factors as the number of conferences planned before PP-18, a decision on the possible theme, dates and venue for the next WTPF should be left to the plenipotentiary conference. However, </w:t>
      </w:r>
      <w:r w:rsidR="009C1210">
        <w:t xml:space="preserve">some </w:t>
      </w:r>
      <w:r>
        <w:t>others considered that the next WTPF should be held in 2019 and to leave the decision on its theme until PP-18 would not allow sufficient time for a robust preparatory process; the decision should be taken by Council-17 or Council-18.</w:t>
      </w:r>
    </w:p>
    <w:p w:rsidR="00B92308" w:rsidRDefault="00B92308" w:rsidP="00B92308">
      <w:pPr>
        <w:tabs>
          <w:tab w:val="clear" w:pos="567"/>
          <w:tab w:val="clear" w:pos="1134"/>
          <w:tab w:val="clear" w:pos="1701"/>
          <w:tab w:val="clear" w:pos="2268"/>
          <w:tab w:val="clear" w:pos="2835"/>
        </w:tabs>
        <w:snapToGrid w:val="0"/>
        <w:spacing w:after="120"/>
      </w:pPr>
      <w:r>
        <w:t>1.3</w:t>
      </w:r>
      <w:r>
        <w:tab/>
        <w:t xml:space="preserve">Possible themes suggested by councillors included </w:t>
      </w:r>
      <w:r>
        <w:rPr>
          <w:szCs w:val="24"/>
        </w:rPr>
        <w:t>d</w:t>
      </w:r>
      <w:r w:rsidRPr="00443A48">
        <w:rPr>
          <w:szCs w:val="24"/>
        </w:rPr>
        <w:t xml:space="preserve">evelopment prospects for </w:t>
      </w:r>
      <w:r>
        <w:rPr>
          <w:szCs w:val="24"/>
        </w:rPr>
        <w:t>ITU</w:t>
      </w:r>
      <w:r w:rsidRPr="00443A48">
        <w:rPr>
          <w:szCs w:val="24"/>
        </w:rPr>
        <w:t xml:space="preserve"> within the context of implementing the 2030 Agenda for Sustainable Development</w:t>
      </w:r>
      <w:r>
        <w:rPr>
          <w:szCs w:val="24"/>
        </w:rPr>
        <w:t xml:space="preserve"> and the economic challenges of new ICT/telecommunication services. One councillor considered that regulatory aspects of OTTs, cybersecurity, and financial services should also be addressed.</w:t>
      </w:r>
    </w:p>
    <w:p w:rsidR="00B92308" w:rsidRDefault="00B92308" w:rsidP="00B92308">
      <w:pPr>
        <w:tabs>
          <w:tab w:val="clear" w:pos="567"/>
          <w:tab w:val="clear" w:pos="1134"/>
          <w:tab w:val="clear" w:pos="1701"/>
          <w:tab w:val="clear" w:pos="2268"/>
          <w:tab w:val="clear" w:pos="2835"/>
        </w:tabs>
        <w:snapToGrid w:val="0"/>
        <w:spacing w:after="120"/>
      </w:pPr>
      <w:r>
        <w:rPr>
          <w:szCs w:val="24"/>
        </w:rPr>
        <w:t>1.4</w:t>
      </w:r>
      <w:r>
        <w:rPr>
          <w:szCs w:val="24"/>
        </w:rPr>
        <w:tab/>
        <w:t xml:space="preserve">One councillor said that the General Secretariat should reflect upon all </w:t>
      </w:r>
      <w:r w:rsidRPr="003D05EF">
        <w:t>current</w:t>
      </w:r>
      <w:r>
        <w:t xml:space="preserve"> high-level events of the Union, with a view to developing an </w:t>
      </w:r>
      <w:r w:rsidRPr="003D05EF">
        <w:t>optimized events scheduling option to be submitted to Council</w:t>
      </w:r>
      <w:r>
        <w:t>-18</w:t>
      </w:r>
      <w:r w:rsidRPr="003D05EF">
        <w:t xml:space="preserve"> for consideration</w:t>
      </w:r>
      <w:r>
        <w:t xml:space="preserve">, as proposed in </w:t>
      </w:r>
      <w:r>
        <w:rPr>
          <w:szCs w:val="24"/>
        </w:rPr>
        <w:t>Document C17/89 submitted by China.</w:t>
      </w:r>
    </w:p>
    <w:p w:rsidR="00B92308" w:rsidRDefault="00B92308" w:rsidP="00B92308">
      <w:pPr>
        <w:tabs>
          <w:tab w:val="clear" w:pos="567"/>
          <w:tab w:val="clear" w:pos="1134"/>
          <w:tab w:val="clear" w:pos="1701"/>
          <w:tab w:val="clear" w:pos="2268"/>
          <w:tab w:val="clear" w:pos="2835"/>
        </w:tabs>
        <w:snapToGrid w:val="0"/>
        <w:spacing w:after="120"/>
      </w:pPr>
      <w:r>
        <w:rPr>
          <w:szCs w:val="24"/>
        </w:rPr>
        <w:t>1.5</w:t>
      </w:r>
      <w:r>
        <w:rPr>
          <w:szCs w:val="24"/>
        </w:rPr>
        <w:tab/>
        <w:t xml:space="preserve">The Council </w:t>
      </w:r>
      <w:r w:rsidRPr="00801E68">
        <w:rPr>
          <w:b/>
          <w:bCs/>
          <w:szCs w:val="24"/>
        </w:rPr>
        <w:t xml:space="preserve">agreed </w:t>
      </w:r>
      <w:r>
        <w:rPr>
          <w:szCs w:val="24"/>
        </w:rPr>
        <w:t xml:space="preserve">to request the General Secretariat to consider the possibilities regarding the optimized scheduling of events and report back to </w:t>
      </w:r>
      <w:r w:rsidRPr="003D05EF">
        <w:t>Council</w:t>
      </w:r>
      <w:r>
        <w:t>-18.</w:t>
      </w:r>
    </w:p>
    <w:p w:rsidR="00B92308" w:rsidRDefault="00B92308" w:rsidP="00B92308">
      <w:pPr>
        <w:tabs>
          <w:tab w:val="clear" w:pos="567"/>
          <w:tab w:val="clear" w:pos="1134"/>
          <w:tab w:val="clear" w:pos="1701"/>
          <w:tab w:val="clear" w:pos="2268"/>
          <w:tab w:val="clear" w:pos="2835"/>
        </w:tabs>
        <w:snapToGrid w:val="0"/>
        <w:spacing w:after="120"/>
      </w:pPr>
      <w:r>
        <w:t>1.6</w:t>
      </w:r>
      <w:r>
        <w:tab/>
        <w:t xml:space="preserve">Document C17/59 was </w:t>
      </w:r>
      <w:r w:rsidRPr="008E50F2">
        <w:rPr>
          <w:b/>
          <w:bCs/>
        </w:rPr>
        <w:t>noted</w:t>
      </w:r>
      <w:r>
        <w:t>.</w:t>
      </w:r>
    </w:p>
    <w:p w:rsidR="00B92308" w:rsidRDefault="00B92308" w:rsidP="00B92308">
      <w:pPr>
        <w:tabs>
          <w:tab w:val="clear" w:pos="567"/>
          <w:tab w:val="clear" w:pos="1134"/>
          <w:tab w:val="clear" w:pos="1701"/>
          <w:tab w:val="clear" w:pos="2268"/>
          <w:tab w:val="clear" w:pos="2835"/>
        </w:tabs>
        <w:snapToGrid w:val="0"/>
        <w:spacing w:before="360" w:after="120"/>
      </w:pPr>
      <w:r>
        <w:rPr>
          <w:b/>
          <w:bCs/>
        </w:rPr>
        <w:t>2</w:t>
      </w:r>
      <w:r>
        <w:rPr>
          <w:b/>
          <w:bCs/>
        </w:rPr>
        <w:tab/>
      </w:r>
      <w:r w:rsidRPr="006A12ED">
        <w:rPr>
          <w:b/>
          <w:bCs/>
        </w:rPr>
        <w:t xml:space="preserve">Cooperation agreement between ITU and INTERPOL (Document </w:t>
      </w:r>
      <w:hyperlink r:id="rId26" w:history="1">
        <w:r w:rsidRPr="00980F1D">
          <w:rPr>
            <w:rStyle w:val="Hyperlink"/>
            <w:b/>
            <w:bCs/>
          </w:rPr>
          <w:t>C17/65</w:t>
        </w:r>
      </w:hyperlink>
      <w:r w:rsidRPr="006A12ED">
        <w:rPr>
          <w:b/>
          <w:bCs/>
        </w:rPr>
        <w:t>)</w:t>
      </w:r>
    </w:p>
    <w:p w:rsidR="00B92308" w:rsidRDefault="00B92308" w:rsidP="00B92308">
      <w:pPr>
        <w:tabs>
          <w:tab w:val="clear" w:pos="567"/>
          <w:tab w:val="clear" w:pos="1134"/>
          <w:tab w:val="clear" w:pos="1701"/>
          <w:tab w:val="clear" w:pos="2268"/>
          <w:tab w:val="clear" w:pos="2835"/>
        </w:tabs>
        <w:snapToGrid w:val="0"/>
        <w:spacing w:after="120"/>
      </w:pPr>
      <w:r>
        <w:t>2.1</w:t>
      </w:r>
      <w:r>
        <w:tab/>
        <w:t>The representative of BDT introduced Document C17/65. The Council was invited to approve provisionally the updated cooperation agreement in Annex A and authorize the Secretary-General to sign it in accordance with the draft decision contained in Annex B. The agreement would be sent to PP-18 for final approval.</w:t>
      </w:r>
    </w:p>
    <w:p w:rsidR="00B92308" w:rsidRDefault="00B92308" w:rsidP="00B92308">
      <w:pPr>
        <w:tabs>
          <w:tab w:val="clear" w:pos="567"/>
          <w:tab w:val="clear" w:pos="1134"/>
          <w:tab w:val="clear" w:pos="1701"/>
          <w:tab w:val="clear" w:pos="2268"/>
          <w:tab w:val="clear" w:pos="2835"/>
        </w:tabs>
        <w:snapToGrid w:val="0"/>
        <w:spacing w:after="120"/>
      </w:pPr>
      <w:r>
        <w:t>2.2</w:t>
      </w:r>
      <w:r>
        <w:tab/>
        <w:t>The councillor from the United States said that her country could approve and authorize the Secretary-General to sign the cooperation agreement on the following understanding:</w:t>
      </w:r>
    </w:p>
    <w:p w:rsidR="00B92308" w:rsidRDefault="00B92308" w:rsidP="00980F1D">
      <w:pPr>
        <w:pStyle w:val="BodyText"/>
        <w:adjustRightInd w:val="0"/>
        <w:snapToGrid w:val="0"/>
        <w:spacing w:before="240" w:after="120"/>
        <w:ind w:left="567"/>
        <w:rPr>
          <w:rFonts w:ascii="Calibri" w:hAnsi="Calibri"/>
          <w:color w:val="000000"/>
        </w:rPr>
      </w:pPr>
      <w:r>
        <w:rPr>
          <w:rFonts w:ascii="Calibri" w:hAnsi="Calibri"/>
          <w:color w:val="000000"/>
        </w:rPr>
        <w:t>“The United States understands the reference to “respective areas of competence” in Article 1 of the cooperation agreement to reflect, with respect to the ITU, its current mandate</w:t>
      </w:r>
      <w:r w:rsidR="00980F1D">
        <w:rPr>
          <w:rFonts w:ascii="Calibri" w:hAnsi="Calibri"/>
          <w:color w:val="000000"/>
        </w:rPr>
        <w:t xml:space="preserve"> </w:t>
      </w:r>
      <w:r>
        <w:rPr>
          <w:rFonts w:ascii="Calibri" w:hAnsi="Calibri"/>
          <w:color w:val="000000"/>
        </w:rPr>
        <w:t>as reflected in the ITU Constitution and Convention. In particular, the United States emphasizes that the ITU’s participation in this cooperation agreement would not extend the scope of the ITU’s mandate, including to cover cybercrime or online child exploitation, which are, under this cooperation agreement, matters within the exclusive jurisdiction of INTERPOL.”</w:t>
      </w:r>
    </w:p>
    <w:p w:rsidR="00B92308" w:rsidRDefault="00B92308" w:rsidP="00B92308">
      <w:pPr>
        <w:tabs>
          <w:tab w:val="clear" w:pos="567"/>
          <w:tab w:val="clear" w:pos="1134"/>
          <w:tab w:val="clear" w:pos="1701"/>
          <w:tab w:val="clear" w:pos="2268"/>
          <w:tab w:val="clear" w:pos="2835"/>
        </w:tabs>
        <w:snapToGrid w:val="0"/>
        <w:spacing w:before="240" w:after="120"/>
      </w:pPr>
      <w:r>
        <w:t>2.3</w:t>
      </w:r>
      <w:r>
        <w:tab/>
        <w:t xml:space="preserve">Councillors welcomed the due diligence exercised in involving Member States in the process for updating the cooperation agreement and called for such levels of engagement to be maintained. One councillor praised ITU’s involvement with regional organizations, including on </w:t>
      </w:r>
      <w:r>
        <w:lastRenderedPageBreak/>
        <w:t>matters related to cybersecurity, which should continue. One councillor said that her country would be pleased to implement the activities outlined in Article 2 of the cooperation agreement with due regard for national sovereignty, and drew attention to some national measures being taken to strengthen cybersecurity.</w:t>
      </w:r>
    </w:p>
    <w:p w:rsidR="00B92308" w:rsidRDefault="00B92308" w:rsidP="00B92308">
      <w:pPr>
        <w:tabs>
          <w:tab w:val="clear" w:pos="567"/>
          <w:tab w:val="clear" w:pos="1134"/>
          <w:tab w:val="clear" w:pos="1701"/>
          <w:tab w:val="clear" w:pos="2268"/>
          <w:tab w:val="clear" w:pos="2835"/>
        </w:tabs>
        <w:snapToGrid w:val="0"/>
        <w:spacing w:after="120"/>
      </w:pPr>
      <w:r>
        <w:t>2.4</w:t>
      </w:r>
      <w:r>
        <w:tab/>
        <w:t xml:space="preserve">The Council </w:t>
      </w:r>
      <w:r>
        <w:rPr>
          <w:b/>
          <w:bCs/>
        </w:rPr>
        <w:t xml:space="preserve">noted </w:t>
      </w:r>
      <w:r>
        <w:t xml:space="preserve">Document C17/65, </w:t>
      </w:r>
      <w:r w:rsidRPr="00A1610A">
        <w:rPr>
          <w:b/>
          <w:bCs/>
        </w:rPr>
        <w:t>provisionally</w:t>
      </w:r>
      <w:r>
        <w:t xml:space="preserve"> </w:t>
      </w:r>
      <w:r>
        <w:rPr>
          <w:b/>
          <w:bCs/>
        </w:rPr>
        <w:t>approved</w:t>
      </w:r>
      <w:r>
        <w:t xml:space="preserve"> the cooperation agreement in Annex A</w:t>
      </w:r>
      <w:r w:rsidR="00347EDF">
        <w:t>,</w:t>
      </w:r>
      <w:r>
        <w:t xml:space="preserve"> and </w:t>
      </w:r>
      <w:r>
        <w:rPr>
          <w:b/>
          <w:bCs/>
        </w:rPr>
        <w:t xml:space="preserve">authorized </w:t>
      </w:r>
      <w:r>
        <w:t>the Secretary-General to sign it in accordance with the draft decision in Annex B.</w:t>
      </w:r>
    </w:p>
    <w:p w:rsidR="00B92308" w:rsidRDefault="00B92308" w:rsidP="0075121D">
      <w:pPr>
        <w:tabs>
          <w:tab w:val="clear" w:pos="567"/>
          <w:tab w:val="clear" w:pos="1134"/>
          <w:tab w:val="clear" w:pos="1701"/>
          <w:tab w:val="clear" w:pos="2268"/>
          <w:tab w:val="clear" w:pos="2835"/>
        </w:tabs>
        <w:snapToGrid w:val="0"/>
        <w:spacing w:before="360" w:after="120"/>
        <w:ind w:left="709" w:hanging="709"/>
        <w:rPr>
          <w:b/>
          <w:bCs/>
        </w:rPr>
      </w:pPr>
      <w:r>
        <w:rPr>
          <w:b/>
          <w:bCs/>
        </w:rPr>
        <w:t>3</w:t>
      </w:r>
      <w:r>
        <w:rPr>
          <w:b/>
          <w:bCs/>
        </w:rPr>
        <w:tab/>
      </w:r>
      <w:r w:rsidRPr="00380559">
        <w:rPr>
          <w:b/>
          <w:bCs/>
        </w:rPr>
        <w:t xml:space="preserve">ITU’s role as Supervisory Authority of the International Registration System for Space Assets under the </w:t>
      </w:r>
      <w:r>
        <w:rPr>
          <w:b/>
          <w:bCs/>
        </w:rPr>
        <w:t xml:space="preserve">draft </w:t>
      </w:r>
      <w:r w:rsidRPr="00380559">
        <w:rPr>
          <w:b/>
          <w:bCs/>
        </w:rPr>
        <w:t xml:space="preserve">Space Protocol (Documents </w:t>
      </w:r>
      <w:hyperlink r:id="rId27" w:history="1">
        <w:r w:rsidRPr="00980F1D">
          <w:rPr>
            <w:rStyle w:val="Hyperlink"/>
            <w:b/>
            <w:bCs/>
          </w:rPr>
          <w:t>C17/36</w:t>
        </w:r>
      </w:hyperlink>
      <w:r w:rsidRPr="00380559">
        <w:rPr>
          <w:b/>
          <w:bCs/>
        </w:rPr>
        <w:t xml:space="preserve">(Rev.1), </w:t>
      </w:r>
      <w:hyperlink r:id="rId28" w:history="1">
        <w:r w:rsidRPr="00980F1D">
          <w:rPr>
            <w:rStyle w:val="Hyperlink"/>
            <w:b/>
            <w:bCs/>
          </w:rPr>
          <w:t>C17/94</w:t>
        </w:r>
      </w:hyperlink>
      <w:r w:rsidRPr="00380559">
        <w:rPr>
          <w:b/>
          <w:bCs/>
        </w:rPr>
        <w:t xml:space="preserve"> and </w:t>
      </w:r>
      <w:hyperlink r:id="rId29" w:history="1">
        <w:r w:rsidRPr="00980F1D">
          <w:rPr>
            <w:rStyle w:val="Hyperlink"/>
            <w:b/>
            <w:bCs/>
          </w:rPr>
          <w:t>C17/111</w:t>
        </w:r>
      </w:hyperlink>
      <w:r w:rsidRPr="00380559">
        <w:rPr>
          <w:b/>
          <w:bCs/>
        </w:rPr>
        <w:t>)</w:t>
      </w:r>
      <w:r w:rsidR="0075121D">
        <w:rPr>
          <w:b/>
          <w:bCs/>
        </w:rPr>
        <w:t xml:space="preserve"> </w:t>
      </w:r>
    </w:p>
    <w:p w:rsidR="00B92308" w:rsidRDefault="00B92308" w:rsidP="00B92308">
      <w:pPr>
        <w:tabs>
          <w:tab w:val="clear" w:pos="567"/>
          <w:tab w:val="clear" w:pos="1134"/>
          <w:tab w:val="clear" w:pos="1701"/>
          <w:tab w:val="clear" w:pos="2268"/>
          <w:tab w:val="clear" w:pos="2835"/>
        </w:tabs>
        <w:snapToGrid w:val="0"/>
        <w:spacing w:after="120"/>
      </w:pPr>
      <w:r>
        <w:t>3.1</w:t>
      </w:r>
      <w:r>
        <w:tab/>
      </w:r>
      <w:r w:rsidRPr="0070587A">
        <w:t>The representative of BR</w:t>
      </w:r>
      <w:r>
        <w:t xml:space="preserve">, introducing Document C17/36(Rev.1), recalled that Council-16 had noted that there were no objections of principle to ITU becoming the Supervisory Authority of the International Registration System for Space Assets, but that the Council decision should not appear to pre-empt the decision by PP-18. Questions raised by Council-16 with respect to conditions and restrictions to be applied should ITU assume the role of Supervisory Authority were addressed in paragraphs 4 to 13. The Council was invited to endorse ITU becoming the supervisory authority upon or after the entry into force of the Space Protocol, and to recommend such a course of action to PP-18; to review the conditions that might be necessary should ITU assume the role of Supervisory Authority and endorse them for recommendation to PP-18; and to authorize the Secretary-General or his representative to continue to participate in the work of the Preparatory Commission and its working groups as an observer. </w:t>
      </w:r>
    </w:p>
    <w:p w:rsidR="00B92308" w:rsidRDefault="00B92308" w:rsidP="00B92308">
      <w:pPr>
        <w:tabs>
          <w:tab w:val="clear" w:pos="567"/>
          <w:tab w:val="clear" w:pos="1134"/>
          <w:tab w:val="clear" w:pos="1701"/>
          <w:tab w:val="clear" w:pos="2268"/>
          <w:tab w:val="clear" w:pos="2835"/>
        </w:tabs>
        <w:snapToGrid w:val="0"/>
        <w:spacing w:after="120"/>
      </w:pPr>
      <w:r>
        <w:t>3.2</w:t>
      </w:r>
      <w:r>
        <w:tab/>
        <w:t xml:space="preserve">The councillor from the United States introduced Document C17/94, which contained a letter from the Satellite Industry Association setting out concerns regarding the establishment of an International Registry for Space Assets and endorsement of ITU as the Supervisory Authority. </w:t>
      </w:r>
    </w:p>
    <w:p w:rsidR="00B92308" w:rsidRDefault="00B92308" w:rsidP="00B92308">
      <w:pPr>
        <w:tabs>
          <w:tab w:val="clear" w:pos="567"/>
          <w:tab w:val="clear" w:pos="1134"/>
          <w:tab w:val="clear" w:pos="1701"/>
          <w:tab w:val="clear" w:pos="2268"/>
          <w:tab w:val="clear" w:pos="2835"/>
        </w:tabs>
        <w:snapToGrid w:val="0"/>
        <w:spacing w:after="120"/>
      </w:pPr>
      <w:r>
        <w:t>3.3</w:t>
      </w:r>
      <w:r>
        <w:tab/>
        <w:t xml:space="preserve">The Chairman, drawing attention to Document C17/111 containing the conclusions of RAG, said that RAG had noted the information provided in the Director’s report on Space Protocol-related issues. </w:t>
      </w:r>
    </w:p>
    <w:p w:rsidR="00B92308" w:rsidRDefault="00B92308" w:rsidP="00E43CD1">
      <w:pPr>
        <w:tabs>
          <w:tab w:val="clear" w:pos="567"/>
          <w:tab w:val="clear" w:pos="1134"/>
          <w:tab w:val="clear" w:pos="1701"/>
          <w:tab w:val="clear" w:pos="2268"/>
          <w:tab w:val="clear" w:pos="2835"/>
        </w:tabs>
        <w:snapToGrid w:val="0"/>
        <w:spacing w:after="120"/>
      </w:pPr>
      <w:r>
        <w:t>3.4</w:t>
      </w:r>
      <w:r>
        <w:tab/>
      </w:r>
      <w:r w:rsidR="00305D62">
        <w:t xml:space="preserve">A number of </w:t>
      </w:r>
      <w:r>
        <w:t xml:space="preserve">councillors said that ITU was well placed to become the Supervisory Authority, agreed that it should assume that role. One councillor expressed support for the Secretary-General or his representative to continue participating in the work of the Preparatory Commission. Another councillor said that the issue, which had been on the Council’s agenda since 2011, had to be resolved once and for all. He welcomed the fundamental points set out in paragraphs 4 to 13 of Document C17/36(Rev.1), but said that </w:t>
      </w:r>
      <w:r w:rsidR="00F56470">
        <w:t xml:space="preserve">two </w:t>
      </w:r>
      <w:r>
        <w:t xml:space="preserve">of them should be captured more fully in any formal agreement pertaining to ITU as the Supervisory Authority to ensure that the organization was fully protected. The letter contained in Document C17/94 caused him surprise, particularly given the absence of objections of principle at Council-16, and he wondered when the continuing dialogue with industry would take place. </w:t>
      </w:r>
      <w:r w:rsidR="00305D62" w:rsidRPr="00305D62">
        <w:t>The Legal Adviser confirmed that ITU would not be in breach of its Constitution should it assume the role of Supervisory Authority</w:t>
      </w:r>
      <w:r w:rsidR="00A65725">
        <w:t>.</w:t>
      </w:r>
    </w:p>
    <w:p w:rsidR="00B92308" w:rsidRDefault="00B92308">
      <w:pPr>
        <w:tabs>
          <w:tab w:val="clear" w:pos="567"/>
          <w:tab w:val="clear" w:pos="1134"/>
          <w:tab w:val="clear" w:pos="1701"/>
          <w:tab w:val="clear" w:pos="2268"/>
          <w:tab w:val="clear" w:pos="2835"/>
        </w:tabs>
        <w:snapToGrid w:val="0"/>
        <w:spacing w:after="120"/>
      </w:pPr>
      <w:r>
        <w:t>3.5</w:t>
      </w:r>
      <w:r>
        <w:tab/>
      </w:r>
      <w:r w:rsidR="00305D62">
        <w:t>Some</w:t>
      </w:r>
      <w:r>
        <w:t xml:space="preserve"> councillors said that it would be premature for Council-17 to endorse ITU becoming the Supervisory Authority given the concerns expressed by the satellite industry, unresolved financial issues and the absence of a definition of ‘space assets’. The final decision should be taken by PP-18. </w:t>
      </w:r>
    </w:p>
    <w:p w:rsidR="00B92308" w:rsidRPr="0070587A" w:rsidRDefault="00B92308" w:rsidP="00B92308">
      <w:pPr>
        <w:tabs>
          <w:tab w:val="clear" w:pos="567"/>
          <w:tab w:val="clear" w:pos="1134"/>
          <w:tab w:val="clear" w:pos="1701"/>
          <w:tab w:val="clear" w:pos="2268"/>
          <w:tab w:val="clear" w:pos="2835"/>
        </w:tabs>
        <w:snapToGrid w:val="0"/>
        <w:spacing w:after="120"/>
      </w:pPr>
      <w:r>
        <w:lastRenderedPageBreak/>
        <w:t>3.6</w:t>
      </w:r>
      <w:r>
        <w:tab/>
        <w:t xml:space="preserve">One councillor stressed that decisions should be driven by the will of Member States, not industry, which was seeking to defend the interests of current operators. The Council should endorse ITU becoming the Supervisory Authority. </w:t>
      </w:r>
    </w:p>
    <w:p w:rsidR="00B92308" w:rsidRDefault="00B92308" w:rsidP="00B92308">
      <w:pPr>
        <w:tabs>
          <w:tab w:val="clear" w:pos="567"/>
          <w:tab w:val="clear" w:pos="1134"/>
          <w:tab w:val="clear" w:pos="1701"/>
          <w:tab w:val="clear" w:pos="2268"/>
          <w:tab w:val="clear" w:pos="2835"/>
        </w:tabs>
        <w:snapToGrid w:val="0"/>
        <w:spacing w:after="120"/>
      </w:pPr>
      <w:r>
        <w:t>3.7</w:t>
      </w:r>
      <w:r>
        <w:tab/>
        <w:t>The Legal Adviser said that any relevant agreement between ITU and the International Institute for the Unification of Private Law (UNIDROIT) would be carefully worded, and noted that many of the points raised by councillors had already been taken into account. Responding to a comment from one councillor, he said that since the role of Supervisory Authority would be a new one for ITU, it would be appropriate to make any formal ITU agreement limited in duration in order to give PP-22 an opportunity to decide whether or not ITU should continue that activity.</w:t>
      </w:r>
    </w:p>
    <w:p w:rsidR="00B92308" w:rsidRDefault="00B92308" w:rsidP="008475F5">
      <w:pPr>
        <w:tabs>
          <w:tab w:val="clear" w:pos="567"/>
          <w:tab w:val="clear" w:pos="1134"/>
          <w:tab w:val="clear" w:pos="1701"/>
          <w:tab w:val="clear" w:pos="2268"/>
          <w:tab w:val="clear" w:pos="2835"/>
        </w:tabs>
        <w:snapToGrid w:val="0"/>
        <w:spacing w:after="120"/>
      </w:pPr>
      <w:r>
        <w:t>3.8</w:t>
      </w:r>
      <w:r>
        <w:tab/>
        <w:t>With regard to the concerns set out in Document C17/94, the representative of BR said that the regulations in the Space Protocol would be applicable only to those operators wishing to secure financing through the registration process on a voluntary basis. If ITU was the Supervisory Authority, it would be better placed in discussions on a possible future definition of space assets</w:t>
      </w:r>
      <w:r w:rsidR="00305D62" w:rsidRPr="00305D62">
        <w:t xml:space="preserve"> rather than being an outside player which is not welcome in the discussion</w:t>
      </w:r>
      <w:r>
        <w:t xml:space="preserve">. There would be no financial implications should ITU become the Supervisory Authority since the cost of any </w:t>
      </w:r>
      <w:r w:rsidR="00305D62">
        <w:t xml:space="preserve">involved </w:t>
      </w:r>
      <w:r>
        <w:t>staff would be fully recovered.</w:t>
      </w:r>
      <w:r w:rsidR="00305D62" w:rsidRPr="00305D62">
        <w:t xml:space="preserve"> </w:t>
      </w:r>
    </w:p>
    <w:p w:rsidR="00B92308" w:rsidRDefault="00B92308" w:rsidP="00B92308">
      <w:pPr>
        <w:tabs>
          <w:tab w:val="clear" w:pos="567"/>
          <w:tab w:val="clear" w:pos="1134"/>
          <w:tab w:val="clear" w:pos="1701"/>
          <w:tab w:val="clear" w:pos="2268"/>
          <w:tab w:val="clear" w:pos="2835"/>
        </w:tabs>
        <w:snapToGrid w:val="0"/>
        <w:spacing w:after="120"/>
      </w:pPr>
      <w:r>
        <w:t>3.9</w:t>
      </w:r>
      <w:r>
        <w:tab/>
        <w:t xml:space="preserve">The Chairman noted </w:t>
      </w:r>
      <w:r w:rsidR="00305D62">
        <w:t xml:space="preserve">the absence of </w:t>
      </w:r>
      <w:r w:rsidR="00305D62" w:rsidRPr="00305D62">
        <w:t xml:space="preserve">objections of principle to ITU becoming the Supervisory Authority </w:t>
      </w:r>
      <w:r w:rsidR="00305D62">
        <w:t xml:space="preserve">and </w:t>
      </w:r>
      <w:r>
        <w:t>that there was general agreement that the final decision should be taken by PP-18.</w:t>
      </w:r>
    </w:p>
    <w:p w:rsidR="00B92308" w:rsidRPr="0070587A" w:rsidRDefault="00B92308" w:rsidP="00B92308">
      <w:pPr>
        <w:tabs>
          <w:tab w:val="clear" w:pos="567"/>
          <w:tab w:val="clear" w:pos="1134"/>
          <w:tab w:val="clear" w:pos="1701"/>
          <w:tab w:val="clear" w:pos="2268"/>
          <w:tab w:val="clear" w:pos="2835"/>
        </w:tabs>
        <w:snapToGrid w:val="0"/>
        <w:spacing w:after="120"/>
      </w:pPr>
      <w:r>
        <w:t>3.10</w:t>
      </w:r>
      <w:r>
        <w:tab/>
        <w:t xml:space="preserve">The Council </w:t>
      </w:r>
      <w:r>
        <w:rPr>
          <w:b/>
          <w:bCs/>
        </w:rPr>
        <w:t xml:space="preserve">noted </w:t>
      </w:r>
      <w:r>
        <w:t xml:space="preserve">Document C17/36(Rev.1), </w:t>
      </w:r>
      <w:r>
        <w:rPr>
          <w:b/>
          <w:bCs/>
        </w:rPr>
        <w:t xml:space="preserve">authorized </w:t>
      </w:r>
      <w:r>
        <w:t xml:space="preserve">the Secretary-General (or his representative) to continue to participate in the work of the Preparatory Commission and its working groups, and </w:t>
      </w:r>
      <w:r>
        <w:rPr>
          <w:b/>
          <w:bCs/>
        </w:rPr>
        <w:t xml:space="preserve">endorsed </w:t>
      </w:r>
      <w:r>
        <w:t>the conditions set out in paragraphs 4 to 13 of the document for recommendation to PP-18.</w:t>
      </w:r>
    </w:p>
    <w:p w:rsidR="00B92308" w:rsidRPr="00B92308" w:rsidRDefault="00B92308" w:rsidP="00B92308">
      <w:pPr>
        <w:tabs>
          <w:tab w:val="clear" w:pos="567"/>
          <w:tab w:val="clear" w:pos="1134"/>
          <w:tab w:val="clear" w:pos="1701"/>
          <w:tab w:val="clear" w:pos="2268"/>
          <w:tab w:val="clear" w:pos="2835"/>
        </w:tabs>
        <w:snapToGrid w:val="0"/>
        <w:spacing w:before="360" w:after="120"/>
        <w:ind w:left="709" w:hanging="709"/>
        <w:rPr>
          <w:b/>
          <w:bCs/>
          <w:szCs w:val="24"/>
          <w:lang w:val="en-CA"/>
        </w:rPr>
      </w:pPr>
      <w:r w:rsidRPr="00B92308">
        <w:rPr>
          <w:b/>
          <w:bCs/>
          <w:szCs w:val="24"/>
          <w:lang w:val="en-CA"/>
        </w:rPr>
        <w:t>4</w:t>
      </w:r>
      <w:r w:rsidRPr="00B92308">
        <w:rPr>
          <w:b/>
          <w:bCs/>
          <w:szCs w:val="24"/>
          <w:lang w:val="en-CA"/>
        </w:rPr>
        <w:tab/>
      </w:r>
      <w:r w:rsidRPr="00B92308">
        <w:rPr>
          <w:b/>
          <w:bCs/>
          <w:szCs w:val="24"/>
          <w:lang w:val="en-US"/>
        </w:rPr>
        <w:t xml:space="preserve">Draft four-year operational plans for 2018-2021 (continued) (Documents </w:t>
      </w:r>
      <w:hyperlink r:id="rId30" w:history="1">
        <w:r w:rsidRPr="00980F1D">
          <w:rPr>
            <w:rStyle w:val="Hyperlink"/>
            <w:b/>
            <w:bCs/>
            <w:szCs w:val="24"/>
            <w:lang w:val="en-US"/>
          </w:rPr>
          <w:t>C17/28</w:t>
        </w:r>
      </w:hyperlink>
      <w:r w:rsidRPr="00B92308">
        <w:rPr>
          <w:b/>
          <w:bCs/>
          <w:szCs w:val="24"/>
          <w:lang w:val="en-US"/>
        </w:rPr>
        <w:t xml:space="preserve">(Rev.1), </w:t>
      </w:r>
      <w:hyperlink r:id="rId31" w:history="1">
        <w:r w:rsidRPr="00980F1D">
          <w:rPr>
            <w:rStyle w:val="Hyperlink"/>
            <w:b/>
            <w:bCs/>
            <w:szCs w:val="24"/>
            <w:lang w:val="en-US"/>
          </w:rPr>
          <w:t>C17/29</w:t>
        </w:r>
      </w:hyperlink>
      <w:r w:rsidRPr="00B92308">
        <w:rPr>
          <w:b/>
          <w:bCs/>
          <w:szCs w:val="24"/>
          <w:lang w:val="en-US"/>
        </w:rPr>
        <w:t xml:space="preserve">, </w:t>
      </w:r>
      <w:hyperlink r:id="rId32" w:history="1">
        <w:r w:rsidRPr="00980F1D">
          <w:rPr>
            <w:rStyle w:val="Hyperlink"/>
            <w:b/>
            <w:bCs/>
            <w:szCs w:val="24"/>
            <w:lang w:val="en-US"/>
          </w:rPr>
          <w:t>C17/30</w:t>
        </w:r>
      </w:hyperlink>
      <w:r w:rsidRPr="00B92308">
        <w:rPr>
          <w:b/>
          <w:bCs/>
          <w:szCs w:val="24"/>
          <w:lang w:val="en-US"/>
        </w:rPr>
        <w:t xml:space="preserve">(Rev.1), </w:t>
      </w:r>
      <w:hyperlink r:id="rId33" w:history="1">
        <w:r w:rsidRPr="00980F1D">
          <w:rPr>
            <w:rStyle w:val="Hyperlink"/>
            <w:b/>
            <w:bCs/>
            <w:szCs w:val="24"/>
            <w:lang w:val="en-US"/>
          </w:rPr>
          <w:t>C17/31</w:t>
        </w:r>
      </w:hyperlink>
      <w:r w:rsidRPr="00B92308">
        <w:rPr>
          <w:b/>
          <w:bCs/>
          <w:szCs w:val="24"/>
          <w:lang w:val="en-US"/>
        </w:rPr>
        <w:t xml:space="preserve"> and </w:t>
      </w:r>
      <w:hyperlink r:id="rId34" w:history="1">
        <w:r w:rsidRPr="00980F1D">
          <w:rPr>
            <w:rStyle w:val="Hyperlink"/>
            <w:b/>
            <w:bCs/>
            <w:szCs w:val="24"/>
            <w:lang w:val="en-US"/>
          </w:rPr>
          <w:t>C17/32</w:t>
        </w:r>
      </w:hyperlink>
      <w:r w:rsidRPr="00B92308">
        <w:rPr>
          <w:b/>
          <w:bCs/>
          <w:szCs w:val="24"/>
          <w:lang w:val="en-US"/>
        </w:rPr>
        <w:t>)</w:t>
      </w:r>
    </w:p>
    <w:p w:rsidR="00B92308" w:rsidRDefault="00B92308" w:rsidP="00980F1D">
      <w:pPr>
        <w:tabs>
          <w:tab w:val="clear" w:pos="567"/>
          <w:tab w:val="clear" w:pos="1134"/>
          <w:tab w:val="clear" w:pos="1701"/>
          <w:tab w:val="clear" w:pos="2268"/>
          <w:tab w:val="clear" w:pos="2835"/>
        </w:tabs>
        <w:snapToGrid w:val="0"/>
        <w:spacing w:after="120"/>
        <w:rPr>
          <w:szCs w:val="24"/>
          <w:lang w:val="en-CA"/>
        </w:rPr>
      </w:pPr>
      <w:r>
        <w:rPr>
          <w:szCs w:val="24"/>
          <w:lang w:val="en-CA"/>
        </w:rPr>
        <w:t>4.1</w:t>
      </w:r>
      <w:r w:rsidRPr="006156DA">
        <w:rPr>
          <w:szCs w:val="24"/>
          <w:lang w:val="en-CA"/>
        </w:rPr>
        <w:tab/>
      </w:r>
      <w:r>
        <w:rPr>
          <w:szCs w:val="24"/>
          <w:lang w:val="en-CA"/>
        </w:rPr>
        <w:t xml:space="preserve">The Council </w:t>
      </w:r>
      <w:r>
        <w:rPr>
          <w:b/>
          <w:bCs/>
          <w:szCs w:val="24"/>
          <w:lang w:val="en-CA"/>
        </w:rPr>
        <w:t>adopted</w:t>
      </w:r>
      <w:r>
        <w:rPr>
          <w:szCs w:val="24"/>
          <w:lang w:val="en-CA"/>
        </w:rPr>
        <w:t xml:space="preserve"> the resolution set out in Document C17/32 and thus </w:t>
      </w:r>
      <w:r>
        <w:rPr>
          <w:b/>
          <w:bCs/>
          <w:szCs w:val="24"/>
          <w:lang w:val="en-CA"/>
        </w:rPr>
        <w:t xml:space="preserve">approved </w:t>
      </w:r>
      <w:r w:rsidRPr="00D02754">
        <w:rPr>
          <w:szCs w:val="24"/>
          <w:lang w:val="en-CA"/>
        </w:rPr>
        <w:t>the</w:t>
      </w:r>
      <w:r>
        <w:rPr>
          <w:b/>
          <w:bCs/>
          <w:szCs w:val="24"/>
          <w:lang w:val="en-CA"/>
        </w:rPr>
        <w:t xml:space="preserve"> </w:t>
      </w:r>
      <w:r>
        <w:rPr>
          <w:bCs/>
          <w:lang w:val="en-CA"/>
        </w:rPr>
        <w:t xml:space="preserve">draft four-year rolling operational plans for ITU-R, ITU-T, ITU-D and the General Secretariat for 2018-2021 (Documents </w:t>
      </w:r>
      <w:r w:rsidRPr="0038295C">
        <w:rPr>
          <w:bCs/>
          <w:lang w:val="en-CA"/>
        </w:rPr>
        <w:t>C17/28(Rev.1), C17/29, C1</w:t>
      </w:r>
      <w:r>
        <w:rPr>
          <w:bCs/>
          <w:lang w:val="en-CA"/>
        </w:rPr>
        <w:t>7/30(Rev.1) and</w:t>
      </w:r>
      <w:r w:rsidRPr="0038295C">
        <w:rPr>
          <w:bCs/>
          <w:lang w:val="en-CA"/>
        </w:rPr>
        <w:t xml:space="preserve"> C17/31</w:t>
      </w:r>
      <w:r>
        <w:rPr>
          <w:bCs/>
          <w:lang w:val="en-CA"/>
        </w:rPr>
        <w:t>), on the understanding that the plans for ITU-R and ITU-T would be revised in line with the discussions of the Standing Committee on Administration and Management.</w:t>
      </w:r>
    </w:p>
    <w:p w:rsidR="00B92308" w:rsidRPr="00AA7CC4" w:rsidRDefault="00B92308" w:rsidP="00B92308">
      <w:pPr>
        <w:tabs>
          <w:tab w:val="clear" w:pos="567"/>
          <w:tab w:val="clear" w:pos="1134"/>
          <w:tab w:val="clear" w:pos="1701"/>
          <w:tab w:val="clear" w:pos="2268"/>
          <w:tab w:val="clear" w:pos="2835"/>
        </w:tabs>
        <w:snapToGrid w:val="0"/>
        <w:spacing w:before="360" w:after="120"/>
        <w:ind w:left="709" w:hanging="709"/>
        <w:rPr>
          <w:b/>
          <w:bCs/>
          <w:szCs w:val="24"/>
          <w:lang w:val="en-CA"/>
        </w:rPr>
      </w:pPr>
      <w:r w:rsidRPr="00AA7CC4">
        <w:rPr>
          <w:b/>
          <w:bCs/>
          <w:lang w:val="en-CA"/>
        </w:rPr>
        <w:t>5</w:t>
      </w:r>
      <w:r w:rsidRPr="00AA7CC4">
        <w:rPr>
          <w:b/>
          <w:bCs/>
          <w:lang w:val="en-CA"/>
        </w:rPr>
        <w:tab/>
        <w:t>Conformance and interoperability</w:t>
      </w:r>
      <w:r w:rsidR="00980F1D">
        <w:rPr>
          <w:b/>
          <w:bCs/>
          <w:lang w:val="en-CA"/>
        </w:rPr>
        <w:t xml:space="preserve"> (C&amp;I)</w:t>
      </w:r>
      <w:r w:rsidRPr="00AA7CC4">
        <w:rPr>
          <w:b/>
          <w:bCs/>
          <w:lang w:val="en-CA"/>
        </w:rPr>
        <w:t xml:space="preserve"> programme - status report and action plan </w:t>
      </w:r>
      <w:r>
        <w:rPr>
          <w:b/>
          <w:bCs/>
          <w:lang w:val="en-CA"/>
        </w:rPr>
        <w:br/>
      </w:r>
      <w:r w:rsidRPr="00AA7CC4">
        <w:rPr>
          <w:b/>
          <w:bCs/>
          <w:lang w:val="en-CA"/>
        </w:rPr>
        <w:t xml:space="preserve">(Document </w:t>
      </w:r>
      <w:hyperlink r:id="rId35" w:history="1">
        <w:r w:rsidRPr="00980F1D">
          <w:rPr>
            <w:rStyle w:val="Hyperlink"/>
            <w:b/>
            <w:bCs/>
            <w:lang w:val="en-CA"/>
          </w:rPr>
          <w:t>C17/24</w:t>
        </w:r>
      </w:hyperlink>
      <w:r w:rsidRPr="00AA7CC4">
        <w:rPr>
          <w:b/>
          <w:bCs/>
          <w:lang w:val="en-CA"/>
        </w:rPr>
        <w:t>)</w:t>
      </w:r>
    </w:p>
    <w:p w:rsidR="00B92308" w:rsidRDefault="00347EDF" w:rsidP="00B92308">
      <w:pPr>
        <w:tabs>
          <w:tab w:val="clear" w:pos="567"/>
          <w:tab w:val="clear" w:pos="1134"/>
          <w:tab w:val="clear" w:pos="1701"/>
          <w:tab w:val="clear" w:pos="2268"/>
          <w:tab w:val="clear" w:pos="2835"/>
        </w:tabs>
        <w:snapToGrid w:val="0"/>
        <w:spacing w:after="120"/>
      </w:pPr>
      <w:r>
        <w:t>5.1</w:t>
      </w:r>
      <w:r w:rsidR="00B92308">
        <w:tab/>
        <w:t>The representative of TSB introduced Document C17/24, which contained an update on activities under the four pillars of the ITU C&amp;I Action Plan: (1) conformity assessment, (2) interoperability events, (3) capacity building and (4) assistance in the establishment of test centres and C&amp;I programmes in developing countries.</w:t>
      </w:r>
    </w:p>
    <w:p w:rsidR="00B92308" w:rsidRDefault="00347EDF" w:rsidP="00B92308">
      <w:pPr>
        <w:tabs>
          <w:tab w:val="clear" w:pos="567"/>
          <w:tab w:val="clear" w:pos="1134"/>
          <w:tab w:val="clear" w:pos="1701"/>
          <w:tab w:val="clear" w:pos="2268"/>
          <w:tab w:val="clear" w:pos="2835"/>
        </w:tabs>
        <w:snapToGrid w:val="0"/>
        <w:spacing w:after="120"/>
      </w:pPr>
      <w:r>
        <w:t>5.2</w:t>
      </w:r>
      <w:r w:rsidR="00B92308">
        <w:tab/>
        <w:t>Several councillors expressed support for the activities described in the document, with the white list of best hands-free performers and capacity-building activities under pillar 3 being specifically mentioned.</w:t>
      </w:r>
    </w:p>
    <w:p w:rsidR="00B92308" w:rsidRDefault="00347EDF" w:rsidP="00E43CD1">
      <w:pPr>
        <w:tabs>
          <w:tab w:val="clear" w:pos="567"/>
          <w:tab w:val="clear" w:pos="1134"/>
          <w:tab w:val="clear" w:pos="1701"/>
          <w:tab w:val="clear" w:pos="2268"/>
          <w:tab w:val="clear" w:pos="2835"/>
        </w:tabs>
        <w:snapToGrid w:val="0"/>
        <w:spacing w:after="120"/>
      </w:pPr>
      <w:r>
        <w:t>5.3</w:t>
      </w:r>
      <w:r w:rsidR="00B92308">
        <w:tab/>
        <w:t xml:space="preserve">One councillor, concerned that the term "white list" could be misinterpreted to mean that the devices listed were permitted for use on networks or motor vehicles, suggested that it would be preferable to use "list of devices meeting ITU Recommendations". She also pointed out that the </w:t>
      </w:r>
      <w:r w:rsidR="00B92308">
        <w:lastRenderedPageBreak/>
        <w:t xml:space="preserve">use of an ITU logo for hands-free terminal displays could </w:t>
      </w:r>
      <w:r w:rsidR="00E43CD1">
        <w:t xml:space="preserve">be misinterpreted as an </w:t>
      </w:r>
      <w:r w:rsidR="00B92308">
        <w:t xml:space="preserve">ITU endorsement of the device or automobile manufacturer concerned; such logos should be discontinued. Another councillor, while not wishing to suggest that the use of intergovernmental organization logos should be categorically refused, said that the matter merited further thought. A third councillor said that the Director of ITU-T should continue to study the issue on the basis of plenipotentiary and WTSA resolutions. Another councillor, noting the crucial nature of the "safety of life" issues being considered by ITU-T Study Group 11, said that such logos were a source of assurance for users. </w:t>
      </w:r>
    </w:p>
    <w:p w:rsidR="00B92308" w:rsidRDefault="00B92308" w:rsidP="00B92308">
      <w:pPr>
        <w:tabs>
          <w:tab w:val="clear" w:pos="567"/>
          <w:tab w:val="clear" w:pos="1134"/>
          <w:tab w:val="clear" w:pos="1701"/>
          <w:tab w:val="clear" w:pos="2268"/>
          <w:tab w:val="clear" w:pos="2835"/>
        </w:tabs>
        <w:snapToGrid w:val="0"/>
        <w:spacing w:after="120"/>
      </w:pPr>
      <w:r>
        <w:t>5.4</w:t>
      </w:r>
      <w:r>
        <w:tab/>
        <w:t>The councillor from Algeria, noting the lack of telecommunication research centres in Africa, proposed that such a centre be established in his country, with ITU support.</w:t>
      </w:r>
    </w:p>
    <w:p w:rsidR="00B92308" w:rsidRDefault="00B92308" w:rsidP="00B92308">
      <w:pPr>
        <w:tabs>
          <w:tab w:val="clear" w:pos="567"/>
          <w:tab w:val="clear" w:pos="1134"/>
          <w:tab w:val="clear" w:pos="1701"/>
          <w:tab w:val="clear" w:pos="2268"/>
          <w:tab w:val="clear" w:pos="2835"/>
        </w:tabs>
        <w:snapToGrid w:val="0"/>
        <w:spacing w:after="120"/>
      </w:pPr>
      <w:r>
        <w:t>5.5</w:t>
      </w:r>
      <w:r>
        <w:tab/>
        <w:t>The councillor from Ghana said that the test centre established under pillar 4 in his country had the potential to serve all of West Africa and the continent as a whole.</w:t>
      </w:r>
    </w:p>
    <w:p w:rsidR="00B92308" w:rsidRDefault="00B92308" w:rsidP="00B92308">
      <w:pPr>
        <w:tabs>
          <w:tab w:val="clear" w:pos="567"/>
          <w:tab w:val="clear" w:pos="1134"/>
          <w:tab w:val="clear" w:pos="1701"/>
          <w:tab w:val="clear" w:pos="2268"/>
          <w:tab w:val="clear" w:pos="2835"/>
        </w:tabs>
        <w:snapToGrid w:val="0"/>
        <w:spacing w:after="120"/>
      </w:pPr>
      <w:r>
        <w:t>5.6</w:t>
      </w:r>
      <w:r>
        <w:tab/>
        <w:t xml:space="preserve">The councillor from Venezuela said that her country was willing to make its </w:t>
      </w:r>
      <w:proofErr w:type="gramStart"/>
      <w:r>
        <w:t>C&amp;I</w:t>
      </w:r>
      <w:proofErr w:type="gramEnd"/>
      <w:r>
        <w:t xml:space="preserve"> infrastructure available to all ITU members with a view to establishing cooperation agreements.</w:t>
      </w:r>
    </w:p>
    <w:p w:rsidR="00B92308" w:rsidRDefault="00B92308" w:rsidP="00B92308">
      <w:pPr>
        <w:tabs>
          <w:tab w:val="clear" w:pos="567"/>
          <w:tab w:val="clear" w:pos="1134"/>
          <w:tab w:val="clear" w:pos="1701"/>
          <w:tab w:val="clear" w:pos="2268"/>
          <w:tab w:val="clear" w:pos="2835"/>
        </w:tabs>
        <w:snapToGrid w:val="0"/>
        <w:spacing w:after="120"/>
      </w:pPr>
      <w:r>
        <w:t>5.7</w:t>
      </w:r>
      <w:r>
        <w:tab/>
      </w:r>
      <w:r w:rsidRPr="00347EDF">
        <w:rPr>
          <w:spacing w:val="-2"/>
        </w:rPr>
        <w:t xml:space="preserve">One councillor, referring to Resolution 44 (WTSA-12) and Resolution 177 (Rev. Busan, 2014), </w:t>
      </w:r>
      <w:r>
        <w:t xml:space="preserve">noted that, while pillar 3 was being carried out, pillar 4 was not. He encouraged ITU to fully operationalize the programme. </w:t>
      </w:r>
    </w:p>
    <w:p w:rsidR="00B92308" w:rsidRDefault="00B92308" w:rsidP="00B92308">
      <w:pPr>
        <w:tabs>
          <w:tab w:val="clear" w:pos="567"/>
          <w:tab w:val="clear" w:pos="1134"/>
          <w:tab w:val="clear" w:pos="1701"/>
          <w:tab w:val="clear" w:pos="2268"/>
          <w:tab w:val="clear" w:pos="2835"/>
        </w:tabs>
        <w:snapToGrid w:val="0"/>
        <w:spacing w:after="120"/>
      </w:pPr>
      <w:r>
        <w:t>5.8</w:t>
      </w:r>
      <w:r>
        <w:tab/>
        <w:t>The representative of TSB said that he took note of the comments made in order to guide ITU-T’s implementation of the C&amp;I Action Plan, particularly regarding pillar 4 activities and the use of the term "white list". Regarding logos, a recent ITU-T Study Group 11 roundtable had revealed that there was a market demand for some sort of logo regarding "safety of life". Study Group 12 had issued Recommendations in that respect, which Stu</w:t>
      </w:r>
      <w:r w:rsidR="00347EDF">
        <w:t>dy Group 11 had then worked on.</w:t>
      </w:r>
    </w:p>
    <w:p w:rsidR="00B92308" w:rsidRDefault="00B92308" w:rsidP="00B92308">
      <w:pPr>
        <w:tabs>
          <w:tab w:val="clear" w:pos="567"/>
          <w:tab w:val="clear" w:pos="1134"/>
          <w:tab w:val="clear" w:pos="1701"/>
          <w:tab w:val="clear" w:pos="2268"/>
          <w:tab w:val="clear" w:pos="2835"/>
        </w:tabs>
        <w:snapToGrid w:val="0"/>
        <w:spacing w:after="120"/>
      </w:pPr>
      <w:r>
        <w:t>5.9</w:t>
      </w:r>
      <w:r>
        <w:tab/>
        <w:t xml:space="preserve">The Council </w:t>
      </w:r>
      <w:r w:rsidRPr="00204EFF">
        <w:rPr>
          <w:b/>
          <w:bCs/>
        </w:rPr>
        <w:t>noted</w:t>
      </w:r>
      <w:r>
        <w:t xml:space="preserve"> Document C17/24.</w:t>
      </w:r>
    </w:p>
    <w:p w:rsidR="00B92308" w:rsidRPr="00AA7CC4" w:rsidRDefault="00B92308" w:rsidP="00347EDF">
      <w:pPr>
        <w:tabs>
          <w:tab w:val="clear" w:pos="567"/>
          <w:tab w:val="clear" w:pos="1134"/>
          <w:tab w:val="clear" w:pos="1701"/>
          <w:tab w:val="clear" w:pos="2268"/>
          <w:tab w:val="clear" w:pos="2835"/>
        </w:tabs>
        <w:snapToGrid w:val="0"/>
        <w:spacing w:before="320" w:after="120"/>
        <w:ind w:left="709" w:hanging="709"/>
        <w:rPr>
          <w:b/>
          <w:bCs/>
          <w:lang w:val="en-CA"/>
        </w:rPr>
      </w:pPr>
      <w:r w:rsidRPr="00AA7CC4">
        <w:rPr>
          <w:b/>
          <w:bCs/>
          <w:lang w:val="en-CA"/>
        </w:rPr>
        <w:t>6</w:t>
      </w:r>
      <w:r w:rsidRPr="00AA7CC4">
        <w:rPr>
          <w:b/>
          <w:bCs/>
          <w:lang w:val="en-CA"/>
        </w:rPr>
        <w:tab/>
        <w:t xml:space="preserve">Facilitating the Internet of Things to prepare for a globally connected world </w:t>
      </w:r>
      <w:r>
        <w:rPr>
          <w:b/>
          <w:bCs/>
          <w:lang w:val="en-CA"/>
        </w:rPr>
        <w:br/>
      </w:r>
      <w:r w:rsidRPr="00AA7CC4">
        <w:rPr>
          <w:b/>
          <w:bCs/>
          <w:lang w:val="en-CA"/>
        </w:rPr>
        <w:t xml:space="preserve">(Document </w:t>
      </w:r>
      <w:hyperlink r:id="rId36" w:history="1">
        <w:r w:rsidRPr="00980F1D">
          <w:rPr>
            <w:rStyle w:val="Hyperlink"/>
            <w:b/>
            <w:bCs/>
            <w:lang w:val="en-CA"/>
          </w:rPr>
          <w:t>C17/23</w:t>
        </w:r>
      </w:hyperlink>
      <w:r w:rsidRPr="00AA7CC4">
        <w:rPr>
          <w:b/>
          <w:bCs/>
          <w:lang w:val="en-CA"/>
        </w:rPr>
        <w:t>)</w:t>
      </w:r>
    </w:p>
    <w:p w:rsidR="00B92308" w:rsidRDefault="00347EDF" w:rsidP="00B92308">
      <w:pPr>
        <w:tabs>
          <w:tab w:val="clear" w:pos="567"/>
          <w:tab w:val="clear" w:pos="1134"/>
          <w:tab w:val="clear" w:pos="1701"/>
          <w:tab w:val="clear" w:pos="2268"/>
          <w:tab w:val="clear" w:pos="2835"/>
        </w:tabs>
        <w:snapToGrid w:val="0"/>
        <w:spacing w:after="120"/>
      </w:pPr>
      <w:r>
        <w:rPr>
          <w:szCs w:val="24"/>
          <w:lang w:val="en-CA"/>
        </w:rPr>
        <w:t>6.1</w:t>
      </w:r>
      <w:r w:rsidR="00B92308">
        <w:rPr>
          <w:szCs w:val="24"/>
          <w:lang w:val="en-CA"/>
        </w:rPr>
        <w:tab/>
        <w:t xml:space="preserve">The </w:t>
      </w:r>
      <w:r w:rsidR="00B92308">
        <w:t>representative of TSB introduced Document C17/23, which reported on ITU activities pursuant to Resolution 197 (Busan, 2014).</w:t>
      </w:r>
    </w:p>
    <w:p w:rsidR="00B92308" w:rsidRDefault="00347EDF" w:rsidP="00B92308">
      <w:pPr>
        <w:tabs>
          <w:tab w:val="clear" w:pos="567"/>
          <w:tab w:val="clear" w:pos="1134"/>
          <w:tab w:val="clear" w:pos="1701"/>
          <w:tab w:val="clear" w:pos="2268"/>
          <w:tab w:val="clear" w:pos="2835"/>
        </w:tabs>
        <w:snapToGrid w:val="0"/>
        <w:spacing w:after="120"/>
      </w:pPr>
      <w:r>
        <w:t>6.2</w:t>
      </w:r>
      <w:r w:rsidR="00B92308">
        <w:tab/>
        <w:t>The councillor from Spain informed councillors of the exact dates of the World Smart City Forum to be held in Barcelona: 11 to 16 November 2017.</w:t>
      </w:r>
    </w:p>
    <w:p w:rsidR="00B92308" w:rsidRDefault="00347EDF" w:rsidP="00B92308">
      <w:pPr>
        <w:tabs>
          <w:tab w:val="clear" w:pos="567"/>
          <w:tab w:val="clear" w:pos="1134"/>
          <w:tab w:val="clear" w:pos="1701"/>
          <w:tab w:val="clear" w:pos="2268"/>
          <w:tab w:val="clear" w:pos="2835"/>
        </w:tabs>
        <w:snapToGrid w:val="0"/>
        <w:spacing w:after="120"/>
      </w:pPr>
      <w:r>
        <w:t>6.3</w:t>
      </w:r>
      <w:r w:rsidR="00B92308">
        <w:tab/>
        <w:t>One councillor asked that future reports specify the topics being studied by ITU-R; another stressed that developing countries needed ITU capacity-building support in the form of training at ITU centres of excellence worldwide and for the adaptation of relevant regulations; a third councillor recommended that ITU enhance its cooperation with the private sector.</w:t>
      </w:r>
    </w:p>
    <w:p w:rsidR="00B92308" w:rsidRDefault="00347EDF" w:rsidP="00B92308">
      <w:pPr>
        <w:tabs>
          <w:tab w:val="clear" w:pos="567"/>
          <w:tab w:val="clear" w:pos="1134"/>
          <w:tab w:val="clear" w:pos="1701"/>
          <w:tab w:val="clear" w:pos="2268"/>
          <w:tab w:val="clear" w:pos="2835"/>
        </w:tabs>
        <w:snapToGrid w:val="0"/>
        <w:spacing w:after="120"/>
      </w:pPr>
      <w:r>
        <w:t>6.4</w:t>
      </w:r>
      <w:r w:rsidR="00B92308">
        <w:tab/>
        <w:t xml:space="preserve">The Council </w:t>
      </w:r>
      <w:r w:rsidR="00B92308" w:rsidRPr="00204EFF">
        <w:rPr>
          <w:b/>
          <w:bCs/>
        </w:rPr>
        <w:t>noted</w:t>
      </w:r>
      <w:r w:rsidR="00B92308">
        <w:t xml:space="preserve"> Document C17/23.</w:t>
      </w:r>
    </w:p>
    <w:p w:rsidR="00B92308" w:rsidRDefault="00347EDF" w:rsidP="00347EDF">
      <w:pPr>
        <w:tabs>
          <w:tab w:val="clear" w:pos="567"/>
          <w:tab w:val="clear" w:pos="1134"/>
          <w:tab w:val="clear" w:pos="1701"/>
          <w:tab w:val="clear" w:pos="2268"/>
          <w:tab w:val="clear" w:pos="2835"/>
        </w:tabs>
        <w:snapToGrid w:val="0"/>
        <w:spacing w:before="320" w:after="120"/>
      </w:pPr>
      <w:r>
        <w:rPr>
          <w:b/>
          <w:bCs/>
          <w:lang w:val="en-CA"/>
        </w:rPr>
        <w:t>7</w:t>
      </w:r>
      <w:r w:rsidR="00B92308">
        <w:rPr>
          <w:b/>
          <w:bCs/>
          <w:lang w:val="en-CA"/>
        </w:rPr>
        <w:tab/>
        <w:t>Digital financial s</w:t>
      </w:r>
      <w:r w:rsidR="00B92308" w:rsidRPr="00AA7CC4">
        <w:rPr>
          <w:b/>
          <w:bCs/>
          <w:lang w:val="en-CA"/>
        </w:rPr>
        <w:t xml:space="preserve">ervices (Document </w:t>
      </w:r>
      <w:hyperlink r:id="rId37" w:history="1">
        <w:r w:rsidR="00B92308" w:rsidRPr="00980F1D">
          <w:rPr>
            <w:rStyle w:val="Hyperlink"/>
            <w:b/>
            <w:bCs/>
            <w:lang w:val="en-CA"/>
          </w:rPr>
          <w:t>C17/68</w:t>
        </w:r>
      </w:hyperlink>
      <w:r w:rsidR="00B92308" w:rsidRPr="00AA7CC4">
        <w:rPr>
          <w:b/>
          <w:bCs/>
          <w:lang w:val="en-CA"/>
        </w:rPr>
        <w:t>)</w:t>
      </w:r>
    </w:p>
    <w:p w:rsidR="00B92308" w:rsidRDefault="00347EDF" w:rsidP="00B92308">
      <w:pPr>
        <w:tabs>
          <w:tab w:val="clear" w:pos="567"/>
          <w:tab w:val="clear" w:pos="1134"/>
          <w:tab w:val="clear" w:pos="1701"/>
          <w:tab w:val="clear" w:pos="2268"/>
          <w:tab w:val="clear" w:pos="2835"/>
        </w:tabs>
        <w:snapToGrid w:val="0"/>
        <w:spacing w:after="120"/>
      </w:pPr>
      <w:r>
        <w:rPr>
          <w:szCs w:val="24"/>
          <w:lang w:val="en-CA"/>
        </w:rPr>
        <w:t>7.1</w:t>
      </w:r>
      <w:r w:rsidR="00B92308">
        <w:rPr>
          <w:szCs w:val="24"/>
          <w:lang w:val="en-CA"/>
        </w:rPr>
        <w:tab/>
        <w:t xml:space="preserve">The </w:t>
      </w:r>
      <w:r w:rsidR="00B92308">
        <w:t>representative of TSB introduced Document C17/68, which had been prepared in line with WTSA-16 Resolution 89.</w:t>
      </w:r>
    </w:p>
    <w:p w:rsidR="00B92308" w:rsidRDefault="00347EDF" w:rsidP="00B92308">
      <w:pPr>
        <w:tabs>
          <w:tab w:val="clear" w:pos="567"/>
          <w:tab w:val="clear" w:pos="1134"/>
          <w:tab w:val="clear" w:pos="1701"/>
          <w:tab w:val="clear" w:pos="2268"/>
          <w:tab w:val="clear" w:pos="2835"/>
        </w:tabs>
        <w:snapToGrid w:val="0"/>
        <w:spacing w:after="120"/>
      </w:pPr>
      <w:r>
        <w:t>7.2</w:t>
      </w:r>
      <w:r w:rsidR="00B92308">
        <w:tab/>
        <w:t xml:space="preserve">One councillor, noting the importance of cooperation on digital financial services, including to stop illegal transactions, urged the secretariat to work more closely with Member States on matters relating to the digital economy, particularly in terms of exchanging information and </w:t>
      </w:r>
      <w:r w:rsidR="00B92308">
        <w:lastRenderedPageBreak/>
        <w:t>reinforcing infrastructure. Another councillor urged ITU-T and ITU-D to continue bridging divides in the digital economy.</w:t>
      </w:r>
    </w:p>
    <w:p w:rsidR="00B92308" w:rsidRDefault="00B92308" w:rsidP="00347EDF">
      <w:pPr>
        <w:tabs>
          <w:tab w:val="clear" w:pos="567"/>
          <w:tab w:val="clear" w:pos="1134"/>
          <w:tab w:val="clear" w:pos="1701"/>
          <w:tab w:val="clear" w:pos="2268"/>
          <w:tab w:val="clear" w:pos="2835"/>
        </w:tabs>
        <w:snapToGrid w:val="0"/>
        <w:spacing w:after="120"/>
      </w:pPr>
      <w:r>
        <w:t>7.3</w:t>
      </w:r>
      <w:r>
        <w:tab/>
        <w:t xml:space="preserve">The Council </w:t>
      </w:r>
      <w:r w:rsidRPr="00204EFF">
        <w:rPr>
          <w:b/>
          <w:bCs/>
        </w:rPr>
        <w:t>noted</w:t>
      </w:r>
      <w:r>
        <w:t xml:space="preserve"> Document C17/68.</w:t>
      </w:r>
    </w:p>
    <w:p w:rsidR="00B92308" w:rsidRPr="00AA7CC4" w:rsidRDefault="00347EDF" w:rsidP="00347EDF">
      <w:pPr>
        <w:tabs>
          <w:tab w:val="clear" w:pos="567"/>
          <w:tab w:val="clear" w:pos="1134"/>
          <w:tab w:val="clear" w:pos="1701"/>
          <w:tab w:val="clear" w:pos="2268"/>
          <w:tab w:val="clear" w:pos="2835"/>
        </w:tabs>
        <w:snapToGrid w:val="0"/>
        <w:spacing w:before="360" w:after="120"/>
        <w:ind w:left="709" w:hanging="709"/>
        <w:rPr>
          <w:b/>
          <w:bCs/>
          <w:lang w:val="en-CA"/>
        </w:rPr>
      </w:pPr>
      <w:r>
        <w:rPr>
          <w:b/>
          <w:bCs/>
          <w:lang w:val="en-CA"/>
        </w:rPr>
        <w:t>8</w:t>
      </w:r>
      <w:r w:rsidR="00B92308" w:rsidRPr="00AA7CC4">
        <w:rPr>
          <w:b/>
          <w:bCs/>
          <w:lang w:val="en-CA"/>
        </w:rPr>
        <w:tab/>
        <w:t xml:space="preserve">Effectiveness of regional groups for bridging the standardization gap (Document </w:t>
      </w:r>
      <w:hyperlink r:id="rId38" w:history="1">
        <w:r w:rsidR="00B92308" w:rsidRPr="00980F1D">
          <w:rPr>
            <w:rStyle w:val="Hyperlink"/>
            <w:b/>
            <w:bCs/>
            <w:lang w:val="en-CA"/>
          </w:rPr>
          <w:t>C17/72</w:t>
        </w:r>
      </w:hyperlink>
      <w:r w:rsidR="00B92308" w:rsidRPr="00AA7CC4">
        <w:rPr>
          <w:b/>
          <w:bCs/>
          <w:lang w:val="en-CA"/>
        </w:rPr>
        <w:t>)</w:t>
      </w:r>
    </w:p>
    <w:p w:rsidR="00B92308" w:rsidRDefault="00B92308" w:rsidP="00347EDF">
      <w:pPr>
        <w:tabs>
          <w:tab w:val="clear" w:pos="567"/>
          <w:tab w:val="clear" w:pos="1134"/>
          <w:tab w:val="clear" w:pos="1701"/>
          <w:tab w:val="clear" w:pos="2268"/>
          <w:tab w:val="clear" w:pos="2835"/>
        </w:tabs>
        <w:snapToGrid w:val="0"/>
        <w:spacing w:after="120"/>
      </w:pPr>
      <w:r>
        <w:rPr>
          <w:szCs w:val="24"/>
          <w:lang w:val="en-CA"/>
        </w:rPr>
        <w:t>8.1</w:t>
      </w:r>
      <w:r>
        <w:rPr>
          <w:szCs w:val="24"/>
          <w:lang w:val="en-CA"/>
        </w:rPr>
        <w:tab/>
        <w:t xml:space="preserve">The </w:t>
      </w:r>
      <w:r>
        <w:t>representative of TSB introduced Document C17/72, which reported on the effectiveness of regional groups pursuant to the instructions given in WTSA-16 Resolution 44.</w:t>
      </w:r>
    </w:p>
    <w:p w:rsidR="00B92308" w:rsidRDefault="00347EDF" w:rsidP="00B92308">
      <w:pPr>
        <w:tabs>
          <w:tab w:val="clear" w:pos="567"/>
          <w:tab w:val="clear" w:pos="1134"/>
          <w:tab w:val="clear" w:pos="1701"/>
          <w:tab w:val="clear" w:pos="2268"/>
          <w:tab w:val="clear" w:pos="2835"/>
        </w:tabs>
        <w:snapToGrid w:val="0"/>
        <w:spacing w:after="120"/>
      </w:pPr>
      <w:r>
        <w:t>8.2</w:t>
      </w:r>
      <w:r w:rsidR="00B92308">
        <w:tab/>
        <w:t>Several councillors encouraged ITU-T to continue supporting regional study groups, which played an important part in bridging the gap between developing and developed countries and in which a growing number of experts were participating. One suggested that information on seminars could be improved, for example via publications distributed to all Member States.</w:t>
      </w:r>
    </w:p>
    <w:p w:rsidR="00B92308" w:rsidRDefault="00347EDF" w:rsidP="00B92308">
      <w:pPr>
        <w:tabs>
          <w:tab w:val="clear" w:pos="567"/>
          <w:tab w:val="clear" w:pos="1134"/>
          <w:tab w:val="clear" w:pos="1701"/>
          <w:tab w:val="clear" w:pos="2268"/>
          <w:tab w:val="clear" w:pos="2835"/>
        </w:tabs>
        <w:snapToGrid w:val="0"/>
        <w:spacing w:after="120"/>
      </w:pPr>
      <w:r>
        <w:t>8.3</w:t>
      </w:r>
      <w:r w:rsidR="00B92308">
        <w:tab/>
        <w:t>One councillor expressed concern at the proliferation of regional groups. The decision by a few countries to establish such a group could affect an entire region and undermine the regional organization. A mechanism should be established whereby the support of the regional organization was required to create a new regional group. That point of view was endorsed by other councillors, one of whom drew attention to Document C17/97; she said that regional groups should be open to all ITU members. Two councillors emphasized the need for coordination with regional organizations, so as to avoid duplication of work.</w:t>
      </w:r>
    </w:p>
    <w:p w:rsidR="00B92308" w:rsidRDefault="00B92308" w:rsidP="00B92308">
      <w:pPr>
        <w:tabs>
          <w:tab w:val="clear" w:pos="567"/>
          <w:tab w:val="clear" w:pos="1134"/>
          <w:tab w:val="clear" w:pos="1701"/>
          <w:tab w:val="clear" w:pos="2268"/>
          <w:tab w:val="clear" w:pos="2835"/>
        </w:tabs>
        <w:snapToGrid w:val="0"/>
        <w:spacing w:after="120"/>
      </w:pPr>
      <w:r>
        <w:t>8.4</w:t>
      </w:r>
      <w:r>
        <w:tab/>
        <w:t>Another councillor, recalling that the issue of participation in regional groups had been often discussed and never resolved, reminded councillors that study group chairmen could invite experts to participate.</w:t>
      </w:r>
      <w:r w:rsidR="00347EDF">
        <w:t xml:space="preserve"> </w:t>
      </w:r>
      <w:r>
        <w:t>Other councillors endorsed that point of view. Two, pointing out that some countries were not members of regional organizations, stressed the importance of creating open, universal spaces in which technical discussion could be held at regional level.</w:t>
      </w:r>
    </w:p>
    <w:p w:rsidR="00B92308" w:rsidRDefault="00B92308" w:rsidP="00B92308">
      <w:pPr>
        <w:tabs>
          <w:tab w:val="clear" w:pos="567"/>
          <w:tab w:val="clear" w:pos="1134"/>
          <w:tab w:val="clear" w:pos="1701"/>
          <w:tab w:val="clear" w:pos="2268"/>
          <w:tab w:val="clear" w:pos="2835"/>
        </w:tabs>
        <w:snapToGrid w:val="0"/>
        <w:spacing w:after="120"/>
      </w:pPr>
      <w:r>
        <w:t>8.5</w:t>
      </w:r>
      <w:r>
        <w:tab/>
      </w:r>
      <w:r w:rsidRPr="00347EDF">
        <w:rPr>
          <w:spacing w:val="2"/>
          <w:szCs w:val="24"/>
          <w:lang w:val="en-CA"/>
        </w:rPr>
        <w:t xml:space="preserve">The </w:t>
      </w:r>
      <w:r w:rsidRPr="00347EDF">
        <w:rPr>
          <w:spacing w:val="2"/>
        </w:rPr>
        <w:t>representative of TSB said that the creation of regional groups was governed by</w:t>
      </w:r>
      <w:r>
        <w:t xml:space="preserve"> WTSA-16 Resolution 54, and participation in such groups by WTSA-16 Resolution 1. He confirmed that study group chairmen could at all times invite experts who were not from the region's Member States to participate in the work of a regional group.</w:t>
      </w:r>
    </w:p>
    <w:p w:rsidR="00B92308" w:rsidRDefault="00B92308" w:rsidP="00B92308">
      <w:pPr>
        <w:tabs>
          <w:tab w:val="clear" w:pos="567"/>
          <w:tab w:val="clear" w:pos="1134"/>
          <w:tab w:val="clear" w:pos="1701"/>
          <w:tab w:val="clear" w:pos="2268"/>
          <w:tab w:val="clear" w:pos="2835"/>
        </w:tabs>
        <w:snapToGrid w:val="0"/>
        <w:spacing w:after="120"/>
      </w:pPr>
      <w:r>
        <w:t>8.6</w:t>
      </w:r>
      <w:r>
        <w:tab/>
        <w:t xml:space="preserve">The Council </w:t>
      </w:r>
      <w:r w:rsidRPr="00204EFF">
        <w:rPr>
          <w:b/>
          <w:bCs/>
        </w:rPr>
        <w:t>noted</w:t>
      </w:r>
      <w:r>
        <w:t xml:space="preserve"> Document C17/72.</w:t>
      </w:r>
    </w:p>
    <w:p w:rsidR="00B92308" w:rsidRPr="00AA7CC4" w:rsidRDefault="00347EDF" w:rsidP="00347EDF">
      <w:pPr>
        <w:tabs>
          <w:tab w:val="clear" w:pos="567"/>
          <w:tab w:val="clear" w:pos="1134"/>
          <w:tab w:val="clear" w:pos="1701"/>
          <w:tab w:val="clear" w:pos="2268"/>
          <w:tab w:val="clear" w:pos="2835"/>
        </w:tabs>
        <w:snapToGrid w:val="0"/>
        <w:spacing w:before="320" w:after="120"/>
        <w:rPr>
          <w:b/>
          <w:bCs/>
          <w:lang w:val="en-CA"/>
        </w:rPr>
      </w:pPr>
      <w:r>
        <w:rPr>
          <w:b/>
          <w:bCs/>
          <w:lang w:val="en-CA"/>
        </w:rPr>
        <w:t>9</w:t>
      </w:r>
      <w:r w:rsidR="00B92308" w:rsidRPr="00AA7CC4">
        <w:rPr>
          <w:b/>
          <w:bCs/>
          <w:lang w:val="en-CA"/>
        </w:rPr>
        <w:tab/>
        <w:t xml:space="preserve">Report of the Council Working Group on Languages </w:t>
      </w:r>
      <w:r w:rsidR="00B92308">
        <w:rPr>
          <w:b/>
          <w:bCs/>
          <w:lang w:val="en-CA"/>
        </w:rPr>
        <w:t xml:space="preserve">(continued) </w:t>
      </w:r>
      <w:r w:rsidR="00B92308" w:rsidRPr="00AA7CC4">
        <w:rPr>
          <w:b/>
          <w:bCs/>
          <w:lang w:val="en-CA"/>
        </w:rPr>
        <w:t xml:space="preserve">(Document </w:t>
      </w:r>
      <w:hyperlink r:id="rId39" w:history="1">
        <w:r w:rsidR="00B92308" w:rsidRPr="00980F1D">
          <w:rPr>
            <w:rStyle w:val="Hyperlink"/>
            <w:b/>
            <w:bCs/>
            <w:lang w:val="en-CA"/>
          </w:rPr>
          <w:t>C17/DT/4</w:t>
        </w:r>
      </w:hyperlink>
      <w:r w:rsidR="00B92308" w:rsidRPr="00AA7CC4">
        <w:rPr>
          <w:b/>
          <w:bCs/>
          <w:lang w:val="en-CA"/>
        </w:rPr>
        <w:t xml:space="preserve">) </w:t>
      </w:r>
    </w:p>
    <w:p w:rsidR="00B92308" w:rsidRDefault="00347EDF" w:rsidP="00B92308">
      <w:pPr>
        <w:tabs>
          <w:tab w:val="clear" w:pos="567"/>
          <w:tab w:val="clear" w:pos="1134"/>
          <w:tab w:val="clear" w:pos="1701"/>
          <w:tab w:val="clear" w:pos="2268"/>
          <w:tab w:val="clear" w:pos="2835"/>
        </w:tabs>
        <w:snapToGrid w:val="0"/>
        <w:spacing w:after="120"/>
      </w:pPr>
      <w:r>
        <w:t>9.1</w:t>
      </w:r>
      <w:r w:rsidR="00B92308">
        <w:tab/>
        <w:t xml:space="preserve">The Council </w:t>
      </w:r>
      <w:r w:rsidR="00B92308" w:rsidRPr="00204EFF">
        <w:rPr>
          <w:b/>
          <w:bCs/>
        </w:rPr>
        <w:t>adopted</w:t>
      </w:r>
      <w:r w:rsidR="00B92308">
        <w:t xml:space="preserve"> the draft new resolution on the ITU Coordination Committee for Terminology set out in Document C17/DT/4, which had been developed by the ad hoc group set up by the Council at its first plenary meeting.</w:t>
      </w:r>
    </w:p>
    <w:p w:rsidR="00B92308" w:rsidRPr="00AA7CC4" w:rsidRDefault="00347EDF" w:rsidP="00347EDF">
      <w:pPr>
        <w:tabs>
          <w:tab w:val="clear" w:pos="567"/>
          <w:tab w:val="clear" w:pos="1134"/>
          <w:tab w:val="clear" w:pos="1701"/>
          <w:tab w:val="clear" w:pos="2268"/>
          <w:tab w:val="clear" w:pos="2835"/>
        </w:tabs>
        <w:snapToGrid w:val="0"/>
        <w:spacing w:before="320" w:after="120"/>
        <w:rPr>
          <w:b/>
          <w:bCs/>
          <w:lang w:val="en-CA"/>
        </w:rPr>
      </w:pPr>
      <w:r>
        <w:rPr>
          <w:b/>
          <w:bCs/>
          <w:lang w:val="en-CA"/>
        </w:rPr>
        <w:t>10</w:t>
      </w:r>
      <w:r w:rsidR="00B92308">
        <w:rPr>
          <w:b/>
          <w:bCs/>
          <w:lang w:val="en-CA"/>
        </w:rPr>
        <w:tab/>
      </w:r>
      <w:r w:rsidR="00B92308" w:rsidRPr="00AA7CC4">
        <w:rPr>
          <w:b/>
          <w:bCs/>
          <w:lang w:val="en-CA"/>
        </w:rPr>
        <w:t xml:space="preserve">Strengthening the regional presence (Document </w:t>
      </w:r>
      <w:hyperlink r:id="rId40" w:history="1">
        <w:r w:rsidR="00B92308" w:rsidRPr="00980F1D">
          <w:rPr>
            <w:rStyle w:val="Hyperlink"/>
            <w:b/>
            <w:bCs/>
            <w:lang w:val="en-CA"/>
          </w:rPr>
          <w:t>C17/25</w:t>
        </w:r>
      </w:hyperlink>
      <w:r w:rsidR="00B92308">
        <w:rPr>
          <w:b/>
          <w:bCs/>
          <w:lang w:val="en-CA"/>
        </w:rPr>
        <w:t>)</w:t>
      </w:r>
      <w:r w:rsidR="00B92308" w:rsidRPr="00AA7CC4">
        <w:rPr>
          <w:b/>
          <w:bCs/>
          <w:lang w:val="en-CA"/>
        </w:rPr>
        <w:t xml:space="preserve"> </w:t>
      </w:r>
    </w:p>
    <w:p w:rsidR="00B92308" w:rsidRDefault="00347EDF" w:rsidP="00B92308">
      <w:pPr>
        <w:tabs>
          <w:tab w:val="clear" w:pos="567"/>
          <w:tab w:val="clear" w:pos="1134"/>
          <w:tab w:val="clear" w:pos="1701"/>
          <w:tab w:val="clear" w:pos="2268"/>
          <w:tab w:val="clear" w:pos="2835"/>
        </w:tabs>
        <w:snapToGrid w:val="0"/>
        <w:spacing w:after="120"/>
      </w:pPr>
      <w:r>
        <w:t>10.1</w:t>
      </w:r>
      <w:r w:rsidR="00B92308">
        <w:tab/>
        <w:t>The representative of BDT introduced Document C17/25, which reported the consolidated results of the implementation of Resolution 25 (Rev. Busan, 2014) and was supplemented by Document C17/INF/11.</w:t>
      </w:r>
    </w:p>
    <w:p w:rsidR="00B92308" w:rsidRDefault="00347EDF" w:rsidP="00B92308">
      <w:pPr>
        <w:tabs>
          <w:tab w:val="clear" w:pos="567"/>
          <w:tab w:val="clear" w:pos="1134"/>
          <w:tab w:val="clear" w:pos="1701"/>
          <w:tab w:val="clear" w:pos="2268"/>
          <w:tab w:val="clear" w:pos="2835"/>
        </w:tabs>
        <w:snapToGrid w:val="0"/>
        <w:spacing w:after="120"/>
      </w:pPr>
      <w:r>
        <w:t>10.2</w:t>
      </w:r>
      <w:r w:rsidR="00B92308">
        <w:tab/>
        <w:t>A councillor requested the Director of BDT to enhance the role of the ITU Regional Office in the Americas by ensuring it had an effective mechanism enabling the full participation of all the region's members in the consideration of all documents and processes relating to all ITU meetings. Future reports should contain a detailed breakdown of the resources set aside for that purpose.</w:t>
      </w:r>
    </w:p>
    <w:p w:rsidR="00B92308" w:rsidRPr="000C3186" w:rsidRDefault="00347EDF" w:rsidP="00B92308">
      <w:pPr>
        <w:tabs>
          <w:tab w:val="clear" w:pos="567"/>
          <w:tab w:val="clear" w:pos="1134"/>
          <w:tab w:val="clear" w:pos="1701"/>
          <w:tab w:val="clear" w:pos="2268"/>
          <w:tab w:val="clear" w:pos="2835"/>
        </w:tabs>
        <w:snapToGrid w:val="0"/>
        <w:spacing w:after="120"/>
      </w:pPr>
      <w:r>
        <w:lastRenderedPageBreak/>
        <w:t>10.3</w:t>
      </w:r>
      <w:r w:rsidR="00B92308">
        <w:tab/>
        <w:t xml:space="preserve">The Council </w:t>
      </w:r>
      <w:r w:rsidR="00B92308" w:rsidRPr="00204EFF">
        <w:rPr>
          <w:b/>
          <w:bCs/>
        </w:rPr>
        <w:t>noted</w:t>
      </w:r>
      <w:r w:rsidR="00B92308">
        <w:t xml:space="preserve"> Document C17/25.</w:t>
      </w:r>
    </w:p>
    <w:p w:rsidR="00B92308" w:rsidRDefault="00B92308" w:rsidP="00980F1D">
      <w:pPr>
        <w:tabs>
          <w:tab w:val="clear" w:pos="567"/>
          <w:tab w:val="clear" w:pos="1134"/>
          <w:tab w:val="clear" w:pos="1701"/>
          <w:tab w:val="clear" w:pos="2268"/>
          <w:tab w:val="clear" w:pos="2835"/>
          <w:tab w:val="left" w:pos="6804"/>
        </w:tabs>
        <w:snapToGrid w:val="0"/>
        <w:spacing w:before="360"/>
      </w:pPr>
      <w:r w:rsidRPr="00124FA5">
        <w:t>The Secretary-General:</w:t>
      </w:r>
      <w:r w:rsidRPr="00124FA5">
        <w:tab/>
        <w:t>Chairman:</w:t>
      </w:r>
    </w:p>
    <w:p w:rsidR="00264425" w:rsidRDefault="00B92308" w:rsidP="00B92308">
      <w:pPr>
        <w:tabs>
          <w:tab w:val="clear" w:pos="567"/>
          <w:tab w:val="clear" w:pos="1134"/>
          <w:tab w:val="clear" w:pos="1701"/>
          <w:tab w:val="clear" w:pos="2268"/>
          <w:tab w:val="clear" w:pos="2835"/>
          <w:tab w:val="left" w:pos="6804"/>
        </w:tabs>
        <w:snapToGrid w:val="0"/>
        <w:spacing w:before="0"/>
      </w:pPr>
      <w:r w:rsidRPr="00124FA5">
        <w:t>H. ZHAO</w:t>
      </w:r>
      <w:r w:rsidRPr="00124FA5">
        <w:tab/>
      </w:r>
      <w:r>
        <w:t>E.</w:t>
      </w:r>
      <w:r w:rsidRPr="00124FA5">
        <w:t xml:space="preserve"> </w:t>
      </w:r>
      <w:r>
        <w:t>SPINA</w:t>
      </w:r>
    </w:p>
    <w:p w:rsidR="006476B4" w:rsidRPr="00B92308" w:rsidRDefault="006476B4" w:rsidP="006476B4">
      <w:pPr>
        <w:tabs>
          <w:tab w:val="clear" w:pos="567"/>
          <w:tab w:val="clear" w:pos="1134"/>
          <w:tab w:val="clear" w:pos="1701"/>
          <w:tab w:val="clear" w:pos="2268"/>
          <w:tab w:val="clear" w:pos="2835"/>
          <w:tab w:val="left" w:pos="6804"/>
        </w:tabs>
        <w:snapToGrid w:val="0"/>
        <w:spacing w:before="840"/>
        <w:jc w:val="center"/>
      </w:pPr>
      <w:r>
        <w:t>______________</w:t>
      </w:r>
      <w:bookmarkStart w:id="9" w:name="_GoBack"/>
      <w:bookmarkEnd w:id="9"/>
    </w:p>
    <w:sectPr w:rsidR="006476B4" w:rsidRPr="00B92308" w:rsidSect="004D1851">
      <w:headerReference w:type="default" r:id="rId41"/>
      <w:footerReference w:type="default" r:id="rId42"/>
      <w:footerReference w:type="first" r:id="rId4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01" w:rsidRDefault="001D7701">
      <w:r>
        <w:separator/>
      </w:r>
    </w:p>
  </w:endnote>
  <w:endnote w:type="continuationSeparator" w:id="0">
    <w:p w:rsidR="001D7701" w:rsidRDefault="001D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FF" w:rsidRDefault="006476B4">
    <w:pPr>
      <w:pStyle w:val="Footer"/>
    </w:pPr>
    <w:r>
      <w:fldChar w:fldCharType="begin"/>
    </w:r>
    <w:r>
      <w:instrText xml:space="preserve"> FILENAME \p  \* MERGEFORMAT </w:instrText>
    </w:r>
    <w:r>
      <w:fldChar w:fldCharType="separate"/>
    </w:r>
    <w:r w:rsidR="00B92308">
      <w:t>Document1</w:t>
    </w:r>
    <w:r>
      <w:fldChar w:fldCharType="end"/>
    </w:r>
    <w:r w:rsidR="00CB18FF">
      <w:tab/>
    </w:r>
    <w:r w:rsidR="00864AFF">
      <w:fldChar w:fldCharType="begin"/>
    </w:r>
    <w:r w:rsidR="00CB18FF">
      <w:instrText xml:space="preserve"> SAVEDATE \@ DD.MM.YY </w:instrText>
    </w:r>
    <w:r w:rsidR="00864AFF">
      <w:fldChar w:fldCharType="separate"/>
    </w:r>
    <w:r>
      <w:t>15.06.17</w:t>
    </w:r>
    <w:r w:rsidR="00864AFF">
      <w:fldChar w:fldCharType="end"/>
    </w:r>
    <w:r w:rsidR="00CB18FF">
      <w:tab/>
    </w:r>
    <w:r w:rsidR="00864AFF">
      <w:fldChar w:fldCharType="begin"/>
    </w:r>
    <w:r w:rsidR="00CB18FF">
      <w:instrText xml:space="preserve"> PRINTDATE \@ DD.MM.YY </w:instrText>
    </w:r>
    <w:r w:rsidR="00864AFF">
      <w:fldChar w:fldCharType="separate"/>
    </w:r>
    <w:r w:rsidR="00B92308">
      <w:t>18.07.00</w:t>
    </w:r>
    <w:r w:rsidR="00864AF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322D0D">
    <w:pPr>
      <w:spacing w:after="120"/>
      <w:jc w:val="center"/>
    </w:pPr>
    <w:r>
      <w:t xml:space="preserve">• </w:t>
    </w:r>
    <w:hyperlink r:id="rId1" w:history="1">
      <w:r>
        <w:rPr>
          <w:rStyle w:val="Hyperlink"/>
        </w:rPr>
        <w:t>http://www.itu.int/council</w:t>
      </w:r>
    </w:hyperlink>
    <w:r>
      <w:t xml:space="preserve"> •</w:t>
    </w:r>
  </w:p>
  <w:p w:rsidR="00322D0D" w:rsidRDefault="006476B4">
    <w:pPr>
      <w:pStyle w:val="Footer"/>
    </w:pPr>
    <w:r>
      <w:fldChar w:fldCharType="begin"/>
    </w:r>
    <w:r>
      <w:instrText xml:space="preserve"> FILENAME \p  \* MERGEFORMAT </w:instrText>
    </w:r>
    <w:r>
      <w:fldChar w:fldCharType="separate"/>
    </w:r>
    <w:r w:rsidR="00B92308">
      <w:t>Document1</w:t>
    </w:r>
    <w:r>
      <w:fldChar w:fldCharType="end"/>
    </w:r>
    <w:r w:rsidR="00322D0D">
      <w:tab/>
    </w:r>
    <w:r w:rsidR="00864AFF">
      <w:fldChar w:fldCharType="begin"/>
    </w:r>
    <w:r w:rsidR="00322D0D">
      <w:instrText xml:space="preserve"> SAVEDATE \@ DD.MM.YY </w:instrText>
    </w:r>
    <w:r w:rsidR="00864AFF">
      <w:fldChar w:fldCharType="separate"/>
    </w:r>
    <w:r>
      <w:t>15.06.17</w:t>
    </w:r>
    <w:r w:rsidR="00864AFF">
      <w:fldChar w:fldCharType="end"/>
    </w:r>
    <w:r w:rsidR="00322D0D">
      <w:tab/>
    </w:r>
    <w:r w:rsidR="00864AFF">
      <w:fldChar w:fldCharType="begin"/>
    </w:r>
    <w:r w:rsidR="00322D0D">
      <w:instrText xml:space="preserve"> PRINTDATE \@ DD.MM.YY </w:instrText>
    </w:r>
    <w:r w:rsidR="00864AFF">
      <w:fldChar w:fldCharType="separate"/>
    </w:r>
    <w:r w:rsidR="00B92308">
      <w:t>18.07.00</w:t>
    </w:r>
    <w:r w:rsidR="00864AF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01" w:rsidRDefault="001D7701">
      <w:r>
        <w:t>____________________</w:t>
      </w:r>
    </w:p>
  </w:footnote>
  <w:footnote w:type="continuationSeparator" w:id="0">
    <w:p w:rsidR="001D7701" w:rsidRDefault="001D7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6476B4">
      <w:rPr>
        <w:noProof/>
      </w:rPr>
      <w:t>5</w:t>
    </w:r>
    <w:r>
      <w:rPr>
        <w:noProof/>
      </w:rPr>
      <w:fldChar w:fldCharType="end"/>
    </w:r>
  </w:p>
  <w:p w:rsidR="00322D0D" w:rsidRDefault="00B92308" w:rsidP="005243FF">
    <w:pPr>
      <w:pStyle w:val="Header"/>
    </w:pPr>
    <w:r>
      <w:t>C17/128-E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08"/>
    <w:rsid w:val="000210D4"/>
    <w:rsid w:val="00063016"/>
    <w:rsid w:val="00066795"/>
    <w:rsid w:val="00076AF6"/>
    <w:rsid w:val="00085CF2"/>
    <w:rsid w:val="000B1705"/>
    <w:rsid w:val="000D6517"/>
    <w:rsid w:val="000D75B2"/>
    <w:rsid w:val="001121F5"/>
    <w:rsid w:val="001400DC"/>
    <w:rsid w:val="00140CE1"/>
    <w:rsid w:val="0017539C"/>
    <w:rsid w:val="00175AC2"/>
    <w:rsid w:val="0017609F"/>
    <w:rsid w:val="0019368B"/>
    <w:rsid w:val="001C628E"/>
    <w:rsid w:val="001D7701"/>
    <w:rsid w:val="001E0F7B"/>
    <w:rsid w:val="002119FD"/>
    <w:rsid w:val="002130E0"/>
    <w:rsid w:val="00264425"/>
    <w:rsid w:val="00265875"/>
    <w:rsid w:val="0027303B"/>
    <w:rsid w:val="0028109B"/>
    <w:rsid w:val="002B1F58"/>
    <w:rsid w:val="002C1C7A"/>
    <w:rsid w:val="0030160F"/>
    <w:rsid w:val="00305D62"/>
    <w:rsid w:val="00322D0D"/>
    <w:rsid w:val="003251DA"/>
    <w:rsid w:val="00347EDF"/>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4FBC"/>
    <w:rsid w:val="00582442"/>
    <w:rsid w:val="0064737F"/>
    <w:rsid w:val="006476B4"/>
    <w:rsid w:val="006535F1"/>
    <w:rsid w:val="0065557D"/>
    <w:rsid w:val="00662984"/>
    <w:rsid w:val="006716BB"/>
    <w:rsid w:val="006B6680"/>
    <w:rsid w:val="006B6DCC"/>
    <w:rsid w:val="00702DEF"/>
    <w:rsid w:val="00706861"/>
    <w:rsid w:val="0075051B"/>
    <w:rsid w:val="0075121D"/>
    <w:rsid w:val="00794D34"/>
    <w:rsid w:val="00813E5E"/>
    <w:rsid w:val="0083581B"/>
    <w:rsid w:val="008475F5"/>
    <w:rsid w:val="00864AFF"/>
    <w:rsid w:val="008B4A6A"/>
    <w:rsid w:val="008C7E27"/>
    <w:rsid w:val="009173EF"/>
    <w:rsid w:val="00932906"/>
    <w:rsid w:val="00942AD5"/>
    <w:rsid w:val="00961B0B"/>
    <w:rsid w:val="00980F1D"/>
    <w:rsid w:val="009B38C3"/>
    <w:rsid w:val="009C1210"/>
    <w:rsid w:val="009E17BD"/>
    <w:rsid w:val="00A04CEC"/>
    <w:rsid w:val="00A27F92"/>
    <w:rsid w:val="00A32257"/>
    <w:rsid w:val="00A36D20"/>
    <w:rsid w:val="00A55622"/>
    <w:rsid w:val="00A65725"/>
    <w:rsid w:val="00A83502"/>
    <w:rsid w:val="00AD15B3"/>
    <w:rsid w:val="00AF6E49"/>
    <w:rsid w:val="00B04A67"/>
    <w:rsid w:val="00B0583C"/>
    <w:rsid w:val="00B40A81"/>
    <w:rsid w:val="00B44910"/>
    <w:rsid w:val="00B72267"/>
    <w:rsid w:val="00B76EB6"/>
    <w:rsid w:val="00B7737B"/>
    <w:rsid w:val="00B824C8"/>
    <w:rsid w:val="00B9230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65041"/>
    <w:rsid w:val="00DB384B"/>
    <w:rsid w:val="00E10E80"/>
    <w:rsid w:val="00E124F0"/>
    <w:rsid w:val="00E43CD1"/>
    <w:rsid w:val="00E60F04"/>
    <w:rsid w:val="00E854E4"/>
    <w:rsid w:val="00EB0D6F"/>
    <w:rsid w:val="00EB2232"/>
    <w:rsid w:val="00EB2F9D"/>
    <w:rsid w:val="00EC5337"/>
    <w:rsid w:val="00F2150A"/>
    <w:rsid w:val="00F231D8"/>
    <w:rsid w:val="00F46C5F"/>
    <w:rsid w:val="00F56470"/>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4B2474B-B0AB-4CA8-8F8A-00F42E6F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B9230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BodyText">
    <w:name w:val="Body Text"/>
    <w:basedOn w:val="Normal"/>
    <w:link w:val="BodyTextChar"/>
    <w:uiPriority w:val="99"/>
    <w:unhideWhenUsed/>
    <w:rsid w:val="00B92308"/>
    <w:pPr>
      <w:tabs>
        <w:tab w:val="clear" w:pos="567"/>
        <w:tab w:val="clear" w:pos="1134"/>
        <w:tab w:val="clear" w:pos="1701"/>
        <w:tab w:val="clear" w:pos="2268"/>
        <w:tab w:val="clear" w:pos="2835"/>
      </w:tabs>
      <w:overflowPunct/>
      <w:autoSpaceDE/>
      <w:autoSpaceDN/>
      <w:adjustRightInd/>
      <w:spacing w:before="0"/>
      <w:textAlignment w:val="auto"/>
    </w:pPr>
    <w:rPr>
      <w:rFonts w:ascii="Times New Roman" w:eastAsiaTheme="minorEastAsia" w:hAnsi="Times New Roman"/>
      <w:szCs w:val="24"/>
      <w:lang w:val="en-US" w:eastAsia="zh-CN"/>
    </w:rPr>
  </w:style>
  <w:style w:type="character" w:customStyle="1" w:styleId="BodyTextChar">
    <w:name w:val="Body Text Char"/>
    <w:basedOn w:val="DefaultParagraphFont"/>
    <w:link w:val="BodyText"/>
    <w:uiPriority w:val="99"/>
    <w:rsid w:val="00B92308"/>
    <w:rPr>
      <w:rFonts w:ascii="Times New Roman" w:eastAsiaTheme="minorEastAsia" w:hAnsi="Times New Roman"/>
      <w:sz w:val="24"/>
      <w:szCs w:val="24"/>
    </w:rPr>
  </w:style>
  <w:style w:type="paragraph" w:styleId="BalloonText">
    <w:name w:val="Balloon Text"/>
    <w:basedOn w:val="Normal"/>
    <w:link w:val="BalloonTextChar"/>
    <w:semiHidden/>
    <w:unhideWhenUsed/>
    <w:rsid w:val="000D6517"/>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D651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7-CL-C-0111/en" TargetMode="External"/><Relationship Id="rId18" Type="http://schemas.openxmlformats.org/officeDocument/2006/relationships/hyperlink" Target="https://www.itu.int/md/S17-CL-C-0032/en" TargetMode="External"/><Relationship Id="rId26" Type="http://schemas.openxmlformats.org/officeDocument/2006/relationships/hyperlink" Target="https://www.itu.int/md/S17-CL-C-0065/en" TargetMode="External"/><Relationship Id="rId39" Type="http://schemas.openxmlformats.org/officeDocument/2006/relationships/hyperlink" Target="https://www.itu.int/md/S17-CL-170515-TD-GEN-0004/en" TargetMode="External"/><Relationship Id="rId3" Type="http://schemas.openxmlformats.org/officeDocument/2006/relationships/styles" Target="styles.xml"/><Relationship Id="rId21" Type="http://schemas.openxmlformats.org/officeDocument/2006/relationships/hyperlink" Target="https://www.itu.int/md/S17-CL-C-0068/en" TargetMode="External"/><Relationship Id="rId34" Type="http://schemas.openxmlformats.org/officeDocument/2006/relationships/hyperlink" Target="https://www.itu.int/md/S17-CL-C-00632/e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17-CL-C-0094/en" TargetMode="External"/><Relationship Id="rId17" Type="http://schemas.openxmlformats.org/officeDocument/2006/relationships/hyperlink" Target="https://www.itu.int/md/S17-CL-C-0031/en" TargetMode="External"/><Relationship Id="rId25" Type="http://schemas.openxmlformats.org/officeDocument/2006/relationships/hyperlink" Target="https://www.itu.int/md/S17-CL-C-0059/en" TargetMode="External"/><Relationship Id="rId33" Type="http://schemas.openxmlformats.org/officeDocument/2006/relationships/hyperlink" Target="https://www.itu.int/md/S17-CL-C-0031/en" TargetMode="External"/><Relationship Id="rId38" Type="http://schemas.openxmlformats.org/officeDocument/2006/relationships/hyperlink" Target="https://www.itu.int/md/S17-CL-C-0072/en" TargetMode="External"/><Relationship Id="rId2" Type="http://schemas.openxmlformats.org/officeDocument/2006/relationships/numbering" Target="numbering.xml"/><Relationship Id="rId16" Type="http://schemas.openxmlformats.org/officeDocument/2006/relationships/hyperlink" Target="https://www.itu.int/md/S17-CL-C-0030/en" TargetMode="External"/><Relationship Id="rId20" Type="http://schemas.openxmlformats.org/officeDocument/2006/relationships/hyperlink" Target="https://www.itu.int/md/S17-CL-C-0023/en" TargetMode="External"/><Relationship Id="rId29" Type="http://schemas.openxmlformats.org/officeDocument/2006/relationships/hyperlink" Target="https://www.itu.int/md/S17-CL-C-0111/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CL-C-0036/en" TargetMode="External"/><Relationship Id="rId24" Type="http://schemas.openxmlformats.org/officeDocument/2006/relationships/hyperlink" Target="https://www.itu.int/md/S17-CL-C-0025/en" TargetMode="External"/><Relationship Id="rId32" Type="http://schemas.openxmlformats.org/officeDocument/2006/relationships/hyperlink" Target="https://www.itu.int/md/S17-CL-C-0030/en" TargetMode="External"/><Relationship Id="rId37" Type="http://schemas.openxmlformats.org/officeDocument/2006/relationships/hyperlink" Target="https://www.itu.int/md/S17-CL-C-0068/en" TargetMode="External"/><Relationship Id="rId40" Type="http://schemas.openxmlformats.org/officeDocument/2006/relationships/hyperlink" Target="https://www.itu.int/md/S17-CL-C-0025/e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17-CL-C-0029/en" TargetMode="External"/><Relationship Id="rId23" Type="http://schemas.openxmlformats.org/officeDocument/2006/relationships/hyperlink" Target="https://www.itu.int/md/S17-CL-170515-TD-GEN-0004/en" TargetMode="External"/><Relationship Id="rId28" Type="http://schemas.openxmlformats.org/officeDocument/2006/relationships/hyperlink" Target="https://www.itu.int/md/S17-CL-C-0094/en" TargetMode="External"/><Relationship Id="rId36" Type="http://schemas.openxmlformats.org/officeDocument/2006/relationships/hyperlink" Target="https://www.itu.int/md/S17-CL-C-0023/en" TargetMode="External"/><Relationship Id="rId10" Type="http://schemas.openxmlformats.org/officeDocument/2006/relationships/hyperlink" Target="https://www.itu.int/md/S17-CL-C-0065/en" TargetMode="External"/><Relationship Id="rId19" Type="http://schemas.openxmlformats.org/officeDocument/2006/relationships/hyperlink" Target="https://www.itu.int/md/S17-CL-C-0024/en" TargetMode="External"/><Relationship Id="rId31" Type="http://schemas.openxmlformats.org/officeDocument/2006/relationships/hyperlink" Target="https://www.itu.int/md/S17-CL-C-0029/e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7-CL-C-0059/en" TargetMode="External"/><Relationship Id="rId14" Type="http://schemas.openxmlformats.org/officeDocument/2006/relationships/hyperlink" Target="https://www.itu.int/md/S17-CL-C-0028/en" TargetMode="External"/><Relationship Id="rId22" Type="http://schemas.openxmlformats.org/officeDocument/2006/relationships/hyperlink" Target="https://www.itu.int/md/S17-CL-C-0072/en" TargetMode="External"/><Relationship Id="rId27" Type="http://schemas.openxmlformats.org/officeDocument/2006/relationships/hyperlink" Target="https://www.itu.int/md/S17-CL-C-0036/en" TargetMode="External"/><Relationship Id="rId30" Type="http://schemas.openxmlformats.org/officeDocument/2006/relationships/hyperlink" Target="https://www.itu.int/md/S17-CL-C-0028/en" TargetMode="External"/><Relationship Id="rId35" Type="http://schemas.openxmlformats.org/officeDocument/2006/relationships/hyperlink" Target="https://www.itu.int/md/S17-CL-C-0024/en"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E9C21-47D7-4ABD-8BB4-41F89BCF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2733</Words>
  <Characters>17086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Summary record of the seventh Plenary meeting</vt:lpstr>
    </vt:vector>
  </TitlesOfParts>
  <Manager>General Secretariat - Pool</Manager>
  <Company>International Telecommunication Union (ITU)</Company>
  <LinksUpToDate>false</LinksUpToDate>
  <CharactersWithSpaces>19780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seventh Plenary meeting</dc:title>
  <dc:subject>Council 2017</dc:subject>
  <dc:creator>Brouard, Ricarda</dc:creator>
  <cp:keywords>C2017, C17</cp:keywords>
  <cp:lastModifiedBy>Brouard, Ricarda</cp:lastModifiedBy>
  <cp:revision>5</cp:revision>
  <cp:lastPrinted>2000-07-18T13:30:00Z</cp:lastPrinted>
  <dcterms:created xsi:type="dcterms:W3CDTF">2017-06-14T11:15:00Z</dcterms:created>
  <dcterms:modified xsi:type="dcterms:W3CDTF">2017-06-27T12:15:00Z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