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8B62B4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ED7B54">
              <w:rPr>
                <w:b/>
                <w:bCs/>
                <w:lang w:val="ru-RU"/>
              </w:rPr>
              <w:t>5</w:t>
            </w:r>
            <w:r w:rsidR="00ED7B54">
              <w:rPr>
                <w:b/>
                <w:bCs/>
                <w:lang w:val="en-US"/>
              </w:rPr>
              <w:t>−</w:t>
            </w:r>
            <w:r w:rsidR="008B62B4" w:rsidRPr="008B62B4">
              <w:rPr>
                <w:b/>
                <w:bCs/>
                <w:lang w:val="ru-RU"/>
              </w:rPr>
              <w:t>25</w:t>
            </w:r>
            <w:r w:rsidR="00CD2009" w:rsidRPr="00225368">
              <w:rPr>
                <w:b/>
                <w:bCs/>
                <w:lang w:val="ru-RU"/>
              </w:rPr>
              <w:t xml:space="preserve"> мая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8B62B4">
              <w:rPr>
                <w:b/>
                <w:bCs/>
                <w:lang w:val="fr-CH"/>
              </w:rPr>
              <w:t>7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BF564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6A51E337" wp14:editId="6286972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4C3A5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>
              <w:rPr>
                <w:b/>
                <w:bCs/>
                <w:szCs w:val="22"/>
                <w:lang w:val="en-US"/>
              </w:rPr>
              <w:t>7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BF5642">
              <w:rPr>
                <w:b/>
                <w:bCs/>
                <w:szCs w:val="22"/>
                <w:lang w:val="en-US"/>
              </w:rPr>
              <w:t>1</w:t>
            </w:r>
            <w:r w:rsidR="004C3A59">
              <w:rPr>
                <w:b/>
                <w:bCs/>
                <w:szCs w:val="22"/>
                <w:lang w:val="ru-RU"/>
              </w:rPr>
              <w:t>25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ED7B54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26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 w:rsidRPr="00EB4FCB">
              <w:rPr>
                <w:b/>
                <w:bCs/>
                <w:szCs w:val="22"/>
                <w:lang w:val="ru-RU"/>
              </w:rPr>
              <w:t>7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:rsidR="00ED7B54" w:rsidRDefault="00BF5642" w:rsidP="004C3A59">
      <w:pPr>
        <w:pStyle w:val="ResNo"/>
        <w:rPr>
          <w:lang w:val="ru-RU"/>
        </w:rPr>
      </w:pPr>
      <w:r>
        <w:rPr>
          <w:lang w:val="ru-RU"/>
        </w:rPr>
        <w:t>резолюция</w:t>
      </w:r>
      <w:r w:rsidR="00ED7B54">
        <w:rPr>
          <w:lang w:val="ru-RU"/>
        </w:rPr>
        <w:t xml:space="preserve"> </w:t>
      </w:r>
      <w:r>
        <w:rPr>
          <w:lang w:val="ru-RU"/>
        </w:rPr>
        <w:t>138</w:t>
      </w:r>
      <w:r w:rsidR="004C3A59">
        <w:rPr>
          <w:lang w:val="ru-RU"/>
        </w:rPr>
        <w:t>5</w:t>
      </w:r>
    </w:p>
    <w:p w:rsidR="00ED7B54" w:rsidRPr="00ED7B54" w:rsidRDefault="00ED7B54" w:rsidP="004C3A59">
      <w:pPr>
        <w:pStyle w:val="Resref"/>
        <w:rPr>
          <w:lang w:val="ru-RU"/>
        </w:rPr>
      </w:pPr>
      <w:r>
        <w:rPr>
          <w:lang w:val="ru-RU"/>
        </w:rPr>
        <w:t>(принят</w:t>
      </w:r>
      <w:r w:rsidR="00BF5642">
        <w:rPr>
          <w:lang w:val="ru-RU"/>
        </w:rPr>
        <w:t>а</w:t>
      </w:r>
      <w:r>
        <w:rPr>
          <w:lang w:val="ru-RU"/>
        </w:rPr>
        <w:t xml:space="preserve"> на </w:t>
      </w:r>
      <w:r w:rsidR="004C3A59">
        <w:rPr>
          <w:lang w:val="ru-RU"/>
        </w:rPr>
        <w:t>седьмом</w:t>
      </w:r>
      <w:r>
        <w:rPr>
          <w:lang w:val="ru-RU"/>
        </w:rPr>
        <w:t xml:space="preserve"> пленарном заседании)</w:t>
      </w:r>
    </w:p>
    <w:p w:rsidR="004C3A59" w:rsidRPr="000E1B05" w:rsidRDefault="004C3A59" w:rsidP="004C3A59">
      <w:pPr>
        <w:pStyle w:val="Restitle"/>
        <w:rPr>
          <w:lang w:val="ru-RU"/>
        </w:rPr>
      </w:pPr>
      <w:r w:rsidRPr="000E1B05">
        <w:rPr>
          <w:lang w:val="ru-RU"/>
        </w:rPr>
        <w:t>Четырехгодичные скользящие Оперативные планы</w:t>
      </w:r>
      <w:r>
        <w:rPr>
          <w:lang w:val="ru-RU"/>
        </w:rPr>
        <w:t xml:space="preserve"> МСЭ-R, МСЭ-Т, МСЭ-D и </w:t>
      </w:r>
      <w:r w:rsidRPr="000E1B05">
        <w:rPr>
          <w:lang w:val="ru-RU"/>
        </w:rPr>
        <w:t>Генерального секретариата на 201</w:t>
      </w:r>
      <w:r>
        <w:rPr>
          <w:lang w:val="ru-RU"/>
        </w:rPr>
        <w:t>8</w:t>
      </w:r>
      <w:r w:rsidRPr="001F6054">
        <w:rPr>
          <w:lang w:val="ru-RU"/>
        </w:rPr>
        <w:t>−</w:t>
      </w:r>
      <w:r w:rsidRPr="000E1B05">
        <w:rPr>
          <w:lang w:val="ru-RU"/>
        </w:rPr>
        <w:t>20</w:t>
      </w:r>
      <w:r>
        <w:rPr>
          <w:lang w:val="ru-RU"/>
        </w:rPr>
        <w:t>21</w:t>
      </w:r>
      <w:r w:rsidRPr="000E1B05">
        <w:rPr>
          <w:lang w:val="ru-RU"/>
        </w:rPr>
        <w:t xml:space="preserve"> годы</w:t>
      </w:r>
    </w:p>
    <w:p w:rsidR="004C3A59" w:rsidRPr="000E1B05" w:rsidRDefault="004C3A59" w:rsidP="004C3A59">
      <w:pPr>
        <w:pStyle w:val="Normalaftertitle"/>
        <w:jc w:val="both"/>
        <w:rPr>
          <w:rFonts w:cstheme="minorHAnsi"/>
          <w:szCs w:val="24"/>
          <w:lang w:val="ru-RU"/>
        </w:rPr>
      </w:pPr>
      <w:r w:rsidRPr="000E1B05">
        <w:rPr>
          <w:rFonts w:cstheme="minorHAnsi"/>
          <w:szCs w:val="24"/>
          <w:lang w:val="ru-RU"/>
        </w:rPr>
        <w:t>Совет,</w:t>
      </w:r>
    </w:p>
    <w:p w:rsidR="004C3A59" w:rsidRPr="000E1B05" w:rsidRDefault="004C3A59" w:rsidP="004C3A59">
      <w:pPr>
        <w:pStyle w:val="Call"/>
        <w:rPr>
          <w:lang w:val="ru-RU"/>
        </w:rPr>
      </w:pPr>
      <w:r w:rsidRPr="000E1B05">
        <w:rPr>
          <w:lang w:val="ru-RU"/>
        </w:rPr>
        <w:t>признавая</w:t>
      </w:r>
    </w:p>
    <w:p w:rsidR="004C3A59" w:rsidRPr="000E1B05" w:rsidRDefault="004C3A59" w:rsidP="004C3A59">
      <w:pPr>
        <w:rPr>
          <w:lang w:val="ru-RU"/>
        </w:rPr>
      </w:pPr>
      <w:r w:rsidRPr="000E1B05">
        <w:rPr>
          <w:lang w:val="ru-RU"/>
        </w:rPr>
        <w:t xml:space="preserve">положения Статей 5, </w:t>
      </w:r>
      <w:proofErr w:type="spellStart"/>
      <w:r w:rsidRPr="000E1B05">
        <w:rPr>
          <w:lang w:val="ru-RU"/>
        </w:rPr>
        <w:t>11A</w:t>
      </w:r>
      <w:proofErr w:type="spellEnd"/>
      <w:r w:rsidRPr="000E1B05">
        <w:rPr>
          <w:lang w:val="ru-RU"/>
        </w:rPr>
        <w:t xml:space="preserve">, 12, </w:t>
      </w:r>
      <w:proofErr w:type="spellStart"/>
      <w:r w:rsidRPr="000E1B05">
        <w:rPr>
          <w:lang w:val="ru-RU"/>
        </w:rPr>
        <w:t>14A</w:t>
      </w:r>
      <w:proofErr w:type="spellEnd"/>
      <w:r w:rsidRPr="000E1B05">
        <w:rPr>
          <w:lang w:val="ru-RU"/>
        </w:rPr>
        <w:t>, 15 и 18 Конвенции МСЭ,</w:t>
      </w:r>
    </w:p>
    <w:p w:rsidR="004C3A59" w:rsidRPr="000E1B05" w:rsidRDefault="004C3A59" w:rsidP="004C3A59">
      <w:pPr>
        <w:pStyle w:val="Call"/>
        <w:rPr>
          <w:lang w:val="ru-RU"/>
        </w:rPr>
      </w:pPr>
      <w:r w:rsidRPr="000E1B05">
        <w:rPr>
          <w:lang w:val="ru-RU"/>
        </w:rPr>
        <w:t>напоминая</w:t>
      </w:r>
    </w:p>
    <w:p w:rsidR="004C3A59" w:rsidRPr="000E1B05" w:rsidRDefault="004C3A59" w:rsidP="004C3A59">
      <w:pPr>
        <w:rPr>
          <w:rFonts w:cstheme="minorHAnsi"/>
          <w:szCs w:val="24"/>
          <w:lang w:val="ru-RU"/>
        </w:rPr>
      </w:pPr>
      <w:r w:rsidRPr="000E1B05">
        <w:rPr>
          <w:rFonts w:cstheme="minorHAnsi"/>
          <w:szCs w:val="24"/>
          <w:lang w:val="ru-RU"/>
        </w:rPr>
        <w:t>Резолюцию</w:t>
      </w:r>
      <w:r>
        <w:rPr>
          <w:rFonts w:cstheme="minorHAnsi"/>
          <w:szCs w:val="24"/>
          <w:lang w:val="ru-RU"/>
        </w:rPr>
        <w:t> </w:t>
      </w:r>
      <w:r w:rsidRPr="000E1B05">
        <w:rPr>
          <w:rFonts w:cstheme="minorHAnsi"/>
          <w:szCs w:val="24"/>
          <w:lang w:val="ru-RU"/>
        </w:rPr>
        <w:t>72 (</w:t>
      </w:r>
      <w:proofErr w:type="spellStart"/>
      <w:r w:rsidRPr="000E1B05">
        <w:rPr>
          <w:rFonts w:cstheme="minorHAnsi"/>
          <w:szCs w:val="24"/>
          <w:lang w:val="ru-RU"/>
        </w:rPr>
        <w:t>Пересм</w:t>
      </w:r>
      <w:proofErr w:type="spellEnd"/>
      <w:r w:rsidRPr="000E1B05">
        <w:rPr>
          <w:rFonts w:cstheme="minorHAnsi"/>
          <w:szCs w:val="24"/>
          <w:lang w:val="ru-RU"/>
        </w:rPr>
        <w:t xml:space="preserve">. </w:t>
      </w:r>
      <w:proofErr w:type="spellStart"/>
      <w:r w:rsidRPr="000E1B05">
        <w:rPr>
          <w:rFonts w:cstheme="minorHAnsi"/>
          <w:szCs w:val="24"/>
          <w:lang w:val="ru-RU"/>
        </w:rPr>
        <w:t>Пусан</w:t>
      </w:r>
      <w:proofErr w:type="spellEnd"/>
      <w:r w:rsidRPr="000E1B05">
        <w:rPr>
          <w:rFonts w:cstheme="minorHAnsi"/>
          <w:szCs w:val="24"/>
          <w:lang w:val="ru-RU"/>
        </w:rPr>
        <w:t>, 2014 г.) "</w:t>
      </w:r>
      <w:r w:rsidRPr="000E1B05">
        <w:rPr>
          <w:lang w:val="ru-RU"/>
        </w:rPr>
        <w:t>Увязка стратегического, финансового и о</w:t>
      </w:r>
      <w:r>
        <w:rPr>
          <w:lang w:val="ru-RU"/>
        </w:rPr>
        <w:t>перативного планирования в МСЭ",</w:t>
      </w:r>
    </w:p>
    <w:p w:rsidR="004C3A59" w:rsidRPr="000E1B05" w:rsidRDefault="004C3A59" w:rsidP="004C3A59">
      <w:pPr>
        <w:pStyle w:val="Call"/>
        <w:rPr>
          <w:lang w:val="ru-RU"/>
        </w:rPr>
      </w:pPr>
      <w:r w:rsidRPr="000E1B05">
        <w:rPr>
          <w:lang w:val="ru-RU"/>
        </w:rPr>
        <w:t>приняв во внимание</w:t>
      </w:r>
    </w:p>
    <w:p w:rsidR="004C3A59" w:rsidRPr="000E1B05" w:rsidRDefault="004C3A59" w:rsidP="004C3A59">
      <w:pPr>
        <w:rPr>
          <w:rFonts w:cstheme="minorHAnsi"/>
          <w:szCs w:val="24"/>
          <w:lang w:val="ru-RU"/>
        </w:rPr>
      </w:pPr>
      <w:r w:rsidRPr="000E1B05">
        <w:rPr>
          <w:lang w:val="ru-RU"/>
        </w:rPr>
        <w:t>проекты четырехгодичных скользящих Оперативных планов на 201</w:t>
      </w:r>
      <w:r>
        <w:rPr>
          <w:lang w:val="ru-RU"/>
        </w:rPr>
        <w:t>8</w:t>
      </w:r>
      <w:r w:rsidRPr="000E1B05">
        <w:rPr>
          <w:lang w:val="ru-RU"/>
        </w:rPr>
        <w:t>–20</w:t>
      </w:r>
      <w:r>
        <w:rPr>
          <w:lang w:val="ru-RU"/>
        </w:rPr>
        <w:t>21</w:t>
      </w:r>
      <w:r w:rsidRPr="000E1B05">
        <w:rPr>
          <w:lang w:val="ru-RU"/>
        </w:rPr>
        <w:t xml:space="preserve"> годы</w:t>
      </w:r>
      <w:r w:rsidRPr="000E1B05">
        <w:rPr>
          <w:rFonts w:cstheme="minorHAnsi"/>
          <w:szCs w:val="24"/>
          <w:lang w:val="ru-RU"/>
        </w:rPr>
        <w:t xml:space="preserve"> Сектора радиосвязи (</w:t>
      </w:r>
      <w:r>
        <w:rPr>
          <w:rFonts w:cstheme="minorHAnsi"/>
          <w:szCs w:val="24"/>
          <w:lang w:val="ru-RU"/>
        </w:rPr>
        <w:t xml:space="preserve">Документ </w:t>
      </w:r>
      <w:hyperlink r:id="rId8" w:history="1">
        <w:r w:rsidRPr="00AD6833">
          <w:rPr>
            <w:rStyle w:val="Hyperlink"/>
            <w:rFonts w:cstheme="minorHAnsi"/>
            <w:szCs w:val="24"/>
            <w:lang w:val="en-US"/>
          </w:rPr>
          <w:t>C</w:t>
        </w:r>
        <w:r w:rsidRPr="004C3A59">
          <w:rPr>
            <w:rStyle w:val="Hyperlink"/>
            <w:rFonts w:cstheme="minorHAnsi"/>
            <w:szCs w:val="24"/>
            <w:lang w:val="ru-RU"/>
          </w:rPr>
          <w:t>17/28(</w:t>
        </w:r>
        <w:r>
          <w:rPr>
            <w:rStyle w:val="Hyperlink"/>
            <w:rFonts w:cstheme="minorHAnsi"/>
            <w:szCs w:val="24"/>
            <w:lang w:val="en-US"/>
          </w:rPr>
          <w:t>Rev</w:t>
        </w:r>
        <w:r w:rsidRPr="004C3A59">
          <w:rPr>
            <w:rStyle w:val="Hyperlink"/>
            <w:rFonts w:cstheme="minorHAnsi"/>
            <w:szCs w:val="24"/>
            <w:lang w:val="ru-RU"/>
          </w:rPr>
          <w:t>.1)</w:t>
        </w:r>
      </w:hyperlink>
      <w:hyperlink r:id="rId9" w:history="1"/>
      <w:r w:rsidRPr="000E1B05">
        <w:rPr>
          <w:rFonts w:cstheme="minorHAnsi"/>
          <w:szCs w:val="24"/>
          <w:lang w:val="ru-RU"/>
        </w:rPr>
        <w:t>), Сектора стандартизации электросвязи (</w:t>
      </w:r>
      <w:r>
        <w:rPr>
          <w:rFonts w:cstheme="minorHAnsi"/>
          <w:szCs w:val="24"/>
          <w:lang w:val="ru-RU"/>
        </w:rPr>
        <w:t xml:space="preserve">Документ </w:t>
      </w:r>
      <w:hyperlink r:id="rId10" w:history="1">
        <w:r w:rsidRPr="00AD6833">
          <w:rPr>
            <w:rStyle w:val="Hyperlink"/>
            <w:rFonts w:cstheme="minorHAnsi"/>
            <w:szCs w:val="24"/>
            <w:lang w:val="en-US"/>
          </w:rPr>
          <w:t>C</w:t>
        </w:r>
        <w:r w:rsidRPr="004C3A59">
          <w:rPr>
            <w:rStyle w:val="Hyperlink"/>
            <w:rFonts w:cstheme="minorHAnsi"/>
            <w:szCs w:val="24"/>
            <w:lang w:val="ru-RU"/>
          </w:rPr>
          <w:t>17/29</w:t>
        </w:r>
      </w:hyperlink>
      <w:hyperlink r:id="rId11" w:history="1"/>
      <w:r w:rsidRPr="000E1B05">
        <w:rPr>
          <w:rFonts w:cstheme="minorHAnsi"/>
          <w:szCs w:val="24"/>
          <w:lang w:val="ru-RU"/>
        </w:rPr>
        <w:t>), Сектора развития электросвязи (</w:t>
      </w:r>
      <w:r>
        <w:rPr>
          <w:rFonts w:cstheme="minorHAnsi"/>
          <w:szCs w:val="24"/>
          <w:lang w:val="ru-RU"/>
        </w:rPr>
        <w:t xml:space="preserve">Документ </w:t>
      </w:r>
      <w:hyperlink r:id="rId12" w:history="1">
        <w:r w:rsidRPr="00AD6833">
          <w:rPr>
            <w:rStyle w:val="Hyperlink"/>
            <w:rFonts w:cstheme="minorHAnsi"/>
            <w:szCs w:val="24"/>
            <w:lang w:val="en-US"/>
          </w:rPr>
          <w:t>C</w:t>
        </w:r>
        <w:r w:rsidRPr="004C3A59">
          <w:rPr>
            <w:rStyle w:val="Hyperlink"/>
            <w:rFonts w:cstheme="minorHAnsi"/>
            <w:szCs w:val="24"/>
            <w:lang w:val="ru-RU"/>
          </w:rPr>
          <w:t>17/30(</w:t>
        </w:r>
        <w:r>
          <w:rPr>
            <w:rStyle w:val="Hyperlink"/>
            <w:rFonts w:cstheme="minorHAnsi"/>
            <w:szCs w:val="24"/>
            <w:lang w:val="en-US"/>
          </w:rPr>
          <w:t>Rev</w:t>
        </w:r>
        <w:r w:rsidRPr="004C3A59">
          <w:rPr>
            <w:rStyle w:val="Hyperlink"/>
            <w:rFonts w:cstheme="minorHAnsi"/>
            <w:szCs w:val="24"/>
            <w:lang w:val="ru-RU"/>
          </w:rPr>
          <w:t>.1)</w:t>
        </w:r>
      </w:hyperlink>
      <w:hyperlink r:id="rId13" w:history="1"/>
      <w:r w:rsidRPr="00AE35AB">
        <w:rPr>
          <w:rStyle w:val="Hyperlink"/>
          <w:rFonts w:cstheme="minorHAnsi"/>
          <w:color w:val="auto"/>
          <w:szCs w:val="24"/>
          <w:u w:val="none"/>
          <w:lang w:val="ru-RU"/>
        </w:rPr>
        <w:t>)</w:t>
      </w:r>
      <w:r w:rsidRPr="00860A49">
        <w:rPr>
          <w:rStyle w:val="Hyperlink"/>
          <w:rFonts w:cstheme="minorHAnsi"/>
          <w:color w:val="auto"/>
          <w:szCs w:val="24"/>
          <w:u w:val="none"/>
          <w:lang w:val="ru-RU"/>
        </w:rPr>
        <w:t xml:space="preserve"> и Генерального секретариата </w:t>
      </w:r>
      <w:r w:rsidRPr="000E1B05">
        <w:rPr>
          <w:rFonts w:cstheme="minorHAnsi"/>
          <w:szCs w:val="24"/>
          <w:lang w:val="ru-RU"/>
        </w:rPr>
        <w:t>(</w:t>
      </w:r>
      <w:r>
        <w:rPr>
          <w:rFonts w:cstheme="minorHAnsi"/>
          <w:szCs w:val="24"/>
          <w:lang w:val="ru-RU"/>
        </w:rPr>
        <w:t xml:space="preserve">Документ </w:t>
      </w:r>
      <w:hyperlink r:id="rId14" w:history="1">
        <w:r w:rsidRPr="00AD6833">
          <w:rPr>
            <w:rStyle w:val="Hyperlink"/>
            <w:rFonts w:cstheme="minorHAnsi"/>
            <w:szCs w:val="24"/>
            <w:lang w:val="en-US"/>
          </w:rPr>
          <w:t>C</w:t>
        </w:r>
        <w:r w:rsidRPr="004C3A59">
          <w:rPr>
            <w:rStyle w:val="Hyperlink"/>
            <w:rFonts w:cstheme="minorHAnsi"/>
            <w:szCs w:val="24"/>
            <w:lang w:val="ru-RU"/>
          </w:rPr>
          <w:t>17/31</w:t>
        </w:r>
      </w:hyperlink>
      <w:r w:rsidRPr="000E1B05">
        <w:rPr>
          <w:rFonts w:cstheme="minorHAnsi"/>
          <w:szCs w:val="24"/>
          <w:lang w:val="ru-RU"/>
        </w:rPr>
        <w:t>),</w:t>
      </w:r>
    </w:p>
    <w:p w:rsidR="004C3A59" w:rsidRPr="000E1B05" w:rsidRDefault="004C3A59" w:rsidP="004C3A59">
      <w:pPr>
        <w:pStyle w:val="Call"/>
        <w:rPr>
          <w:lang w:val="ru-RU"/>
        </w:rPr>
      </w:pPr>
      <w:r w:rsidRPr="000E1B05">
        <w:rPr>
          <w:lang w:val="ru-RU"/>
        </w:rPr>
        <w:t>приняв также во внимание</w:t>
      </w:r>
    </w:p>
    <w:p w:rsidR="004C3A59" w:rsidRPr="000E1B05" w:rsidRDefault="004C3A59" w:rsidP="004C3A59">
      <w:pPr>
        <w:rPr>
          <w:rFonts w:cstheme="minorHAnsi"/>
          <w:szCs w:val="24"/>
          <w:lang w:val="ru-RU"/>
        </w:rPr>
      </w:pPr>
      <w:r w:rsidRPr="000E1B05">
        <w:rPr>
          <w:lang w:val="ru-RU"/>
        </w:rPr>
        <w:t>необходимость того, чтобы Генеральный секретарь и Д</w:t>
      </w:r>
      <w:bookmarkStart w:id="2" w:name="_GoBack"/>
      <w:bookmarkEnd w:id="2"/>
      <w:r w:rsidRPr="000E1B05">
        <w:rPr>
          <w:lang w:val="ru-RU"/>
        </w:rPr>
        <w:t xml:space="preserve">иректора Бюро обладали определенной гибкостью при выполнении </w:t>
      </w:r>
      <w:r>
        <w:rPr>
          <w:lang w:val="ru-RU"/>
        </w:rPr>
        <w:t xml:space="preserve">соответствующих </w:t>
      </w:r>
      <w:r w:rsidRPr="000E1B05">
        <w:rPr>
          <w:lang w:val="ru-RU"/>
        </w:rPr>
        <w:t>четырехгодичных скользящих Оперативных планов для учета любых изменений, которые могут произойти в период между двумя сессиями Совета</w:t>
      </w:r>
      <w:r w:rsidRPr="000E1B05">
        <w:rPr>
          <w:rFonts w:cstheme="minorHAnsi"/>
          <w:szCs w:val="24"/>
          <w:lang w:val="ru-RU"/>
        </w:rPr>
        <w:t>,</w:t>
      </w:r>
    </w:p>
    <w:p w:rsidR="004C3A59" w:rsidRPr="000E1B05" w:rsidRDefault="004C3A59" w:rsidP="004C3A59">
      <w:pPr>
        <w:pStyle w:val="Call"/>
        <w:rPr>
          <w:lang w:val="ru-RU"/>
        </w:rPr>
      </w:pPr>
      <w:r w:rsidRPr="000E1B05">
        <w:rPr>
          <w:lang w:val="ru-RU"/>
        </w:rPr>
        <w:t>решает</w:t>
      </w:r>
    </w:p>
    <w:p w:rsidR="004C3A59" w:rsidRPr="000E1B05" w:rsidRDefault="004C3A59" w:rsidP="004C3A59">
      <w:pPr>
        <w:rPr>
          <w:rFonts w:cstheme="minorHAnsi"/>
          <w:szCs w:val="24"/>
          <w:lang w:val="ru-RU"/>
        </w:rPr>
      </w:pPr>
      <w:r w:rsidRPr="000E1B05">
        <w:rPr>
          <w:rFonts w:cstheme="minorHAnsi"/>
          <w:szCs w:val="24"/>
          <w:lang w:val="ru-RU"/>
        </w:rPr>
        <w:t>1</w:t>
      </w:r>
      <w:r w:rsidRPr="000E1B05">
        <w:rPr>
          <w:rFonts w:cstheme="minorHAnsi"/>
          <w:szCs w:val="24"/>
          <w:lang w:val="ru-RU"/>
        </w:rPr>
        <w:tab/>
        <w:t xml:space="preserve">утвердить </w:t>
      </w:r>
      <w:r w:rsidRPr="000E1B05">
        <w:rPr>
          <w:lang w:val="ru-RU"/>
        </w:rPr>
        <w:t>четырехгодичные скользящие Оперативные планы на 201</w:t>
      </w:r>
      <w:r>
        <w:rPr>
          <w:lang w:val="ru-RU"/>
        </w:rPr>
        <w:t>8</w:t>
      </w:r>
      <w:r w:rsidRPr="000E1B05">
        <w:rPr>
          <w:lang w:val="ru-RU"/>
        </w:rPr>
        <w:t>–20</w:t>
      </w:r>
      <w:r>
        <w:rPr>
          <w:lang w:val="ru-RU"/>
        </w:rPr>
        <w:t>21 </w:t>
      </w:r>
      <w:r w:rsidRPr="000E1B05">
        <w:rPr>
          <w:lang w:val="ru-RU"/>
        </w:rPr>
        <w:t>годы</w:t>
      </w:r>
      <w:r w:rsidRPr="000E1B05">
        <w:rPr>
          <w:rFonts w:cstheme="minorHAnsi"/>
          <w:szCs w:val="24"/>
          <w:lang w:val="ru-RU"/>
        </w:rPr>
        <w:t xml:space="preserve"> Сектора радиосвязи</w:t>
      </w:r>
      <w:r w:rsidRPr="000E1B05">
        <w:rPr>
          <w:lang w:val="ru-RU"/>
        </w:rPr>
        <w:t xml:space="preserve"> в том виде, в каком он представлен в</w:t>
      </w:r>
      <w:r>
        <w:rPr>
          <w:lang w:val="ru-RU"/>
        </w:rPr>
        <w:t xml:space="preserve"> Документе </w:t>
      </w:r>
      <w:hyperlink r:id="rId15" w:history="1">
        <w:r w:rsidRPr="00AD6833">
          <w:rPr>
            <w:rStyle w:val="Hyperlink"/>
            <w:rFonts w:cstheme="minorHAnsi"/>
            <w:szCs w:val="24"/>
          </w:rPr>
          <w:t>C</w:t>
        </w:r>
        <w:r w:rsidRPr="004C3A59">
          <w:rPr>
            <w:rStyle w:val="Hyperlink"/>
            <w:rFonts w:cstheme="minorHAnsi"/>
            <w:szCs w:val="24"/>
            <w:lang w:val="ru-RU"/>
          </w:rPr>
          <w:t>17/28(</w:t>
        </w:r>
        <w:r>
          <w:rPr>
            <w:rStyle w:val="Hyperlink"/>
            <w:rFonts w:cstheme="minorHAnsi"/>
            <w:szCs w:val="24"/>
            <w:lang w:val="en-US"/>
          </w:rPr>
          <w:t>Rev</w:t>
        </w:r>
        <w:r w:rsidRPr="004C3A59">
          <w:rPr>
            <w:rStyle w:val="Hyperlink"/>
            <w:rFonts w:cstheme="minorHAnsi"/>
            <w:szCs w:val="24"/>
            <w:lang w:val="ru-RU"/>
          </w:rPr>
          <w:t>.1)</w:t>
        </w:r>
      </w:hyperlink>
      <w:r w:rsidRPr="000E1B05">
        <w:rPr>
          <w:rFonts w:cstheme="minorHAnsi"/>
          <w:szCs w:val="24"/>
          <w:lang w:val="ru-RU"/>
        </w:rPr>
        <w:t xml:space="preserve">; Сектора стандартизации электросвязи </w:t>
      </w:r>
      <w:r w:rsidRPr="000E1B05">
        <w:rPr>
          <w:lang w:val="ru-RU"/>
        </w:rPr>
        <w:t>в том виде, в каком он представлен</w:t>
      </w:r>
      <w:r w:rsidRPr="000E1B05">
        <w:rPr>
          <w:rFonts w:cstheme="minorHAnsi"/>
          <w:szCs w:val="24"/>
          <w:lang w:val="ru-RU"/>
        </w:rPr>
        <w:t xml:space="preserve"> в</w:t>
      </w:r>
      <w:r>
        <w:rPr>
          <w:rFonts w:cstheme="minorHAnsi"/>
          <w:szCs w:val="24"/>
          <w:lang w:val="ru-RU"/>
        </w:rPr>
        <w:t xml:space="preserve"> </w:t>
      </w:r>
      <w:r>
        <w:rPr>
          <w:lang w:val="ru-RU"/>
        </w:rPr>
        <w:t xml:space="preserve">Документе </w:t>
      </w:r>
      <w:hyperlink r:id="rId16" w:history="1">
        <w:r w:rsidRPr="00AD6833">
          <w:rPr>
            <w:rStyle w:val="Hyperlink"/>
            <w:rFonts w:cstheme="minorHAnsi"/>
            <w:szCs w:val="24"/>
          </w:rPr>
          <w:t>C</w:t>
        </w:r>
        <w:r w:rsidRPr="004C3A59">
          <w:rPr>
            <w:rStyle w:val="Hyperlink"/>
            <w:rFonts w:cstheme="minorHAnsi"/>
            <w:szCs w:val="24"/>
            <w:lang w:val="ru-RU"/>
          </w:rPr>
          <w:t>17/29</w:t>
        </w:r>
      </w:hyperlink>
      <w:r w:rsidRPr="000E1B05">
        <w:rPr>
          <w:rFonts w:cstheme="minorHAnsi"/>
          <w:szCs w:val="24"/>
          <w:lang w:val="ru-RU"/>
        </w:rPr>
        <w:t xml:space="preserve">; Сектора развития электросвязи </w:t>
      </w:r>
      <w:r w:rsidRPr="000E1B05">
        <w:rPr>
          <w:lang w:val="ru-RU"/>
        </w:rPr>
        <w:t>в том виде, в каком он представлен</w:t>
      </w:r>
      <w:r w:rsidRPr="000E1B05">
        <w:rPr>
          <w:rFonts w:cstheme="minorHAnsi"/>
          <w:szCs w:val="24"/>
          <w:lang w:val="ru-RU"/>
        </w:rPr>
        <w:t xml:space="preserve"> в</w:t>
      </w:r>
      <w:r>
        <w:rPr>
          <w:rFonts w:cstheme="minorHAnsi"/>
          <w:szCs w:val="24"/>
          <w:lang w:val="ru-RU"/>
        </w:rPr>
        <w:t xml:space="preserve"> </w:t>
      </w:r>
      <w:r>
        <w:rPr>
          <w:lang w:val="ru-RU"/>
        </w:rPr>
        <w:t xml:space="preserve">Документе </w:t>
      </w:r>
      <w:hyperlink r:id="rId17" w:history="1">
        <w:r w:rsidRPr="00AD6833">
          <w:rPr>
            <w:rStyle w:val="Hyperlink"/>
            <w:rFonts w:cstheme="minorHAnsi"/>
            <w:szCs w:val="24"/>
          </w:rPr>
          <w:t>C</w:t>
        </w:r>
        <w:r w:rsidRPr="004C3A59">
          <w:rPr>
            <w:rStyle w:val="Hyperlink"/>
            <w:rFonts w:cstheme="minorHAnsi"/>
            <w:szCs w:val="24"/>
            <w:lang w:val="ru-RU"/>
          </w:rPr>
          <w:t>17/30(</w:t>
        </w:r>
        <w:r>
          <w:rPr>
            <w:rStyle w:val="Hyperlink"/>
            <w:rFonts w:cstheme="minorHAnsi"/>
            <w:szCs w:val="24"/>
            <w:lang w:val="en-US"/>
          </w:rPr>
          <w:t>Rev</w:t>
        </w:r>
        <w:r w:rsidRPr="004C3A59">
          <w:rPr>
            <w:rStyle w:val="Hyperlink"/>
            <w:rFonts w:cstheme="minorHAnsi"/>
            <w:szCs w:val="24"/>
            <w:lang w:val="ru-RU"/>
          </w:rPr>
          <w:t>.1)</w:t>
        </w:r>
      </w:hyperlink>
      <w:r w:rsidRPr="000E1B05">
        <w:rPr>
          <w:rFonts w:cstheme="minorHAnsi"/>
          <w:szCs w:val="24"/>
          <w:lang w:val="ru-RU"/>
        </w:rPr>
        <w:t xml:space="preserve">; и Генерального секретариата </w:t>
      </w:r>
      <w:r w:rsidRPr="000E1B05">
        <w:rPr>
          <w:lang w:val="ru-RU"/>
        </w:rPr>
        <w:t>в том виде, в каком он представлен в</w:t>
      </w:r>
      <w:r w:rsidRPr="00D1744A">
        <w:rPr>
          <w:lang w:val="ru-RU"/>
        </w:rPr>
        <w:t xml:space="preserve"> </w:t>
      </w:r>
      <w:r>
        <w:rPr>
          <w:lang w:val="ru-RU"/>
        </w:rPr>
        <w:t xml:space="preserve">Документе </w:t>
      </w:r>
      <w:hyperlink r:id="rId18" w:history="1">
        <w:r w:rsidRPr="00AD6833">
          <w:rPr>
            <w:rStyle w:val="Hyperlink"/>
            <w:rFonts w:cstheme="minorHAnsi"/>
            <w:szCs w:val="24"/>
          </w:rPr>
          <w:t>C</w:t>
        </w:r>
        <w:r w:rsidRPr="004C3A59">
          <w:rPr>
            <w:rStyle w:val="Hyperlink"/>
            <w:rFonts w:cstheme="minorHAnsi"/>
            <w:szCs w:val="24"/>
            <w:lang w:val="ru-RU"/>
          </w:rPr>
          <w:t>17/31</w:t>
        </w:r>
      </w:hyperlink>
      <w:r w:rsidRPr="000E1B05">
        <w:rPr>
          <w:rFonts w:cstheme="minorHAnsi"/>
          <w:szCs w:val="24"/>
          <w:lang w:val="ru-RU"/>
        </w:rPr>
        <w:t xml:space="preserve">, </w:t>
      </w:r>
      <w:r w:rsidRPr="000E1B05">
        <w:rPr>
          <w:lang w:val="ru-RU"/>
        </w:rPr>
        <w:t>для достижения намеченных результатов и осущес</w:t>
      </w:r>
      <w:r>
        <w:rPr>
          <w:lang w:val="ru-RU"/>
        </w:rPr>
        <w:t xml:space="preserve">твления деятельности Секторов и </w:t>
      </w:r>
      <w:r w:rsidRPr="000E1B05">
        <w:rPr>
          <w:lang w:val="ru-RU"/>
        </w:rPr>
        <w:t>Генерального секретариата</w:t>
      </w:r>
      <w:r w:rsidRPr="000E1B05">
        <w:rPr>
          <w:rFonts w:cstheme="minorHAnsi"/>
          <w:szCs w:val="24"/>
          <w:lang w:val="ru-RU"/>
        </w:rPr>
        <w:t>; и</w:t>
      </w:r>
    </w:p>
    <w:p w:rsidR="004C3A59" w:rsidRPr="000E1B05" w:rsidRDefault="004C3A59" w:rsidP="004C3A59">
      <w:pPr>
        <w:rPr>
          <w:lang w:val="ru-RU"/>
        </w:rPr>
      </w:pPr>
      <w:r w:rsidRPr="000E1B05">
        <w:rPr>
          <w:lang w:val="ru-RU"/>
        </w:rPr>
        <w:t>2</w:t>
      </w:r>
      <w:r w:rsidRPr="000E1B05">
        <w:rPr>
          <w:lang w:val="ru-RU"/>
        </w:rPr>
        <w:tab/>
        <w:t>предоставить Генеральному секретарю и Директорам необходимую гибкость в осуществлении соответствующих четырехгодичных скользящих Оперативных планов на 201</w:t>
      </w:r>
      <w:r>
        <w:rPr>
          <w:lang w:val="ru-RU"/>
        </w:rPr>
        <w:t>8</w:t>
      </w:r>
      <w:r w:rsidRPr="000E1B05">
        <w:rPr>
          <w:lang w:val="ru-RU"/>
        </w:rPr>
        <w:t>−20</w:t>
      </w:r>
      <w:r>
        <w:rPr>
          <w:lang w:val="ru-RU"/>
        </w:rPr>
        <w:t>21</w:t>
      </w:r>
      <w:r w:rsidRPr="000E1B05">
        <w:rPr>
          <w:lang w:val="ru-RU"/>
        </w:rPr>
        <w:t> годы.</w:t>
      </w:r>
    </w:p>
    <w:p w:rsidR="00ED7B54" w:rsidRDefault="00ED7B54" w:rsidP="00BF5642">
      <w:pPr>
        <w:spacing w:before="480"/>
        <w:jc w:val="center"/>
      </w:pPr>
      <w:r>
        <w:t>______________</w:t>
      </w:r>
    </w:p>
    <w:sectPr w:rsidR="00ED7B54" w:rsidSect="00CF629C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BF5642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BF5642">
      <w:rPr>
        <w:lang w:val="fr-CH"/>
      </w:rPr>
      <w:instrText xml:space="preserve"> FILENAME \p  \* MERGEFORMAT </w:instrText>
    </w:r>
    <w:r>
      <w:fldChar w:fldCharType="separate"/>
    </w:r>
    <w:r w:rsidR="008546D8">
      <w:rPr>
        <w:lang w:val="fr-CH"/>
      </w:rPr>
      <w:t>P:\RUS\SG\CONSEIL\C17\100\138R.docx</w:t>
    </w:r>
    <w:r>
      <w:rPr>
        <w:lang w:val="en-US"/>
      </w:rPr>
      <w:fldChar w:fldCharType="end"/>
    </w:r>
    <w:r w:rsidR="000E568E" w:rsidRPr="00BF5642">
      <w:rPr>
        <w:lang w:val="fr-CH"/>
      </w:rPr>
      <w:t xml:space="preserve"> ()</w:t>
    </w:r>
    <w:r w:rsidR="000E568E" w:rsidRPr="00BF5642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E35AB">
      <w:t>07.06.17</w:t>
    </w:r>
    <w:r w:rsidR="002D48C5">
      <w:fldChar w:fldCharType="end"/>
    </w:r>
    <w:r w:rsidR="000E568E" w:rsidRPr="00BF5642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546D8">
      <w:t>07.06.17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BF5642" w:rsidRDefault="00AE35AB" w:rsidP="004C3A59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546D8" w:rsidRPr="008546D8">
      <w:rPr>
        <w:lang w:val="fr-CH"/>
      </w:rPr>
      <w:t>P</w:t>
    </w:r>
    <w:r w:rsidR="008546D8">
      <w:t>:\RUS\SG\CONSEIL\C17\100\138R.docx</w:t>
    </w:r>
    <w:r>
      <w:fldChar w:fldCharType="end"/>
    </w:r>
    <w:r w:rsidR="000E568E" w:rsidRPr="00BF5642">
      <w:rPr>
        <w:lang w:val="fr-CH"/>
      </w:rPr>
      <w:t xml:space="preserve"> (</w:t>
    </w:r>
    <w:r w:rsidR="004C3A59" w:rsidRPr="004C3A59">
      <w:rPr>
        <w:lang w:val="fr-CH"/>
      </w:rPr>
      <w:t>419329</w:t>
    </w:r>
    <w:r w:rsidR="000E568E" w:rsidRPr="00BF5642">
      <w:rPr>
        <w:lang w:val="fr-CH"/>
      </w:rPr>
      <w:t>)</w:t>
    </w:r>
    <w:r w:rsidR="000E568E" w:rsidRPr="00BF5642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>
      <w:t>07.06.17</w:t>
    </w:r>
    <w:r w:rsidR="002D48C5">
      <w:fldChar w:fldCharType="end"/>
    </w:r>
    <w:r w:rsidR="000E568E" w:rsidRPr="00BF5642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546D8">
      <w:t>07.06.17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72C53">
      <w:rPr>
        <w:noProof/>
      </w:rPr>
      <w:t>2</w:t>
    </w:r>
    <w:r>
      <w:rPr>
        <w:noProof/>
      </w:rPr>
      <w:fldChar w:fldCharType="end"/>
    </w:r>
  </w:p>
  <w:p w:rsidR="000E568E" w:rsidRDefault="000E568E" w:rsidP="008B62B4">
    <w:pPr>
      <w:pStyle w:val="Header"/>
      <w:spacing w:after="480"/>
    </w:pPr>
    <w:r>
      <w:t>C</w:t>
    </w:r>
    <w:r w:rsidR="003F099E">
      <w:t>1</w:t>
    </w:r>
    <w:r w:rsidR="008B62B4">
      <w:t>7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0374"/>
    <w:rsid w:val="004A45B5"/>
    <w:rsid w:val="004C3A59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546D8"/>
    <w:rsid w:val="008B62B4"/>
    <w:rsid w:val="008B7961"/>
    <w:rsid w:val="008D2D7B"/>
    <w:rsid w:val="008E0737"/>
    <w:rsid w:val="008F6A2F"/>
    <w:rsid w:val="008F7C2C"/>
    <w:rsid w:val="00940E96"/>
    <w:rsid w:val="009B0BAE"/>
    <w:rsid w:val="009C1C89"/>
    <w:rsid w:val="009F3448"/>
    <w:rsid w:val="00A71773"/>
    <w:rsid w:val="00A72C53"/>
    <w:rsid w:val="00AE2C85"/>
    <w:rsid w:val="00AE35AB"/>
    <w:rsid w:val="00B12A37"/>
    <w:rsid w:val="00B63EF2"/>
    <w:rsid w:val="00BC0D39"/>
    <w:rsid w:val="00BC7BC0"/>
    <w:rsid w:val="00BD57B7"/>
    <w:rsid w:val="00BE63E2"/>
    <w:rsid w:val="00BF564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D7B54"/>
    <w:rsid w:val="00F35898"/>
    <w:rsid w:val="00F5225B"/>
    <w:rsid w:val="00FE54D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7-CL-C-0028/en" TargetMode="External"/><Relationship Id="rId13" Type="http://schemas.openxmlformats.org/officeDocument/2006/relationships/hyperlink" Target="https://www.itu.int/en/ITU-D/TIES_Protected/OP2015-2018.pdf" TargetMode="External"/><Relationship Id="rId18" Type="http://schemas.openxmlformats.org/officeDocument/2006/relationships/hyperlink" Target="http://www.itu.int/md/S17-CL-C-0031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7-CL-C-0030/en" TargetMode="External"/><Relationship Id="rId17" Type="http://schemas.openxmlformats.org/officeDocument/2006/relationships/hyperlink" Target="http://www.itu.int/md/S17-CL-C-0030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S17-CL-C-0029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oth/T2401000011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S17-CL-C-0028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S17-CL-C-0029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oth/R0B05000017/en" TargetMode="External"/><Relationship Id="rId14" Type="http://schemas.openxmlformats.org/officeDocument/2006/relationships/hyperlink" Target="http://www.itu.int/md/S17-CL-C-0031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</TotalTime>
  <Pages>1</Pages>
  <Words>222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2396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2017-06-07T12:43:00Z</cp:lastPrinted>
  <dcterms:created xsi:type="dcterms:W3CDTF">2017-06-07T12:43:00Z</dcterms:created>
  <dcterms:modified xsi:type="dcterms:W3CDTF">2017-06-09T09:37:00Z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