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4F6487">
        <w:trPr>
          <w:cantSplit/>
        </w:trPr>
        <w:tc>
          <w:tcPr>
            <w:tcW w:w="6912" w:type="dxa"/>
          </w:tcPr>
          <w:p w:rsidR="00520F36" w:rsidRPr="004F6487" w:rsidRDefault="00520F36" w:rsidP="00520F36">
            <w:pPr>
              <w:spacing w:before="360"/>
            </w:pPr>
            <w:bookmarkStart w:id="0" w:name="dc06"/>
            <w:bookmarkEnd w:id="0"/>
            <w:r w:rsidRPr="004F6487">
              <w:rPr>
                <w:b/>
                <w:bCs/>
                <w:sz w:val="30"/>
                <w:szCs w:val="30"/>
              </w:rPr>
              <w:t>Conseil 2017</w:t>
            </w:r>
            <w:r w:rsidRPr="004F6487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4F6487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4F6487" w:rsidRDefault="00520F36" w:rsidP="00520F36">
            <w:pPr>
              <w:spacing w:before="0"/>
              <w:jc w:val="right"/>
            </w:pPr>
            <w:bookmarkStart w:id="1" w:name="ditulogo"/>
            <w:bookmarkEnd w:id="1"/>
            <w:r w:rsidRPr="004F648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4F648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4F6487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4F6487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4F648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4F6487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4F6487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4F6487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4F6487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4F6487" w:rsidRDefault="00520F36" w:rsidP="00520F36">
            <w:pPr>
              <w:spacing w:before="0"/>
              <w:rPr>
                <w:b/>
                <w:bCs/>
              </w:rPr>
            </w:pPr>
            <w:r w:rsidRPr="004F6487">
              <w:rPr>
                <w:b/>
                <w:bCs/>
              </w:rPr>
              <w:t>Document C17/</w:t>
            </w:r>
            <w:r w:rsidR="000A4AA0" w:rsidRPr="004F6487">
              <w:rPr>
                <w:b/>
                <w:bCs/>
              </w:rPr>
              <w:t>122</w:t>
            </w:r>
            <w:r w:rsidRPr="004F6487">
              <w:rPr>
                <w:b/>
                <w:bCs/>
              </w:rPr>
              <w:t>-F</w:t>
            </w:r>
          </w:p>
        </w:tc>
      </w:tr>
      <w:tr w:rsidR="00520F36" w:rsidRPr="004F6487">
        <w:trPr>
          <w:cantSplit/>
          <w:trHeight w:val="20"/>
        </w:trPr>
        <w:tc>
          <w:tcPr>
            <w:tcW w:w="6912" w:type="dxa"/>
            <w:vMerge/>
          </w:tcPr>
          <w:p w:rsidR="00520F36" w:rsidRPr="004F6487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4F6487" w:rsidRDefault="000A4AA0" w:rsidP="00520F36">
            <w:pPr>
              <w:spacing w:before="0"/>
              <w:rPr>
                <w:b/>
                <w:bCs/>
              </w:rPr>
            </w:pPr>
            <w:r w:rsidRPr="004F6487">
              <w:rPr>
                <w:b/>
                <w:bCs/>
              </w:rPr>
              <w:t>23 mai</w:t>
            </w:r>
            <w:r w:rsidR="00520F36" w:rsidRPr="004F6487">
              <w:rPr>
                <w:b/>
                <w:bCs/>
              </w:rPr>
              <w:t xml:space="preserve"> 2017</w:t>
            </w:r>
          </w:p>
        </w:tc>
      </w:tr>
      <w:tr w:rsidR="00520F36" w:rsidRPr="004F6487">
        <w:trPr>
          <w:cantSplit/>
          <w:trHeight w:val="20"/>
        </w:trPr>
        <w:tc>
          <w:tcPr>
            <w:tcW w:w="6912" w:type="dxa"/>
            <w:vMerge/>
          </w:tcPr>
          <w:p w:rsidR="00520F36" w:rsidRPr="004F6487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4F6487" w:rsidRDefault="00520F36" w:rsidP="00520F36">
            <w:pPr>
              <w:spacing w:before="0"/>
              <w:rPr>
                <w:b/>
                <w:bCs/>
              </w:rPr>
            </w:pPr>
            <w:proofErr w:type="gramStart"/>
            <w:r w:rsidRPr="004F6487">
              <w:rPr>
                <w:b/>
                <w:bCs/>
              </w:rPr>
              <w:t>Original:</w:t>
            </w:r>
            <w:proofErr w:type="gramEnd"/>
            <w:r w:rsidRPr="004F6487">
              <w:rPr>
                <w:b/>
                <w:bCs/>
              </w:rPr>
              <w:t xml:space="preserve"> anglais</w:t>
            </w:r>
          </w:p>
        </w:tc>
      </w:tr>
      <w:tr w:rsidR="00520F36" w:rsidRPr="004F6487">
        <w:trPr>
          <w:cantSplit/>
        </w:trPr>
        <w:tc>
          <w:tcPr>
            <w:tcW w:w="10173" w:type="dxa"/>
            <w:gridSpan w:val="2"/>
          </w:tcPr>
          <w:p w:rsidR="009275AC" w:rsidRDefault="000A4AA0" w:rsidP="009275AC">
            <w:pPr>
              <w:pStyle w:val="Title1"/>
              <w:spacing w:before="600"/>
            </w:pPr>
            <w:bookmarkStart w:id="6" w:name="dtitle1" w:colFirst="0" w:colLast="0"/>
            <w:bookmarkEnd w:id="5"/>
            <w:r w:rsidRPr="004F6487">
              <w:t xml:space="preserve">COMPTE RENDU </w:t>
            </w:r>
          </w:p>
          <w:p w:rsidR="009275AC" w:rsidRDefault="000A4AA0" w:rsidP="009275AC">
            <w:pPr>
              <w:pStyle w:val="Title1"/>
              <w:spacing w:before="600"/>
            </w:pPr>
            <w:r w:rsidRPr="004F6487">
              <w:t>DE L</w:t>
            </w:r>
            <w:r w:rsidR="00232759">
              <w:t xml:space="preserve"> </w:t>
            </w:r>
            <w:r w:rsidRPr="004F6487">
              <w:t xml:space="preserve">A </w:t>
            </w:r>
          </w:p>
          <w:p w:rsidR="00520F36" w:rsidRPr="004F6487" w:rsidRDefault="000A4AA0" w:rsidP="009275AC">
            <w:pPr>
              <w:pStyle w:val="Title1"/>
              <w:spacing w:before="600"/>
            </w:pPr>
            <w:r w:rsidRPr="004F6487">
              <w:t xml:space="preserve">CINQUIème séance plénière </w:t>
            </w:r>
          </w:p>
        </w:tc>
      </w:tr>
      <w:tr w:rsidR="000A4AA0" w:rsidRPr="004F6487">
        <w:trPr>
          <w:cantSplit/>
        </w:trPr>
        <w:tc>
          <w:tcPr>
            <w:tcW w:w="10173" w:type="dxa"/>
            <w:gridSpan w:val="2"/>
          </w:tcPr>
          <w:p w:rsidR="000A4AA0" w:rsidRPr="009275AC" w:rsidRDefault="000A4AA0" w:rsidP="000A4AA0">
            <w:pPr>
              <w:pStyle w:val="Title1"/>
              <w:rPr>
                <w:sz w:val="24"/>
                <w:szCs w:val="24"/>
              </w:rPr>
            </w:pPr>
            <w:r w:rsidRPr="009275AC">
              <w:rPr>
                <w:caps w:val="0"/>
                <w:sz w:val="24"/>
                <w:szCs w:val="24"/>
              </w:rPr>
              <w:t>Vendredi 19 mai 2017, de 9</w:t>
            </w:r>
            <w:r w:rsidR="009275AC">
              <w:rPr>
                <w:caps w:val="0"/>
                <w:sz w:val="24"/>
                <w:szCs w:val="24"/>
              </w:rPr>
              <w:t xml:space="preserve"> </w:t>
            </w:r>
            <w:r w:rsidRPr="009275AC">
              <w:rPr>
                <w:caps w:val="0"/>
                <w:sz w:val="24"/>
                <w:szCs w:val="24"/>
              </w:rPr>
              <w:t>h</w:t>
            </w:r>
            <w:r w:rsidR="009275AC">
              <w:rPr>
                <w:caps w:val="0"/>
                <w:sz w:val="24"/>
                <w:szCs w:val="24"/>
              </w:rPr>
              <w:t xml:space="preserve"> </w:t>
            </w:r>
            <w:r w:rsidRPr="009275AC">
              <w:rPr>
                <w:caps w:val="0"/>
                <w:sz w:val="24"/>
                <w:szCs w:val="24"/>
              </w:rPr>
              <w:t>05 à 12</w:t>
            </w:r>
            <w:r w:rsidR="009275AC">
              <w:rPr>
                <w:caps w:val="0"/>
                <w:sz w:val="24"/>
                <w:szCs w:val="24"/>
              </w:rPr>
              <w:t xml:space="preserve"> </w:t>
            </w:r>
            <w:r w:rsidRPr="009275AC">
              <w:rPr>
                <w:caps w:val="0"/>
                <w:sz w:val="24"/>
                <w:szCs w:val="24"/>
              </w:rPr>
              <w:t>h</w:t>
            </w:r>
            <w:r w:rsidR="009275AC">
              <w:rPr>
                <w:caps w:val="0"/>
                <w:sz w:val="24"/>
                <w:szCs w:val="24"/>
              </w:rPr>
              <w:t xml:space="preserve"> </w:t>
            </w:r>
            <w:r w:rsidRPr="009275AC">
              <w:rPr>
                <w:caps w:val="0"/>
                <w:sz w:val="24"/>
                <w:szCs w:val="24"/>
              </w:rPr>
              <w:t>05</w:t>
            </w:r>
            <w:bookmarkStart w:id="7" w:name="_GoBack"/>
            <w:bookmarkEnd w:id="7"/>
          </w:p>
        </w:tc>
      </w:tr>
      <w:tr w:rsidR="000A4AA0" w:rsidRPr="004F6487">
        <w:trPr>
          <w:cantSplit/>
        </w:trPr>
        <w:tc>
          <w:tcPr>
            <w:tcW w:w="10173" w:type="dxa"/>
            <w:gridSpan w:val="2"/>
          </w:tcPr>
          <w:p w:rsidR="000A4AA0" w:rsidRPr="009275AC" w:rsidRDefault="000A4AA0" w:rsidP="000A4AA0">
            <w:pPr>
              <w:pStyle w:val="Title1"/>
              <w:rPr>
                <w:caps w:val="0"/>
                <w:sz w:val="24"/>
                <w:szCs w:val="24"/>
              </w:rPr>
            </w:pPr>
            <w:proofErr w:type="gramStart"/>
            <w:r w:rsidRPr="009275AC">
              <w:rPr>
                <w:b/>
                <w:bCs/>
                <w:caps w:val="0"/>
                <w:sz w:val="24"/>
                <w:szCs w:val="24"/>
              </w:rPr>
              <w:t>Présidente</w:t>
            </w:r>
            <w:r w:rsidR="004F6487" w:rsidRPr="009275AC">
              <w:rPr>
                <w:caps w:val="0"/>
                <w:sz w:val="24"/>
                <w:szCs w:val="24"/>
              </w:rPr>
              <w:t>:</w:t>
            </w:r>
            <w:proofErr w:type="gramEnd"/>
            <w:r w:rsidR="004F6487" w:rsidRPr="009275AC">
              <w:rPr>
                <w:caps w:val="0"/>
                <w:sz w:val="24"/>
                <w:szCs w:val="24"/>
              </w:rPr>
              <w:t xml:space="preserve"> </w:t>
            </w:r>
            <w:r w:rsidRPr="009275AC">
              <w:rPr>
                <w:caps w:val="0"/>
                <w:sz w:val="24"/>
                <w:szCs w:val="24"/>
              </w:rPr>
              <w:t>Mme E. Spina</w:t>
            </w:r>
          </w:p>
        </w:tc>
      </w:tr>
      <w:bookmarkEnd w:id="6"/>
    </w:tbl>
    <w:p w:rsidR="000A4AA0" w:rsidRPr="004F6487" w:rsidRDefault="000A4AA0" w:rsidP="000A4AA0">
      <w:pPr>
        <w:spacing w:before="960"/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21"/>
        <w:gridCol w:w="7215"/>
        <w:gridCol w:w="2069"/>
      </w:tblGrid>
      <w:tr w:rsidR="000A4AA0" w:rsidRPr="004F6487" w:rsidTr="000A7FA3">
        <w:tc>
          <w:tcPr>
            <w:tcW w:w="266" w:type="pct"/>
          </w:tcPr>
          <w:p w:rsidR="000A4AA0" w:rsidRPr="004F6487" w:rsidRDefault="000A4AA0" w:rsidP="000A4AA0">
            <w:pPr>
              <w:rPr>
                <w:b/>
              </w:rPr>
            </w:pPr>
            <w:bookmarkStart w:id="8" w:name="dstart"/>
            <w:bookmarkStart w:id="9" w:name="dbreak"/>
            <w:bookmarkEnd w:id="8"/>
            <w:bookmarkEnd w:id="9"/>
          </w:p>
        </w:tc>
        <w:tc>
          <w:tcPr>
            <w:tcW w:w="3679" w:type="pct"/>
          </w:tcPr>
          <w:p w:rsidR="000A4AA0" w:rsidRPr="004F6487" w:rsidRDefault="000A4AA0" w:rsidP="000A4AA0">
            <w:pPr>
              <w:rPr>
                <w:b/>
              </w:rPr>
            </w:pPr>
            <w:r w:rsidRPr="004F6487">
              <w:rPr>
                <w:b/>
              </w:rPr>
              <w:t>Sujets traités</w:t>
            </w:r>
          </w:p>
        </w:tc>
        <w:tc>
          <w:tcPr>
            <w:tcW w:w="1055" w:type="pct"/>
          </w:tcPr>
          <w:p w:rsidR="000A4AA0" w:rsidRPr="004F6487" w:rsidRDefault="000A4AA0" w:rsidP="009275AC">
            <w:pPr>
              <w:jc w:val="center"/>
              <w:rPr>
                <w:b/>
              </w:rPr>
            </w:pPr>
            <w:r w:rsidRPr="004F6487">
              <w:rPr>
                <w:b/>
              </w:rPr>
              <w:t>Documents</w:t>
            </w:r>
          </w:p>
        </w:tc>
      </w:tr>
      <w:tr w:rsidR="000A4AA0" w:rsidRPr="004F6487" w:rsidTr="000A7FA3">
        <w:tc>
          <w:tcPr>
            <w:tcW w:w="266" w:type="pct"/>
          </w:tcPr>
          <w:p w:rsidR="000A4AA0" w:rsidRPr="004F6487" w:rsidRDefault="000A4AA0" w:rsidP="000A4AA0">
            <w:r w:rsidRPr="004F6487">
              <w:t>1</w:t>
            </w:r>
          </w:p>
        </w:tc>
        <w:tc>
          <w:tcPr>
            <w:tcW w:w="3679" w:type="pct"/>
          </w:tcPr>
          <w:p w:rsidR="000A4AA0" w:rsidRPr="004F6487" w:rsidRDefault="000A4AA0" w:rsidP="000A4AA0">
            <w:r w:rsidRPr="004F6487">
              <w:t>Rapport du Président du Groupe de travail du Conseil sur les questions de politiques publiques internationales relatives à l</w:t>
            </w:r>
            <w:r w:rsidR="004F6487">
              <w:t>'</w:t>
            </w:r>
            <w:r w:rsidRPr="004F6487">
              <w:t xml:space="preserve">Internet </w:t>
            </w:r>
          </w:p>
        </w:tc>
        <w:tc>
          <w:tcPr>
            <w:tcW w:w="1055" w:type="pct"/>
          </w:tcPr>
          <w:p w:rsidR="000A4AA0" w:rsidRPr="004F6487" w:rsidRDefault="00460602" w:rsidP="009275AC">
            <w:pPr>
              <w:jc w:val="center"/>
            </w:pPr>
            <w:hyperlink r:id="rId8" w:history="1">
              <w:r w:rsidR="000A4AA0" w:rsidRPr="004F6487">
                <w:rPr>
                  <w:rStyle w:val="Hyperlink"/>
                </w:rPr>
                <w:t>C17/51</w:t>
              </w:r>
            </w:hyperlink>
            <w:r w:rsidR="000A4AA0" w:rsidRPr="004F6487">
              <w:t xml:space="preserve">, </w:t>
            </w:r>
            <w:hyperlink r:id="rId9" w:history="1">
              <w:r w:rsidR="000A4AA0" w:rsidRPr="004F6487">
                <w:rPr>
                  <w:rStyle w:val="Hyperlink"/>
                </w:rPr>
                <w:t>C17/88</w:t>
              </w:r>
            </w:hyperlink>
            <w:r w:rsidR="000A4AA0" w:rsidRPr="004F6487">
              <w:t xml:space="preserve">, </w:t>
            </w:r>
            <w:hyperlink r:id="rId10" w:history="1">
              <w:r w:rsidR="000A4AA0" w:rsidRPr="004F6487">
                <w:rPr>
                  <w:rStyle w:val="Hyperlink"/>
                </w:rPr>
                <w:t>C17/90</w:t>
              </w:r>
            </w:hyperlink>
            <w:r w:rsidR="000A4AA0" w:rsidRPr="004F6487">
              <w:t xml:space="preserve">, </w:t>
            </w:r>
            <w:hyperlink r:id="rId11" w:history="1">
              <w:r w:rsidR="000A4AA0" w:rsidRPr="004F6487">
                <w:rPr>
                  <w:rStyle w:val="Hyperlink"/>
                </w:rPr>
                <w:t>C17/91</w:t>
              </w:r>
            </w:hyperlink>
            <w:r w:rsidR="000A4AA0" w:rsidRPr="004F6487">
              <w:t xml:space="preserve">, </w:t>
            </w:r>
            <w:hyperlink r:id="rId12" w:history="1">
              <w:r w:rsidR="000A4AA0" w:rsidRPr="004F6487">
                <w:rPr>
                  <w:rStyle w:val="Hyperlink"/>
                </w:rPr>
                <w:t>C17/103</w:t>
              </w:r>
            </w:hyperlink>
            <w:r w:rsidR="000A4AA0" w:rsidRPr="004F6487">
              <w:t xml:space="preserve">, </w:t>
            </w:r>
            <w:hyperlink r:id="rId13" w:history="1">
              <w:r w:rsidR="000A4AA0" w:rsidRPr="004F6487">
                <w:rPr>
                  <w:rStyle w:val="Hyperlink"/>
                </w:rPr>
                <w:t>C17/105</w:t>
              </w:r>
            </w:hyperlink>
          </w:p>
        </w:tc>
      </w:tr>
      <w:tr w:rsidR="000A4AA0" w:rsidRPr="004F6487" w:rsidTr="000A7FA3">
        <w:tc>
          <w:tcPr>
            <w:tcW w:w="266" w:type="pct"/>
          </w:tcPr>
          <w:p w:rsidR="000A4AA0" w:rsidRPr="004F6487" w:rsidRDefault="000A4AA0" w:rsidP="000A4AA0">
            <w:r w:rsidRPr="004F6487">
              <w:t>2</w:t>
            </w:r>
          </w:p>
        </w:tc>
        <w:tc>
          <w:tcPr>
            <w:tcW w:w="3679" w:type="pct"/>
          </w:tcPr>
          <w:p w:rsidR="000A4AA0" w:rsidRPr="004F6487" w:rsidRDefault="000A4AA0" w:rsidP="000A4AA0">
            <w:r w:rsidRPr="004F6487">
              <w:t>Déclaration du Ministre des communications du Nigéria</w:t>
            </w:r>
          </w:p>
        </w:tc>
        <w:tc>
          <w:tcPr>
            <w:tcW w:w="1055" w:type="pct"/>
          </w:tcPr>
          <w:p w:rsidR="000A4AA0" w:rsidRPr="004F6487" w:rsidRDefault="009275AC" w:rsidP="009275AC">
            <w:pPr>
              <w:jc w:val="center"/>
            </w:pPr>
            <w:r>
              <w:t>–</w:t>
            </w:r>
          </w:p>
        </w:tc>
      </w:tr>
    </w:tbl>
    <w:p w:rsidR="000A4AA0" w:rsidRPr="004F6487" w:rsidRDefault="000A4AA0" w:rsidP="000A4AA0"/>
    <w:p w:rsidR="000A4AA0" w:rsidRPr="004F6487" w:rsidRDefault="000A4AA0" w:rsidP="000A4AA0">
      <w:r w:rsidRPr="004F6487">
        <w:br w:type="page"/>
      </w:r>
    </w:p>
    <w:p w:rsidR="000A4AA0" w:rsidRPr="004F6487" w:rsidRDefault="000A4AA0" w:rsidP="009275AC">
      <w:pPr>
        <w:pStyle w:val="Heading1"/>
      </w:pPr>
      <w:r w:rsidRPr="004F6487">
        <w:rPr>
          <w:bCs/>
        </w:rPr>
        <w:lastRenderedPageBreak/>
        <w:t>1</w:t>
      </w:r>
      <w:r w:rsidRPr="004F6487">
        <w:rPr>
          <w:bCs/>
        </w:rPr>
        <w:tab/>
      </w:r>
      <w:r w:rsidRPr="004F6487">
        <w:t xml:space="preserve">Rapport du Président du Groupe de travail </w:t>
      </w:r>
      <w:r w:rsidR="009275AC">
        <w:t>du Conseil sur les questions de </w:t>
      </w:r>
      <w:r w:rsidRPr="004F6487">
        <w:t>politiques publiques internationales relatives à l</w:t>
      </w:r>
      <w:r w:rsidR="004F6487">
        <w:t>'</w:t>
      </w:r>
      <w:r w:rsidRPr="004F6487">
        <w:t>Internet (Documents</w:t>
      </w:r>
      <w:r w:rsidR="009275AC">
        <w:t> </w:t>
      </w:r>
      <w:hyperlink r:id="rId14" w:history="1">
        <w:r w:rsidRPr="004F6487">
          <w:rPr>
            <w:rStyle w:val="Hyperlink"/>
            <w:bCs/>
          </w:rPr>
          <w:t>C17/51</w:t>
        </w:r>
      </w:hyperlink>
      <w:r w:rsidRPr="004F6487">
        <w:rPr>
          <w:bCs/>
        </w:rPr>
        <w:t xml:space="preserve">, </w:t>
      </w:r>
      <w:hyperlink r:id="rId15" w:history="1">
        <w:r w:rsidRPr="004F6487">
          <w:rPr>
            <w:rStyle w:val="Hyperlink"/>
            <w:bCs/>
          </w:rPr>
          <w:t>C17/88</w:t>
        </w:r>
      </w:hyperlink>
      <w:r w:rsidRPr="004F6487">
        <w:rPr>
          <w:bCs/>
        </w:rPr>
        <w:t xml:space="preserve">, </w:t>
      </w:r>
      <w:hyperlink r:id="rId16" w:history="1">
        <w:r w:rsidRPr="004F6487">
          <w:rPr>
            <w:rStyle w:val="Hyperlink"/>
            <w:bCs/>
          </w:rPr>
          <w:t>C17/90</w:t>
        </w:r>
      </w:hyperlink>
      <w:r w:rsidRPr="004F6487">
        <w:rPr>
          <w:bCs/>
        </w:rPr>
        <w:t xml:space="preserve">, </w:t>
      </w:r>
      <w:hyperlink r:id="rId17" w:history="1">
        <w:r w:rsidRPr="004F6487">
          <w:rPr>
            <w:rStyle w:val="Hyperlink"/>
            <w:bCs/>
          </w:rPr>
          <w:t>C17/91</w:t>
        </w:r>
      </w:hyperlink>
      <w:r w:rsidRPr="004F6487">
        <w:rPr>
          <w:bCs/>
        </w:rPr>
        <w:t xml:space="preserve">, </w:t>
      </w:r>
      <w:hyperlink r:id="rId18" w:history="1">
        <w:r w:rsidRPr="004F6487">
          <w:rPr>
            <w:rStyle w:val="Hyperlink"/>
            <w:bCs/>
          </w:rPr>
          <w:t>C17/103</w:t>
        </w:r>
      </w:hyperlink>
      <w:r w:rsidRPr="004F6487">
        <w:rPr>
          <w:bCs/>
        </w:rPr>
        <w:t xml:space="preserve"> et </w:t>
      </w:r>
      <w:hyperlink r:id="rId19" w:history="1">
        <w:r w:rsidRPr="004F6487">
          <w:rPr>
            <w:rStyle w:val="Hyperlink"/>
            <w:bCs/>
          </w:rPr>
          <w:t>C17/105</w:t>
        </w:r>
      </w:hyperlink>
      <w:r w:rsidRPr="004F6487">
        <w:t>)</w:t>
      </w:r>
    </w:p>
    <w:p w:rsidR="000A4AA0" w:rsidRPr="004F6487" w:rsidRDefault="000A4AA0" w:rsidP="00AB4B47">
      <w:r w:rsidRPr="004F6487">
        <w:t>1.1</w:t>
      </w:r>
      <w:r w:rsidRPr="004F6487">
        <w:tab/>
        <w:t>Le Président du Groupe de travail du Conseil sur les questions de politiques publiques internationales relatives à l</w:t>
      </w:r>
      <w:r w:rsidR="004F6487">
        <w:t>'</w:t>
      </w:r>
      <w:r w:rsidRPr="004F6487">
        <w:t>Internet (GTC-Internet) présent</w:t>
      </w:r>
      <w:r w:rsidR="00AB4B47" w:rsidRPr="004F6487">
        <w:t>e</w:t>
      </w:r>
      <w:r w:rsidR="00CE1614">
        <w:t xml:space="preserve"> le D</w:t>
      </w:r>
      <w:r w:rsidRPr="004F6487">
        <w:t xml:space="preserve">ocument C17/51, qui récapitule les résultats des huitième et neuvième réunions du Groupe GTC-Internet. </w:t>
      </w:r>
      <w:r w:rsidR="00AB4B47" w:rsidRPr="004F6487">
        <w:t>Il est</w:t>
      </w:r>
      <w:r w:rsidRPr="004F6487">
        <w:t xml:space="preserve"> demandé au Conseil de donner des orientations sur le thème de la prochaine </w:t>
      </w:r>
      <w:r w:rsidR="009275AC">
        <w:t>consultation ouverte, le Groupe </w:t>
      </w:r>
      <w:r w:rsidRPr="004F6487">
        <w:t>GTC-Internet n</w:t>
      </w:r>
      <w:r w:rsidR="004F6487">
        <w:t>'</w:t>
      </w:r>
      <w:r w:rsidRPr="004F6487">
        <w:t xml:space="preserve">étant pas parvenu à un consensus sur les deux thèmes envisagés, à savoir </w:t>
      </w:r>
      <w:r w:rsidR="004F6487">
        <w:t>"</w:t>
      </w:r>
      <w:r w:rsidRPr="004F6487">
        <w:t>Réduire la fracture numérique entre les hommes et les femmes</w:t>
      </w:r>
      <w:r w:rsidR="004F6487">
        <w:t>"</w:t>
      </w:r>
      <w:r w:rsidRPr="004F6487">
        <w:t xml:space="preserve"> et </w:t>
      </w:r>
      <w:r w:rsidR="004F6487">
        <w:t>"</w:t>
      </w:r>
      <w:r w:rsidRPr="004F6487">
        <w:t>Considérations relatives aux politiques publiques pour les OTT</w:t>
      </w:r>
      <w:r w:rsidR="004F6487">
        <w:t>"</w:t>
      </w:r>
      <w:r w:rsidRPr="004F6487">
        <w:t>.</w:t>
      </w:r>
    </w:p>
    <w:p w:rsidR="000A4AA0" w:rsidRPr="004F6487" w:rsidRDefault="000A4AA0" w:rsidP="005D7CF8">
      <w:r w:rsidRPr="004F6487">
        <w:t>1.2</w:t>
      </w:r>
      <w:r w:rsidRPr="004F6487">
        <w:tab/>
      </w:r>
      <w:r w:rsidR="00AB4B47" w:rsidRPr="004F6487">
        <w:t>Le C</w:t>
      </w:r>
      <w:r w:rsidRPr="004F6487">
        <w:t>onseiller de l</w:t>
      </w:r>
      <w:r w:rsidR="004F6487">
        <w:t>'</w:t>
      </w:r>
      <w:r w:rsidR="00AB4B47" w:rsidRPr="004F6487">
        <w:t>Inde présente</w:t>
      </w:r>
      <w:r w:rsidR="00CE1614">
        <w:t xml:space="preserve"> le D</w:t>
      </w:r>
      <w:r w:rsidRPr="004F6487">
        <w:t>ocument C17/88, dans lequel</w:t>
      </w:r>
      <w:r w:rsidR="00AB4B47" w:rsidRPr="004F6487">
        <w:t xml:space="preserve"> son pays</w:t>
      </w:r>
      <w:r w:rsidRPr="004F6487">
        <w:t xml:space="preserve"> se prononce en faveur du thème </w:t>
      </w:r>
      <w:r w:rsidR="004F6487">
        <w:t>"</w:t>
      </w:r>
      <w:r w:rsidRPr="004F6487">
        <w:t>Considérations relatives aux politiques publiques pour les OTT</w:t>
      </w:r>
      <w:r w:rsidR="004F6487">
        <w:t>"</w:t>
      </w:r>
      <w:r w:rsidRPr="004F6487">
        <w:t xml:space="preserve"> pour la</w:t>
      </w:r>
      <w:r w:rsidR="005D7CF8">
        <w:t> </w:t>
      </w:r>
      <w:r w:rsidRPr="004F6487">
        <w:t>prochaine consultation ouverte.</w:t>
      </w:r>
    </w:p>
    <w:p w:rsidR="000A4AA0" w:rsidRPr="004F6487" w:rsidRDefault="000A4AA0" w:rsidP="00AB4B47">
      <w:proofErr w:type="gramStart"/>
      <w:r w:rsidRPr="004F6487">
        <w:t>1.3</w:t>
      </w:r>
      <w:r w:rsidRPr="004F6487">
        <w:tab/>
        <w:t>L</w:t>
      </w:r>
      <w:r w:rsidR="00AB4B47" w:rsidRPr="004F6487">
        <w:t>e Conseiller de la Chine présente</w:t>
      </w:r>
      <w:r w:rsidR="009275AC">
        <w:t xml:space="preserve"> le D</w:t>
      </w:r>
      <w:r w:rsidRPr="004F6487">
        <w:t>ocument C17/90, dans lequel il est proposé que</w:t>
      </w:r>
      <w:r w:rsidR="00AB4B47" w:rsidRPr="004F6487">
        <w:t>,</w:t>
      </w:r>
      <w:r w:rsidRPr="004F6487">
        <w:t xml:space="preserve"> pour déterminer les thèmes des consultations ouvertes, le Groupe GTC-Internet donne la priorité aux thèmes énumérés dans la Résolution 1305 du Conseil (2009), en particulier ceux qui n</w:t>
      </w:r>
      <w:r w:rsidR="004F6487">
        <w:t>'</w:t>
      </w:r>
      <w:r w:rsidRPr="004F6487">
        <w:t xml:space="preserve">ont pas encore été abordés; et que le Groupe GTC-Internet </w:t>
      </w:r>
      <w:r w:rsidR="00AB4B47" w:rsidRPr="004F6487">
        <w:t>augmente</w:t>
      </w:r>
      <w:r w:rsidRPr="004F6487">
        <w:t>, le cas échéant, le nombre de questions devant être examinées lors de chaque consultation ouverte, à condition que la qualité des consultations puisse être garantie.</w:t>
      </w:r>
      <w:proofErr w:type="gramEnd"/>
      <w:r w:rsidRPr="004F6487">
        <w:t xml:space="preserve"> </w:t>
      </w:r>
    </w:p>
    <w:p w:rsidR="000A4AA0" w:rsidRPr="004F6487" w:rsidRDefault="000A4AA0" w:rsidP="009275AC">
      <w:r w:rsidRPr="004F6487">
        <w:t>1.4</w:t>
      </w:r>
      <w:r w:rsidRPr="004F6487">
        <w:tab/>
        <w:t>La</w:t>
      </w:r>
      <w:r w:rsidR="00AB4B47" w:rsidRPr="004F6487">
        <w:t xml:space="preserve"> C</w:t>
      </w:r>
      <w:r w:rsidRPr="004F6487">
        <w:t>onseillère</w:t>
      </w:r>
      <w:r w:rsidR="00AB4B47" w:rsidRPr="004F6487">
        <w:t xml:space="preserve"> des </w:t>
      </w:r>
      <w:r w:rsidR="009275AC">
        <w:t>Etats-Unis présente le D</w:t>
      </w:r>
      <w:r w:rsidR="00AB4B47" w:rsidRPr="004F6487">
        <w:t>ocument C17/91 et explique</w:t>
      </w:r>
      <w:r w:rsidRPr="004F6487">
        <w:t xml:space="preserve"> qu</w:t>
      </w:r>
      <w:r w:rsidR="004F6487">
        <w:t>'</w:t>
      </w:r>
      <w:r w:rsidR="00AB4B47" w:rsidRPr="004F6487">
        <w:t>elle reste</w:t>
      </w:r>
      <w:r w:rsidRPr="004F6487">
        <w:t xml:space="preserve"> en faveur de la détermination d</w:t>
      </w:r>
      <w:r w:rsidR="004F6487">
        <w:t>'</w:t>
      </w:r>
      <w:r w:rsidRPr="004F6487">
        <w:t xml:space="preserve">un sujet unique pour chaque consultation ouverte. </w:t>
      </w:r>
      <w:r w:rsidR="00AB4B47" w:rsidRPr="004F6487">
        <w:t xml:space="preserve">Les </w:t>
      </w:r>
      <w:r w:rsidR="009275AC">
        <w:t>E</w:t>
      </w:r>
      <w:r w:rsidR="00AB4B47" w:rsidRPr="004F6487">
        <w:t>tats-Unis proposent</w:t>
      </w:r>
      <w:r w:rsidRPr="004F6487">
        <w:t xml:space="preserve"> que l</w:t>
      </w:r>
      <w:r w:rsidR="004F6487">
        <w:t>'</w:t>
      </w:r>
      <w:r w:rsidRPr="004F6487">
        <w:t>ODD 5 sur l</w:t>
      </w:r>
      <w:r w:rsidR="004F6487">
        <w:t>'</w:t>
      </w:r>
      <w:r w:rsidRPr="004F6487">
        <w:t>égalité hommes-femmes fasse l</w:t>
      </w:r>
      <w:r w:rsidR="004F6487">
        <w:t>'</w:t>
      </w:r>
      <w:r w:rsidRPr="004F6487">
        <w:t>objet d</w:t>
      </w:r>
      <w:r w:rsidR="004F6487">
        <w:t>'</w:t>
      </w:r>
      <w:r w:rsidRPr="004F6487">
        <w:t>une prochaine consultation ouverte, en particulier en ce qui concerne la cible 5.b.</w:t>
      </w:r>
    </w:p>
    <w:p w:rsidR="000A4AA0" w:rsidRPr="004F6487" w:rsidRDefault="000A4AA0" w:rsidP="00AB4B47">
      <w:r w:rsidRPr="004F6487">
        <w:t>1.5</w:t>
      </w:r>
      <w:r w:rsidRPr="004F6487">
        <w:tab/>
      </w:r>
      <w:r w:rsidR="00AB4B47" w:rsidRPr="004F6487">
        <w:t>Le C</w:t>
      </w:r>
      <w:r w:rsidRPr="004F6487">
        <w:t>onseiller de l</w:t>
      </w:r>
      <w:r w:rsidR="004F6487">
        <w:t>'</w:t>
      </w:r>
      <w:r w:rsidR="00AB4B47" w:rsidRPr="004F6487">
        <w:t>Arabie saoudite présente</w:t>
      </w:r>
      <w:r w:rsidR="009275AC">
        <w:t xml:space="preserve"> le D</w:t>
      </w:r>
      <w:r w:rsidRPr="004F6487">
        <w:t>ocument C17/105, dans lequel il est proposé que les deux thèmes envisagés soient abordés dans le cadre de la prochaine</w:t>
      </w:r>
      <w:r w:rsidR="00AB4B47" w:rsidRPr="004F6487">
        <w:t xml:space="preserve"> consultation ouverte, qui sera</w:t>
      </w:r>
      <w:r w:rsidRPr="004F6487">
        <w:t xml:space="preserve"> lancée juste après la session de 2017 du Conseil. </w:t>
      </w:r>
    </w:p>
    <w:p w:rsidR="000A4AA0" w:rsidRPr="004F6487" w:rsidRDefault="000A4AA0" w:rsidP="00B311BD">
      <w:r w:rsidRPr="004F6487">
        <w:t>1.6</w:t>
      </w:r>
      <w:r w:rsidRPr="004F6487">
        <w:tab/>
      </w:r>
      <w:r w:rsidR="00AB4B47" w:rsidRPr="004F6487">
        <w:t>Les conseillers reconnaissent</w:t>
      </w:r>
      <w:r w:rsidRPr="004F6487">
        <w:t xml:space="preserve"> l</w:t>
      </w:r>
      <w:r w:rsidR="004F6487">
        <w:t>'</w:t>
      </w:r>
      <w:r w:rsidRPr="004F6487">
        <w:t xml:space="preserve">importance des deux thèmes </w:t>
      </w:r>
      <w:proofErr w:type="gramStart"/>
      <w:r w:rsidRPr="004F6487">
        <w:t>envisagés;</w:t>
      </w:r>
      <w:proofErr w:type="gramEnd"/>
      <w:r w:rsidRPr="004F6487">
        <w:t xml:space="preserve"> mais </w:t>
      </w:r>
      <w:r w:rsidR="00AB4B47" w:rsidRPr="004F6487">
        <w:t>expriment</w:t>
      </w:r>
      <w:r w:rsidRPr="004F6487">
        <w:t xml:space="preserve"> des</w:t>
      </w:r>
      <w:r w:rsidR="005D7CF8">
        <w:t> </w:t>
      </w:r>
      <w:r w:rsidRPr="004F6487">
        <w:t>vues divergentes. Certains cons</w:t>
      </w:r>
      <w:r w:rsidR="00AB4B47" w:rsidRPr="004F6487">
        <w:t xml:space="preserve">eillers et deux observateurs </w:t>
      </w:r>
      <w:r w:rsidRPr="004F6487">
        <w:t>not</w:t>
      </w:r>
      <w:r w:rsidR="00AB4B47" w:rsidRPr="004F6487">
        <w:t>ent</w:t>
      </w:r>
      <w:r w:rsidRPr="004F6487">
        <w:t xml:space="preserve"> que, bien que les questions de genre soient une priorité pour l</w:t>
      </w:r>
      <w:r w:rsidR="004F6487">
        <w:t>'</w:t>
      </w:r>
      <w:r w:rsidRPr="004F6487">
        <w:t>UIT, la question de la réduction de la fracture numérique entr</w:t>
      </w:r>
      <w:r w:rsidR="00AB4B47" w:rsidRPr="004F6487">
        <w:t>e les hommes et les femmes a</w:t>
      </w:r>
      <w:r w:rsidRPr="004F6487">
        <w:t xml:space="preserve"> été négligée de façon récurrente en tant que thème des consultations ouvertes, et qu</w:t>
      </w:r>
      <w:r w:rsidR="004F6487">
        <w:t>'</w:t>
      </w:r>
      <w:r w:rsidR="00AB4B47" w:rsidRPr="004F6487">
        <w:t>il est</w:t>
      </w:r>
      <w:r w:rsidRPr="004F6487">
        <w:t xml:space="preserve"> temps de traduire les paroles en actes. En outre, l</w:t>
      </w:r>
      <w:r w:rsidR="004F6487">
        <w:t>'</w:t>
      </w:r>
      <w:r w:rsidRPr="004F6487">
        <w:t>UIT-T et l</w:t>
      </w:r>
      <w:r w:rsidR="004F6487">
        <w:t>'</w:t>
      </w:r>
      <w:r w:rsidRPr="004F6487">
        <w:t xml:space="preserve">UIT-D </w:t>
      </w:r>
      <w:r w:rsidR="00442A83" w:rsidRPr="004F6487">
        <w:t>mènent</w:t>
      </w:r>
      <w:r w:rsidRPr="004F6487">
        <w:t xml:space="preserve"> déjà des travaux importants concernant les OTT, et les études pertinentes </w:t>
      </w:r>
      <w:r w:rsidR="00442A83" w:rsidRPr="004F6487">
        <w:t>doiven</w:t>
      </w:r>
      <w:r w:rsidRPr="004F6487">
        <w:t>t être achevées avant que le Groupe GTC-Internet n</w:t>
      </w:r>
      <w:r w:rsidR="004F6487">
        <w:t>'</w:t>
      </w:r>
      <w:r w:rsidRPr="004F6487">
        <w:t xml:space="preserve">examine la question. </w:t>
      </w:r>
      <w:r w:rsidR="00442A83" w:rsidRPr="004F6487">
        <w:t>Un conseiller</w:t>
      </w:r>
      <w:r w:rsidRPr="004F6487">
        <w:t xml:space="preserve"> fait remarquer que les OTT </w:t>
      </w:r>
      <w:r w:rsidR="00442A83" w:rsidRPr="004F6487">
        <w:t>sont</w:t>
      </w:r>
      <w:r w:rsidRPr="004F6487">
        <w:t xml:space="preserve"> un sujet sensible qui </w:t>
      </w:r>
      <w:r w:rsidR="00442A83" w:rsidRPr="004F6487">
        <w:t>dépasse</w:t>
      </w:r>
      <w:r w:rsidRPr="004F6487">
        <w:t xml:space="preserve"> parfois le mandat de l</w:t>
      </w:r>
      <w:r w:rsidR="004F6487">
        <w:t>'</w:t>
      </w:r>
      <w:r w:rsidRPr="004F6487">
        <w:t>UIT. D</w:t>
      </w:r>
      <w:r w:rsidR="004F6487">
        <w:t>'</w:t>
      </w:r>
      <w:r w:rsidRPr="004F6487">
        <w:t>autres</w:t>
      </w:r>
      <w:r w:rsidR="00442A83" w:rsidRPr="004F6487">
        <w:t xml:space="preserve"> conseillers </w:t>
      </w:r>
      <w:r w:rsidRPr="004F6487">
        <w:t>cependant</w:t>
      </w:r>
      <w:r w:rsidR="00442A83" w:rsidRPr="004F6487">
        <w:t>, font observer</w:t>
      </w:r>
      <w:r w:rsidRPr="004F6487">
        <w:t xml:space="preserve"> que les questions de genre </w:t>
      </w:r>
      <w:r w:rsidR="00442A83" w:rsidRPr="004F6487">
        <w:t>sont</w:t>
      </w:r>
      <w:r w:rsidRPr="004F6487">
        <w:t xml:space="preserve"> traitées dans de nombreux autres forums au sein de l</w:t>
      </w:r>
      <w:r w:rsidR="004F6487">
        <w:t>'</w:t>
      </w:r>
      <w:r w:rsidRPr="004F6487">
        <w:t>Organisation des Nations Unies, alors que l</w:t>
      </w:r>
      <w:r w:rsidR="004F6487">
        <w:t>'</w:t>
      </w:r>
      <w:r w:rsidR="00442A83" w:rsidRPr="004F6487">
        <w:t>UIT est</w:t>
      </w:r>
      <w:r w:rsidRPr="004F6487">
        <w:t xml:space="preserve"> le seul organe du système des Nations Unies à être compétent pour aborder la question des OTT. </w:t>
      </w:r>
      <w:r w:rsidR="00442A83" w:rsidRPr="004F6487">
        <w:t>Ces services ont</w:t>
      </w:r>
      <w:r w:rsidRPr="004F6487">
        <w:t xml:space="preserve"> une incidence considérable sur les télécommunications nationales et internationales, et les questions relatives aux politiques publiques </w:t>
      </w:r>
      <w:r w:rsidR="00442A83" w:rsidRPr="004F6487">
        <w:t>pour les OTT doivent</w:t>
      </w:r>
      <w:r w:rsidR="00B311BD">
        <w:t xml:space="preserve"> être traitées en priorité, </w:t>
      </w:r>
      <w:r w:rsidR="004E5FA8">
        <w:t xml:space="preserve">y </w:t>
      </w:r>
      <w:r w:rsidR="00B311BD">
        <w:t xml:space="preserve">compris celles relatives à la </w:t>
      </w:r>
      <w:r w:rsidR="00232759">
        <w:t>sécurité,</w:t>
      </w:r>
      <w:r w:rsidR="00B311BD">
        <w:t xml:space="preserve"> la</w:t>
      </w:r>
      <w:r w:rsidRPr="004F6487">
        <w:t xml:space="preserve"> vie privée et </w:t>
      </w:r>
      <w:r w:rsidR="00B311BD">
        <w:t>l</w:t>
      </w:r>
      <w:r w:rsidRPr="004F6487">
        <w:t>e</w:t>
      </w:r>
      <w:r w:rsidR="00B311BD">
        <w:t>s</w:t>
      </w:r>
      <w:r w:rsidRPr="004F6487">
        <w:t xml:space="preserve"> mesures </w:t>
      </w:r>
      <w:r w:rsidR="00442A83" w:rsidRPr="004F6487">
        <w:t>pour prévenir les utilisations abusives</w:t>
      </w:r>
      <w:r w:rsidRPr="004F6487">
        <w:t>. Les OTT p</w:t>
      </w:r>
      <w:r w:rsidR="00442A83" w:rsidRPr="004F6487">
        <w:t>euvent</w:t>
      </w:r>
      <w:r w:rsidRPr="004F6487">
        <w:t xml:space="preserve"> aussi contribuer à favoriser l</w:t>
      </w:r>
      <w:r w:rsidR="004F6487">
        <w:t>'</w:t>
      </w:r>
      <w:r w:rsidRPr="004F6487">
        <w:t>adoption des TIC par les femmes et revê</w:t>
      </w:r>
      <w:r w:rsidR="00442A83" w:rsidRPr="004F6487">
        <w:t>t</w:t>
      </w:r>
      <w:r w:rsidRPr="004F6487">
        <w:t xml:space="preserve">ent une importance particulière pour les pays en développement. </w:t>
      </w:r>
      <w:r w:rsidR="00442A83" w:rsidRPr="004F6487">
        <w:t>Il faut aussi examiner les</w:t>
      </w:r>
      <w:r w:rsidRPr="004F6487">
        <w:t xml:space="preserve"> incidences économiques des OTT</w:t>
      </w:r>
      <w:r w:rsidR="00442A83" w:rsidRPr="004F6487">
        <w:t>, tout comme les aspects</w:t>
      </w:r>
      <w:r w:rsidRPr="004F6487">
        <w:t xml:space="preserve"> relati</w:t>
      </w:r>
      <w:r w:rsidR="00442A83" w:rsidRPr="004F6487">
        <w:t>f</w:t>
      </w:r>
      <w:r w:rsidRPr="004F6487">
        <w:t>s à la qualité du service.</w:t>
      </w:r>
    </w:p>
    <w:p w:rsidR="000A4AA0" w:rsidRPr="004F6487" w:rsidRDefault="000A4AA0" w:rsidP="00B311BD">
      <w:r w:rsidRPr="004F6487">
        <w:lastRenderedPageBreak/>
        <w:t>1.7</w:t>
      </w:r>
      <w:r w:rsidRPr="004F6487">
        <w:tab/>
      </w:r>
      <w:r w:rsidR="00442A83" w:rsidRPr="004F6487">
        <w:t>De l</w:t>
      </w:r>
      <w:r w:rsidR="004F6487">
        <w:t>'</w:t>
      </w:r>
      <w:r w:rsidR="00442A83" w:rsidRPr="004F6487">
        <w:t>avis d</w:t>
      </w:r>
      <w:r w:rsidR="004F6487">
        <w:t>'</w:t>
      </w:r>
      <w:r w:rsidR="00442A83" w:rsidRPr="004F6487">
        <w:t>u</w:t>
      </w:r>
      <w:r w:rsidRPr="004F6487">
        <w:t>n certain nombre de conseillers et deux observateurs</w:t>
      </w:r>
      <w:r w:rsidR="00CE1614">
        <w:t>,</w:t>
      </w:r>
      <w:r w:rsidRPr="004F6487">
        <w:t xml:space="preserve"> un</w:t>
      </w:r>
      <w:r w:rsidR="00442A83" w:rsidRPr="004F6487">
        <w:t xml:space="preserve"> seul thème doit</w:t>
      </w:r>
      <w:r w:rsidRPr="004F6487">
        <w:t xml:space="preserve"> être abordé lors de la prochaine consultation ouverte. D</w:t>
      </w:r>
      <w:r w:rsidR="004F6487">
        <w:t>'</w:t>
      </w:r>
      <w:r w:rsidRPr="004F6487">
        <w:t>autres, rappelant la longue liste de sujets figurant dans l</w:t>
      </w:r>
      <w:r w:rsidR="004F6487">
        <w:t>'</w:t>
      </w:r>
      <w:r w:rsidRPr="004F6487">
        <w:t>Annexe</w:t>
      </w:r>
      <w:r w:rsidR="00442A83" w:rsidRPr="004F6487">
        <w:t xml:space="preserve"> 1 de</w:t>
      </w:r>
      <w:r w:rsidRPr="004F6487">
        <w:t xml:space="preserve"> la</w:t>
      </w:r>
      <w:r w:rsidR="00442A83" w:rsidRPr="004F6487">
        <w:t xml:space="preserve"> Résolution 1305 du Conseil,</w:t>
      </w:r>
      <w:r w:rsidRPr="004F6487">
        <w:t xml:space="preserve"> </w:t>
      </w:r>
      <w:r w:rsidR="00442A83" w:rsidRPr="004F6487">
        <w:t>suggèrent</w:t>
      </w:r>
      <w:r w:rsidRPr="004F6487">
        <w:t xml:space="preserve"> que, pour gagner du temps, les deux thèmes soient examinés en parallèle</w:t>
      </w:r>
      <w:r w:rsidR="00442A83" w:rsidRPr="004F6487">
        <w:t>,</w:t>
      </w:r>
      <w:r w:rsidRPr="004F6487">
        <w:t xml:space="preserve"> à condition qu</w:t>
      </w:r>
      <w:r w:rsidR="004F6487">
        <w:t>'</w:t>
      </w:r>
      <w:r w:rsidRPr="004F6487">
        <w:t>une telle approche ne porte pas préjudice au processus d</w:t>
      </w:r>
      <w:r w:rsidR="004F6487">
        <w:t>'</w:t>
      </w:r>
      <w:r w:rsidRPr="004F6487">
        <w:t xml:space="preserve">examen. </w:t>
      </w:r>
      <w:r w:rsidR="00442A83" w:rsidRPr="004F6487">
        <w:t>Certains conseillers mettent</w:t>
      </w:r>
      <w:r w:rsidRPr="004F6487">
        <w:t xml:space="preserve"> en garde contre une telle façon de procéder, qui établirait un précédent, pourrait réduire le temps consacré </w:t>
      </w:r>
      <w:r w:rsidR="00D318EA">
        <w:t xml:space="preserve">aux débats </w:t>
      </w:r>
      <w:r w:rsidRPr="004F6487">
        <w:t>et risquerait d</w:t>
      </w:r>
      <w:r w:rsidR="004F6487">
        <w:t>'</w:t>
      </w:r>
      <w:r w:rsidRPr="004F6487">
        <w:t xml:space="preserve">avoir des répercussions sur le </w:t>
      </w:r>
      <w:r w:rsidR="00442A83" w:rsidRPr="004F6487">
        <w:t>niveau</w:t>
      </w:r>
      <w:r w:rsidR="00B311BD">
        <w:t xml:space="preserve"> de participation</w:t>
      </w:r>
      <w:r w:rsidRPr="004F6487">
        <w:t>.</w:t>
      </w:r>
    </w:p>
    <w:p w:rsidR="000A4AA0" w:rsidRPr="004F6487" w:rsidRDefault="000A4AA0" w:rsidP="00794223">
      <w:r w:rsidRPr="004F6487">
        <w:t>1.8</w:t>
      </w:r>
      <w:r w:rsidRPr="004F6487">
        <w:tab/>
        <w:t>Le Président du Groupe GTC-Internet, en réponse à une question d</w:t>
      </w:r>
      <w:r w:rsidR="004F6487">
        <w:t>'</w:t>
      </w:r>
      <w:r w:rsidRPr="004F6487">
        <w:t xml:space="preserve">un conseiller, </w:t>
      </w:r>
      <w:r w:rsidR="00442A83" w:rsidRPr="004F6487">
        <w:t>précise que l</w:t>
      </w:r>
      <w:r w:rsidR="004F6487">
        <w:t>'</w:t>
      </w:r>
      <w:r w:rsidR="00442A83" w:rsidRPr="004F6487">
        <w:t>examen</w:t>
      </w:r>
      <w:r w:rsidRPr="004F6487">
        <w:t xml:space="preserve"> de deux sujets dans le cadre de la consultation ouverte </w:t>
      </w:r>
      <w:r w:rsidR="00442A83" w:rsidRPr="004F6487">
        <w:t>n</w:t>
      </w:r>
      <w:r w:rsidR="004F6487">
        <w:t>'</w:t>
      </w:r>
      <w:r w:rsidR="00442A83" w:rsidRPr="004F6487">
        <w:t>alourdira pas la</w:t>
      </w:r>
      <w:r w:rsidR="00794223" w:rsidRPr="004F6487">
        <w:t xml:space="preserve"> charge de travail</w:t>
      </w:r>
      <w:r w:rsidRPr="004F6487">
        <w:t>. Il devrait être possible d</w:t>
      </w:r>
      <w:r w:rsidR="004F6487">
        <w:t>'</w:t>
      </w:r>
      <w:r w:rsidRPr="004F6487">
        <w:t>examiner les deux thèmes lors de la prochaine série de c</w:t>
      </w:r>
      <w:r w:rsidR="00B311BD">
        <w:t>onsultations ouvertes</w:t>
      </w:r>
      <w:r w:rsidRPr="004F6487">
        <w:t>.</w:t>
      </w:r>
    </w:p>
    <w:p w:rsidR="000A4AA0" w:rsidRPr="004F6487" w:rsidRDefault="000A4AA0" w:rsidP="005D7CF8">
      <w:r w:rsidRPr="004F6487">
        <w:t>1.9</w:t>
      </w:r>
      <w:r w:rsidRPr="004F6487">
        <w:tab/>
        <w:t>Plusieurs c</w:t>
      </w:r>
      <w:r w:rsidR="00794223" w:rsidRPr="004F6487">
        <w:t>onseillers et un observateur suggè</w:t>
      </w:r>
      <w:r w:rsidRPr="004F6487">
        <w:t>r</w:t>
      </w:r>
      <w:r w:rsidR="00794223" w:rsidRPr="004F6487">
        <w:t>ent</w:t>
      </w:r>
      <w:r w:rsidRPr="004F6487">
        <w:t xml:space="preserve"> que le Groupe GTC-Internet tienne une</w:t>
      </w:r>
      <w:r w:rsidR="005D7CF8">
        <w:t> </w:t>
      </w:r>
      <w:r w:rsidRPr="004F6487">
        <w:t>consultation ouverte sur les questions relatives aux politiques publiques pour les OTT avant celle sur la réduction de la fracture numérique entre les hommes et les femmes.</w:t>
      </w:r>
    </w:p>
    <w:p w:rsidR="000A4AA0" w:rsidRPr="004F6487" w:rsidRDefault="000A4AA0" w:rsidP="00B311BD">
      <w:r w:rsidRPr="004F6487">
        <w:t>1.1</w:t>
      </w:r>
      <w:r w:rsidR="00B311BD">
        <w:t>0</w:t>
      </w:r>
      <w:r w:rsidRPr="004F6487">
        <w:tab/>
      </w:r>
      <w:r w:rsidR="00794223" w:rsidRPr="004F6487">
        <w:t>La Présidente</w:t>
      </w:r>
      <w:r w:rsidRPr="004F6487">
        <w:t xml:space="preserve"> </w:t>
      </w:r>
      <w:r w:rsidR="00794223" w:rsidRPr="004F6487">
        <w:t>propose</w:t>
      </w:r>
      <w:r w:rsidRPr="004F6487">
        <w:t xml:space="preserve"> que la consultation sur le thème de la réduction de la fracture numérique entre les hommes et les femmes ait lieu de juin à septe</w:t>
      </w:r>
      <w:r w:rsidR="005D7CF8">
        <w:t>mbre 2017, et que celle sur les </w:t>
      </w:r>
      <w:r w:rsidRPr="004F6487">
        <w:t>considérations relatives aux politiques publiques pour les OTT se déroule d</w:t>
      </w:r>
      <w:r w:rsidR="004F6487">
        <w:t>'</w:t>
      </w:r>
      <w:r w:rsidR="001A47B9">
        <w:t>octobre 2017 à </w:t>
      </w:r>
      <w:r w:rsidRPr="004F6487">
        <w:t>janvier 2018.</w:t>
      </w:r>
    </w:p>
    <w:p w:rsidR="000A4AA0" w:rsidRPr="004F6487" w:rsidRDefault="00B311BD" w:rsidP="00794223">
      <w:r>
        <w:t>1.11</w:t>
      </w:r>
      <w:r w:rsidR="000A4AA0" w:rsidRPr="004F6487">
        <w:tab/>
        <w:t xml:space="preserve">Certains conseillers </w:t>
      </w:r>
      <w:r w:rsidR="00794223" w:rsidRPr="004F6487">
        <w:t>souscrivent à</w:t>
      </w:r>
      <w:r w:rsidR="000A4AA0" w:rsidRPr="004F6487">
        <w:t xml:space="preserve"> la proposition de la Présidente, et </w:t>
      </w:r>
      <w:r w:rsidR="00794223" w:rsidRPr="004F6487">
        <w:t>font observer</w:t>
      </w:r>
      <w:r w:rsidR="005D7CF8">
        <w:t xml:space="preserve"> que les </w:t>
      </w:r>
      <w:r w:rsidR="000A4AA0" w:rsidRPr="004F6487">
        <w:t>questions relatives aux OTT d</w:t>
      </w:r>
      <w:r w:rsidR="00794223" w:rsidRPr="004F6487">
        <w:t>oivent</w:t>
      </w:r>
      <w:r w:rsidR="000A4AA0" w:rsidRPr="004F6487">
        <w:t xml:space="preserve"> être précisées par le Groupe </w:t>
      </w:r>
      <w:r w:rsidR="005D7CF8">
        <w:t>GTC-Internet, et non par le </w:t>
      </w:r>
      <w:r w:rsidR="000A4AA0" w:rsidRPr="004F6487">
        <w:t>Conseil. D</w:t>
      </w:r>
      <w:r w:rsidR="004F6487">
        <w:t>'</w:t>
      </w:r>
      <w:r w:rsidR="000A4AA0" w:rsidRPr="004F6487">
        <w:t xml:space="preserve">autres </w:t>
      </w:r>
      <w:r w:rsidR="00794223" w:rsidRPr="004F6487">
        <w:t xml:space="preserve">conseillers </w:t>
      </w:r>
      <w:r w:rsidR="000A4AA0" w:rsidRPr="004F6487">
        <w:t xml:space="preserve">se sont opposés à </w:t>
      </w:r>
      <w:r w:rsidR="00794223" w:rsidRPr="004F6487">
        <w:t>cette</w:t>
      </w:r>
      <w:r w:rsidR="000A4AA0" w:rsidRPr="004F6487">
        <w:t xml:space="preserve"> proposition.</w:t>
      </w:r>
    </w:p>
    <w:p w:rsidR="000A4AA0" w:rsidRPr="004F6487" w:rsidRDefault="00B311BD" w:rsidP="000A4AA0">
      <w:r>
        <w:t>1.12</w:t>
      </w:r>
      <w:r w:rsidR="000A4AA0" w:rsidRPr="004F6487">
        <w:tab/>
      </w:r>
      <w:r w:rsidR="00794223" w:rsidRPr="004F6487">
        <w:t>La Présidente propose</w:t>
      </w:r>
      <w:r w:rsidR="000A4AA0" w:rsidRPr="004F6487">
        <w:t xml:space="preserve"> que le Président du Groupe GTC-Internet tienne des consultations informelles et que cette question soit réexaminée lors d</w:t>
      </w:r>
      <w:r w:rsidR="004F6487">
        <w:t>'</w:t>
      </w:r>
      <w:r w:rsidR="000A4AA0" w:rsidRPr="004F6487">
        <w:t>une réunion ultérieure.</w:t>
      </w:r>
    </w:p>
    <w:p w:rsidR="000A4AA0" w:rsidRPr="004F6487" w:rsidRDefault="00B311BD" w:rsidP="00794223">
      <w:r>
        <w:t>1.13</w:t>
      </w:r>
      <w:r w:rsidR="000A4AA0" w:rsidRPr="004F6487">
        <w:tab/>
        <w:t xml:space="preserve">Il en </w:t>
      </w:r>
      <w:r w:rsidR="00794223" w:rsidRPr="004F6487">
        <w:t xml:space="preserve">est </w:t>
      </w:r>
      <w:r w:rsidR="000A4AA0" w:rsidRPr="004F6487">
        <w:t xml:space="preserve">ainsi </w:t>
      </w:r>
      <w:r w:rsidR="000A4AA0" w:rsidRPr="004F6487">
        <w:rPr>
          <w:b/>
          <w:bCs/>
        </w:rPr>
        <w:t>décidé</w:t>
      </w:r>
      <w:r w:rsidR="000A4AA0" w:rsidRPr="004F6487">
        <w:t>.</w:t>
      </w:r>
    </w:p>
    <w:p w:rsidR="000A4AA0" w:rsidRPr="004F6487" w:rsidRDefault="00B311BD" w:rsidP="005D7CF8">
      <w:pPr>
        <w:rPr>
          <w:bCs/>
        </w:rPr>
      </w:pPr>
      <w:r>
        <w:rPr>
          <w:bCs/>
        </w:rPr>
        <w:t>1.14</w:t>
      </w:r>
      <w:r w:rsidR="000A4AA0" w:rsidRPr="004F6487">
        <w:rPr>
          <w:bCs/>
        </w:rPr>
        <w:tab/>
        <w:t>Le Conseiller de l</w:t>
      </w:r>
      <w:r w:rsidR="004F6487">
        <w:rPr>
          <w:bCs/>
        </w:rPr>
        <w:t>'</w:t>
      </w:r>
      <w:r w:rsidR="00794223" w:rsidRPr="004F6487">
        <w:rPr>
          <w:bCs/>
        </w:rPr>
        <w:t>Arabie saoudite</w:t>
      </w:r>
      <w:r w:rsidR="000A4AA0" w:rsidRPr="004F6487">
        <w:rPr>
          <w:bCs/>
        </w:rPr>
        <w:t xml:space="preserve"> pré</w:t>
      </w:r>
      <w:r w:rsidR="00794223" w:rsidRPr="004F6487">
        <w:rPr>
          <w:bCs/>
        </w:rPr>
        <w:t>sente</w:t>
      </w:r>
      <w:r w:rsidR="00CE1614">
        <w:rPr>
          <w:bCs/>
        </w:rPr>
        <w:t xml:space="preserve"> le D</w:t>
      </w:r>
      <w:r w:rsidR="000A4AA0" w:rsidRPr="004F6487">
        <w:rPr>
          <w:bCs/>
        </w:rPr>
        <w:t xml:space="preserve">ocument C17/103, dans lequel il </w:t>
      </w:r>
      <w:r w:rsidR="00794223" w:rsidRPr="004F6487">
        <w:rPr>
          <w:bCs/>
        </w:rPr>
        <w:t>est</w:t>
      </w:r>
      <w:r w:rsidR="000A4AA0" w:rsidRPr="004F6487">
        <w:rPr>
          <w:bCs/>
        </w:rPr>
        <w:t xml:space="preserve"> proposé que le Se</w:t>
      </w:r>
      <w:r w:rsidR="00794223" w:rsidRPr="004F6487">
        <w:rPr>
          <w:bCs/>
        </w:rPr>
        <w:t>crétariat fournisse une analyse</w:t>
      </w:r>
      <w:r w:rsidR="000A4AA0" w:rsidRPr="004F6487">
        <w:rPr>
          <w:bCs/>
        </w:rPr>
        <w:t xml:space="preserve"> conceptuelle</w:t>
      </w:r>
      <w:r w:rsidR="00794223" w:rsidRPr="004F6487">
        <w:rPr>
          <w:bCs/>
        </w:rPr>
        <w:t xml:space="preserve"> générale</w:t>
      </w:r>
      <w:r w:rsidR="000A4AA0" w:rsidRPr="004F6487">
        <w:rPr>
          <w:bCs/>
        </w:rPr>
        <w:t xml:space="preserve"> des points abordés</w:t>
      </w:r>
      <w:r w:rsidR="005D7CF8">
        <w:rPr>
          <w:bCs/>
        </w:rPr>
        <w:t xml:space="preserve"> dans les </w:t>
      </w:r>
      <w:r w:rsidR="000A4AA0" w:rsidRPr="004F6487">
        <w:rPr>
          <w:bCs/>
        </w:rPr>
        <w:t>réponses aux consultations ouvertes en ligne, ainsi que des points d</w:t>
      </w:r>
      <w:r w:rsidR="004F6487">
        <w:rPr>
          <w:bCs/>
        </w:rPr>
        <w:t>'</w:t>
      </w:r>
      <w:r w:rsidR="000A4AA0" w:rsidRPr="004F6487">
        <w:rPr>
          <w:bCs/>
        </w:rPr>
        <w:t xml:space="preserve">accord et de ceux posant problème, afin </w:t>
      </w:r>
      <w:r w:rsidR="00794223" w:rsidRPr="004F6487">
        <w:rPr>
          <w:bCs/>
        </w:rPr>
        <w:t>que</w:t>
      </w:r>
      <w:r w:rsidR="000A4AA0" w:rsidRPr="004F6487">
        <w:rPr>
          <w:bCs/>
        </w:rPr>
        <w:t xml:space="preserve"> le Groupe GTC-Internet</w:t>
      </w:r>
      <w:r w:rsidR="00794223" w:rsidRPr="004F6487">
        <w:rPr>
          <w:bCs/>
        </w:rPr>
        <w:t xml:space="preserve"> puisse examiner de façon approfondie</w:t>
      </w:r>
      <w:r w:rsidR="000A4AA0" w:rsidRPr="004F6487">
        <w:rPr>
          <w:bCs/>
        </w:rPr>
        <w:t xml:space="preserve"> pendant ses</w:t>
      </w:r>
      <w:r w:rsidR="005D7CF8">
        <w:rPr>
          <w:bCs/>
        </w:rPr>
        <w:t> </w:t>
      </w:r>
      <w:r w:rsidR="000A4AA0" w:rsidRPr="004F6487">
        <w:rPr>
          <w:bCs/>
        </w:rPr>
        <w:t>réunions physiques,</w:t>
      </w:r>
      <w:r w:rsidR="00794223" w:rsidRPr="004F6487">
        <w:rPr>
          <w:bCs/>
        </w:rPr>
        <w:t xml:space="preserve"> toutes les vues exprimées, et </w:t>
      </w:r>
      <w:r w:rsidR="000A4AA0" w:rsidRPr="004F6487">
        <w:rPr>
          <w:bCs/>
        </w:rPr>
        <w:t>accroître l</w:t>
      </w:r>
      <w:r w:rsidR="004F6487">
        <w:rPr>
          <w:bCs/>
        </w:rPr>
        <w:t>'</w:t>
      </w:r>
      <w:r w:rsidR="000A4AA0" w:rsidRPr="004F6487">
        <w:rPr>
          <w:bCs/>
        </w:rPr>
        <w:t>efficacité</w:t>
      </w:r>
      <w:r w:rsidR="00794223" w:rsidRPr="004F6487">
        <w:rPr>
          <w:bCs/>
        </w:rPr>
        <w:t xml:space="preserve"> des travaux</w:t>
      </w:r>
      <w:r w:rsidR="000A4AA0" w:rsidRPr="004F6487">
        <w:rPr>
          <w:bCs/>
        </w:rPr>
        <w:t>.</w:t>
      </w:r>
    </w:p>
    <w:p w:rsidR="000A4AA0" w:rsidRPr="004F6487" w:rsidRDefault="000A4AA0" w:rsidP="00B311BD">
      <w:pPr>
        <w:rPr>
          <w:bCs/>
        </w:rPr>
      </w:pPr>
      <w:r w:rsidRPr="004F6487">
        <w:rPr>
          <w:bCs/>
        </w:rPr>
        <w:t>1.1</w:t>
      </w:r>
      <w:r w:rsidR="00B311BD">
        <w:rPr>
          <w:bCs/>
        </w:rPr>
        <w:t>5</w:t>
      </w:r>
      <w:r w:rsidRPr="004F6487">
        <w:rPr>
          <w:bCs/>
        </w:rPr>
        <w:tab/>
        <w:t>Plusieurs co</w:t>
      </w:r>
      <w:r w:rsidR="00794223" w:rsidRPr="004F6487">
        <w:rPr>
          <w:bCs/>
        </w:rPr>
        <w:t xml:space="preserve">nseillers et un observateur </w:t>
      </w:r>
      <w:r w:rsidRPr="004F6487">
        <w:rPr>
          <w:bCs/>
        </w:rPr>
        <w:t>souscri</w:t>
      </w:r>
      <w:r w:rsidR="00794223" w:rsidRPr="004F6487">
        <w:rPr>
          <w:bCs/>
        </w:rPr>
        <w:t>ven</w:t>
      </w:r>
      <w:r w:rsidRPr="004F6487">
        <w:rPr>
          <w:bCs/>
        </w:rPr>
        <w:t>t à ce</w:t>
      </w:r>
      <w:r w:rsidR="00794223" w:rsidRPr="004F6487">
        <w:rPr>
          <w:bCs/>
        </w:rPr>
        <w:t>tte proposition, qui</w:t>
      </w:r>
      <w:r w:rsidR="00B311BD">
        <w:rPr>
          <w:bCs/>
        </w:rPr>
        <w:t>, à leurs sens,</w:t>
      </w:r>
      <w:r w:rsidR="00794223" w:rsidRPr="004F6487">
        <w:rPr>
          <w:bCs/>
        </w:rPr>
        <w:t xml:space="preserve"> correspond</w:t>
      </w:r>
      <w:r w:rsidRPr="004F6487">
        <w:rPr>
          <w:bCs/>
        </w:rPr>
        <w:t xml:space="preserve"> aux pratiques en vigueur au sein </w:t>
      </w:r>
      <w:r w:rsidR="00794223" w:rsidRPr="004F6487">
        <w:rPr>
          <w:bCs/>
        </w:rPr>
        <w:t xml:space="preserve">du système </w:t>
      </w:r>
      <w:r w:rsidRPr="004F6487">
        <w:rPr>
          <w:bCs/>
        </w:rPr>
        <w:t>des Nations Unies.</w:t>
      </w:r>
    </w:p>
    <w:p w:rsidR="000A4AA0" w:rsidRPr="004F6487" w:rsidRDefault="00B311BD" w:rsidP="00B311BD">
      <w:pPr>
        <w:rPr>
          <w:bCs/>
        </w:rPr>
      </w:pPr>
      <w:r>
        <w:rPr>
          <w:bCs/>
        </w:rPr>
        <w:t>1.16</w:t>
      </w:r>
      <w:r w:rsidR="000A4AA0" w:rsidRPr="004F6487">
        <w:rPr>
          <w:bCs/>
        </w:rPr>
        <w:tab/>
        <w:t>D</w:t>
      </w:r>
      <w:r w:rsidR="004F6487">
        <w:rPr>
          <w:bCs/>
        </w:rPr>
        <w:t>'</w:t>
      </w:r>
      <w:r w:rsidR="00794223" w:rsidRPr="004F6487">
        <w:rPr>
          <w:bCs/>
        </w:rPr>
        <w:t>autres conseillers s</w:t>
      </w:r>
      <w:r w:rsidR="004F6487">
        <w:rPr>
          <w:bCs/>
        </w:rPr>
        <w:t>'</w:t>
      </w:r>
      <w:r w:rsidR="00794223" w:rsidRPr="004F6487">
        <w:rPr>
          <w:bCs/>
        </w:rPr>
        <w:t>opposent</w:t>
      </w:r>
      <w:r w:rsidR="000A4AA0" w:rsidRPr="004F6487">
        <w:rPr>
          <w:bCs/>
        </w:rPr>
        <w:t xml:space="preserve"> à la proposition. Conformément à la Résolution 1344 (</w:t>
      </w:r>
      <w:r w:rsidR="001A47B9">
        <w:rPr>
          <w:bCs/>
        </w:rPr>
        <w:t>MOD</w:t>
      </w:r>
      <w:r w:rsidR="00787C17">
        <w:rPr>
          <w:bCs/>
        </w:rPr>
        <w:t> </w:t>
      </w:r>
      <w:r w:rsidR="000A4AA0" w:rsidRPr="004F6487">
        <w:rPr>
          <w:bCs/>
        </w:rPr>
        <w:t>2015) du Conseil, toutes les contributions pertinente</w:t>
      </w:r>
      <w:r w:rsidR="00794223" w:rsidRPr="004F6487">
        <w:rPr>
          <w:bCs/>
        </w:rPr>
        <w:t>s des parties prenantes doivent</w:t>
      </w:r>
      <w:r w:rsidR="000A4AA0" w:rsidRPr="004F6487">
        <w:rPr>
          <w:bCs/>
        </w:rPr>
        <w:t xml:space="preserve"> être soumises au Groupe GTC-Internet pour examen et toutes les réponses aux consultations ouvertes d</w:t>
      </w:r>
      <w:r w:rsidR="00794223" w:rsidRPr="004F6487">
        <w:rPr>
          <w:bCs/>
        </w:rPr>
        <w:t>oivent lui être communiquées</w:t>
      </w:r>
      <w:r w:rsidR="000A4AA0" w:rsidRPr="004F6487">
        <w:rPr>
          <w:bCs/>
        </w:rPr>
        <w:t>. Le s</w:t>
      </w:r>
      <w:r w:rsidR="00794223" w:rsidRPr="004F6487">
        <w:rPr>
          <w:bCs/>
        </w:rPr>
        <w:t>eul autre document autorisé est</w:t>
      </w:r>
      <w:r w:rsidR="000A4AA0" w:rsidRPr="004F6487">
        <w:rPr>
          <w:bCs/>
        </w:rPr>
        <w:t xml:space="preserve"> le document de synthèse. </w:t>
      </w:r>
      <w:r w:rsidR="00787C17">
        <w:rPr>
          <w:bCs/>
        </w:rPr>
        <w:t>Ce </w:t>
      </w:r>
      <w:r w:rsidR="000A4AA0" w:rsidRPr="004F6487">
        <w:rPr>
          <w:bCs/>
        </w:rPr>
        <w:t>mode d</w:t>
      </w:r>
      <w:r w:rsidR="004F6487">
        <w:rPr>
          <w:bCs/>
        </w:rPr>
        <w:t>'</w:t>
      </w:r>
      <w:r w:rsidR="00794223" w:rsidRPr="004F6487">
        <w:rPr>
          <w:bCs/>
        </w:rPr>
        <w:t>organisation fonctionne</w:t>
      </w:r>
      <w:r w:rsidR="000A4AA0" w:rsidRPr="004F6487">
        <w:rPr>
          <w:bCs/>
        </w:rPr>
        <w:t xml:space="preserve"> bien. Même s</w:t>
      </w:r>
      <w:r w:rsidR="004F6487">
        <w:rPr>
          <w:bCs/>
        </w:rPr>
        <w:t>'</w:t>
      </w:r>
      <w:r w:rsidR="000A4AA0" w:rsidRPr="004F6487">
        <w:rPr>
          <w:bCs/>
        </w:rPr>
        <w:t>il pourrait être utile de disposer d</w:t>
      </w:r>
      <w:r w:rsidR="004F6487">
        <w:rPr>
          <w:bCs/>
        </w:rPr>
        <w:t>'</w:t>
      </w:r>
      <w:r w:rsidR="00787C17">
        <w:rPr>
          <w:bCs/>
        </w:rPr>
        <w:t>une </w:t>
      </w:r>
      <w:r w:rsidR="000A4AA0" w:rsidRPr="004F6487">
        <w:rPr>
          <w:bCs/>
        </w:rPr>
        <w:t>analyse statistique indiquant, par exemple,</w:t>
      </w:r>
      <w:r w:rsidR="009B0573" w:rsidRPr="004F6487">
        <w:rPr>
          <w:bCs/>
        </w:rPr>
        <w:t xml:space="preserve"> le niveau</w:t>
      </w:r>
      <w:r w:rsidR="000A4AA0" w:rsidRPr="004F6487">
        <w:rPr>
          <w:bCs/>
        </w:rPr>
        <w:t xml:space="preserve"> </w:t>
      </w:r>
      <w:r w:rsidR="00787C17">
        <w:rPr>
          <w:bCs/>
        </w:rPr>
        <w:t>de participation par région, le </w:t>
      </w:r>
      <w:r w:rsidR="000A4AA0" w:rsidRPr="004F6487">
        <w:rPr>
          <w:bCs/>
        </w:rPr>
        <w:t>document de s</w:t>
      </w:r>
      <w:r w:rsidR="009B0573" w:rsidRPr="004F6487">
        <w:rPr>
          <w:bCs/>
        </w:rPr>
        <w:t>ynthèse actuellement utilisé est</w:t>
      </w:r>
      <w:r w:rsidR="000A4AA0" w:rsidRPr="004F6487">
        <w:rPr>
          <w:bCs/>
        </w:rPr>
        <w:t xml:space="preserve"> le moyen le plus efficace de connaî</w:t>
      </w:r>
      <w:r w:rsidR="00787C17">
        <w:rPr>
          <w:bCs/>
        </w:rPr>
        <w:t>tre tous les </w:t>
      </w:r>
      <w:r w:rsidR="000A4AA0" w:rsidRPr="004F6487">
        <w:rPr>
          <w:bCs/>
        </w:rPr>
        <w:t>points d</w:t>
      </w:r>
      <w:r w:rsidR="004F6487">
        <w:rPr>
          <w:bCs/>
        </w:rPr>
        <w:t>'</w:t>
      </w:r>
      <w:r w:rsidR="000A4AA0" w:rsidRPr="004F6487">
        <w:rPr>
          <w:bCs/>
        </w:rPr>
        <w:t>accord et ceux posant problème.</w:t>
      </w:r>
    </w:p>
    <w:p w:rsidR="00E46FF0" w:rsidRPr="004F6487" w:rsidRDefault="00E46FF0" w:rsidP="00B311BD">
      <w:pPr>
        <w:rPr>
          <w:bCs/>
        </w:rPr>
      </w:pPr>
      <w:r w:rsidRPr="004F6487">
        <w:rPr>
          <w:bCs/>
        </w:rPr>
        <w:t>1.1</w:t>
      </w:r>
      <w:r w:rsidR="00B311BD">
        <w:rPr>
          <w:bCs/>
        </w:rPr>
        <w:t>7</w:t>
      </w:r>
      <w:r w:rsidRPr="004F6487">
        <w:rPr>
          <w:bCs/>
        </w:rPr>
        <w:tab/>
      </w:r>
      <w:bookmarkStart w:id="10" w:name="lt_pId004"/>
      <w:r w:rsidRPr="004F6487">
        <w:rPr>
          <w:bCs/>
        </w:rPr>
        <w:t xml:space="preserve">Un certain nombre de conseillers soulignent à quel point il est important de </w:t>
      </w:r>
      <w:r w:rsidR="005D7CF8">
        <w:rPr>
          <w:bCs/>
        </w:rPr>
        <w:t>garantir la </w:t>
      </w:r>
      <w:r w:rsidRPr="004F6487">
        <w:rPr>
          <w:bCs/>
        </w:rPr>
        <w:t>participation active de toutes les parties prenantes</w:t>
      </w:r>
      <w:bookmarkStart w:id="11" w:name="lt_pId005"/>
      <w:bookmarkEnd w:id="10"/>
      <w:r w:rsidRPr="004F6487">
        <w:rPr>
          <w:bCs/>
        </w:rPr>
        <w:t>.</w:t>
      </w:r>
      <w:bookmarkEnd w:id="11"/>
      <w:r w:rsidRPr="004F6487">
        <w:rPr>
          <w:bCs/>
        </w:rPr>
        <w:t xml:space="preserve"> </w:t>
      </w:r>
      <w:bookmarkStart w:id="12" w:name="lt_pId006"/>
      <w:r w:rsidRPr="004F6487">
        <w:rPr>
          <w:bCs/>
        </w:rPr>
        <w:t xml:space="preserve">Un observateur fait observer que </w:t>
      </w:r>
      <w:r w:rsidR="005D7CF8">
        <w:rPr>
          <w:bCs/>
        </w:rPr>
        <w:t>les </w:t>
      </w:r>
      <w:r w:rsidRPr="004F6487">
        <w:rPr>
          <w:bCs/>
        </w:rPr>
        <w:t>Membres de Secteur ainsi que toutes les autres parties prenantes n</w:t>
      </w:r>
      <w:r w:rsidR="004F6487">
        <w:rPr>
          <w:bCs/>
        </w:rPr>
        <w:t>'</w:t>
      </w:r>
      <w:r w:rsidRPr="004F6487">
        <w:rPr>
          <w:bCs/>
        </w:rPr>
        <w:t xml:space="preserve">ont pas assisté aux </w:t>
      </w:r>
      <w:r w:rsidRPr="004F6487">
        <w:rPr>
          <w:bCs/>
        </w:rPr>
        <w:lastRenderedPageBreak/>
        <w:t>réunions du Groupe GTC-Internet, que ses délibérations ne sont pas transparentes et ajoute que ce n</w:t>
      </w:r>
      <w:r w:rsidR="004F6487">
        <w:rPr>
          <w:bCs/>
        </w:rPr>
        <w:t>'</w:t>
      </w:r>
      <w:r w:rsidRPr="004F6487">
        <w:rPr>
          <w:bCs/>
        </w:rPr>
        <w:t>est pas une</w:t>
      </w:r>
      <w:bookmarkStart w:id="13" w:name="lt_pId007"/>
      <w:bookmarkEnd w:id="12"/>
      <w:r w:rsidRPr="004F6487">
        <w:rPr>
          <w:bCs/>
        </w:rPr>
        <w:t xml:space="preserve"> bonne façon de mener des discussions de</w:t>
      </w:r>
      <w:r w:rsidR="00CE1908" w:rsidRPr="004F6487">
        <w:rPr>
          <w:bCs/>
        </w:rPr>
        <w:t xml:space="preserve"> nature</w:t>
      </w:r>
      <w:r w:rsidRPr="004F6487">
        <w:rPr>
          <w:bCs/>
        </w:rPr>
        <w:t xml:space="preserve"> politique.</w:t>
      </w:r>
      <w:bookmarkEnd w:id="13"/>
      <w:r w:rsidRPr="004F6487">
        <w:rPr>
          <w:bCs/>
        </w:rPr>
        <w:t xml:space="preserve"> </w:t>
      </w:r>
    </w:p>
    <w:p w:rsidR="00E46FF0" w:rsidRPr="004F6487" w:rsidRDefault="00B311BD" w:rsidP="00267C0C">
      <w:pPr>
        <w:rPr>
          <w:bCs/>
        </w:rPr>
      </w:pPr>
      <w:r>
        <w:rPr>
          <w:bCs/>
        </w:rPr>
        <w:t>1.18</w:t>
      </w:r>
      <w:r w:rsidR="00E46FF0" w:rsidRPr="004F6487">
        <w:rPr>
          <w:bCs/>
        </w:rPr>
        <w:tab/>
      </w:r>
      <w:bookmarkStart w:id="14" w:name="lt_pId010"/>
      <w:r w:rsidR="00E46FF0" w:rsidRPr="004F6487">
        <w:rPr>
          <w:bCs/>
        </w:rPr>
        <w:t xml:space="preserve">Deux intervenants </w:t>
      </w:r>
      <w:r w:rsidR="00267C0C" w:rsidRPr="004F6487">
        <w:rPr>
          <w:bCs/>
        </w:rPr>
        <w:t>estiment</w:t>
      </w:r>
      <w:r w:rsidR="00E46FF0" w:rsidRPr="004F6487">
        <w:rPr>
          <w:bCs/>
        </w:rPr>
        <w:t xml:space="preserve"> que les applications technologiques existantes pourraient aider le Secrétariat et le Groupe GTC-Internet à extraire des informations des contributions reçues.</w:t>
      </w:r>
      <w:bookmarkEnd w:id="14"/>
    </w:p>
    <w:p w:rsidR="00E46FF0" w:rsidRPr="004F6487" w:rsidRDefault="00B311BD" w:rsidP="00267C0C">
      <w:pPr>
        <w:rPr>
          <w:bCs/>
        </w:rPr>
      </w:pPr>
      <w:r>
        <w:rPr>
          <w:bCs/>
        </w:rPr>
        <w:t>1.19</w:t>
      </w:r>
      <w:r w:rsidR="00E46FF0" w:rsidRPr="004F6487">
        <w:rPr>
          <w:bCs/>
        </w:rPr>
        <w:tab/>
      </w:r>
      <w:bookmarkStart w:id="15" w:name="lt_pId012"/>
      <w:r w:rsidR="00267C0C" w:rsidRPr="004F6487">
        <w:rPr>
          <w:bCs/>
        </w:rPr>
        <w:t>En l</w:t>
      </w:r>
      <w:r w:rsidR="004F6487">
        <w:rPr>
          <w:bCs/>
        </w:rPr>
        <w:t>'</w:t>
      </w:r>
      <w:r w:rsidR="00267C0C" w:rsidRPr="004F6487">
        <w:rPr>
          <w:bCs/>
        </w:rPr>
        <w:t>absence</w:t>
      </w:r>
      <w:r w:rsidR="00E46FF0" w:rsidRPr="004F6487">
        <w:rPr>
          <w:bCs/>
        </w:rPr>
        <w:t xml:space="preserve"> de consensus, la Présidente </w:t>
      </w:r>
      <w:r w:rsidR="00267C0C" w:rsidRPr="004F6487">
        <w:rPr>
          <w:bCs/>
        </w:rPr>
        <w:t>propose</w:t>
      </w:r>
      <w:r w:rsidR="00E46FF0" w:rsidRPr="004F6487">
        <w:rPr>
          <w:bCs/>
        </w:rPr>
        <w:t xml:space="preserve"> </w:t>
      </w:r>
      <w:r w:rsidR="00267C0C" w:rsidRPr="004F6487">
        <w:rPr>
          <w:bCs/>
        </w:rPr>
        <w:t>de consigner</w:t>
      </w:r>
      <w:r w:rsidR="00E46FF0" w:rsidRPr="004F6487">
        <w:rPr>
          <w:bCs/>
        </w:rPr>
        <w:t xml:space="preserve"> dans </w:t>
      </w:r>
      <w:r w:rsidR="00267C0C" w:rsidRPr="004F6487">
        <w:rPr>
          <w:bCs/>
        </w:rPr>
        <w:t>le c</w:t>
      </w:r>
      <w:r w:rsidR="00E46FF0" w:rsidRPr="004F6487">
        <w:rPr>
          <w:bCs/>
        </w:rPr>
        <w:t>ompte rendu</w:t>
      </w:r>
      <w:r w:rsidR="005D7CF8">
        <w:rPr>
          <w:bCs/>
        </w:rPr>
        <w:t xml:space="preserve"> les </w:t>
      </w:r>
      <w:r w:rsidR="00267C0C" w:rsidRPr="004F6487">
        <w:rPr>
          <w:bCs/>
        </w:rPr>
        <w:t>points de vue divergent</w:t>
      </w:r>
      <w:r w:rsidR="00E46FF0" w:rsidRPr="004F6487">
        <w:rPr>
          <w:bCs/>
        </w:rPr>
        <w:t xml:space="preserve">s qui </w:t>
      </w:r>
      <w:r w:rsidR="00267C0C" w:rsidRPr="004F6487">
        <w:rPr>
          <w:bCs/>
        </w:rPr>
        <w:t>ont été</w:t>
      </w:r>
      <w:r w:rsidR="00E46FF0" w:rsidRPr="004F6487">
        <w:rPr>
          <w:bCs/>
        </w:rPr>
        <w:t xml:space="preserve"> exprimés et de renvoyer la question à la PP-18, afin qu</w:t>
      </w:r>
      <w:r w:rsidR="004F6487">
        <w:rPr>
          <w:bCs/>
        </w:rPr>
        <w:t>'</w:t>
      </w:r>
      <w:r w:rsidR="005D7CF8">
        <w:rPr>
          <w:bCs/>
        </w:rPr>
        <w:t>elle </w:t>
      </w:r>
      <w:r w:rsidR="00E46FF0" w:rsidRPr="004F6487">
        <w:rPr>
          <w:bCs/>
        </w:rPr>
        <w:t>prenne une décision à cet égard.</w:t>
      </w:r>
      <w:bookmarkEnd w:id="15"/>
    </w:p>
    <w:p w:rsidR="00E46FF0" w:rsidRPr="004F6487" w:rsidRDefault="00B311BD" w:rsidP="00B311BD">
      <w:pPr>
        <w:rPr>
          <w:bCs/>
        </w:rPr>
      </w:pPr>
      <w:r>
        <w:rPr>
          <w:bCs/>
        </w:rPr>
        <w:t>1.20</w:t>
      </w:r>
      <w:r w:rsidR="00E46FF0" w:rsidRPr="004F6487">
        <w:rPr>
          <w:bCs/>
        </w:rPr>
        <w:tab/>
      </w:r>
      <w:bookmarkStart w:id="16" w:name="lt_pId014"/>
      <w:r w:rsidR="00E46FF0" w:rsidRPr="004F6487">
        <w:rPr>
          <w:bCs/>
        </w:rPr>
        <w:t>Plusieurs c</w:t>
      </w:r>
      <w:r w:rsidR="00267C0C" w:rsidRPr="004F6487">
        <w:rPr>
          <w:bCs/>
        </w:rPr>
        <w:t xml:space="preserve">onseillers </w:t>
      </w:r>
      <w:r w:rsidR="00E46FF0" w:rsidRPr="004F6487">
        <w:rPr>
          <w:bCs/>
        </w:rPr>
        <w:t>souscri</w:t>
      </w:r>
      <w:r w:rsidR="00267C0C" w:rsidRPr="004F6487">
        <w:rPr>
          <w:bCs/>
        </w:rPr>
        <w:t>vent</w:t>
      </w:r>
      <w:r w:rsidR="00E46FF0" w:rsidRPr="004F6487">
        <w:rPr>
          <w:bCs/>
        </w:rPr>
        <w:t xml:space="preserve"> à cette proposition.</w:t>
      </w:r>
      <w:bookmarkEnd w:id="16"/>
      <w:r w:rsidR="00E46FF0" w:rsidRPr="004F6487">
        <w:rPr>
          <w:bCs/>
        </w:rPr>
        <w:t xml:space="preserve"> </w:t>
      </w:r>
      <w:bookmarkStart w:id="17" w:name="lt_pId015"/>
      <w:r w:rsidR="00E46FF0" w:rsidRPr="004F6487">
        <w:rPr>
          <w:bCs/>
        </w:rPr>
        <w:t>Dans la</w:t>
      </w:r>
      <w:r w:rsidR="005D7CF8">
        <w:rPr>
          <w:bCs/>
        </w:rPr>
        <w:t xml:space="preserve"> Résolution 102 (Rév. </w:t>
      </w:r>
      <w:r w:rsidR="00E46FF0" w:rsidRPr="004F6487">
        <w:rPr>
          <w:bCs/>
        </w:rPr>
        <w:t>Busan, 2014), la PP a chargé le Conseil de réviser sa Résolu</w:t>
      </w:r>
      <w:r w:rsidR="005D7CF8">
        <w:rPr>
          <w:bCs/>
        </w:rPr>
        <w:t>tion 1344 sur les modalités des </w:t>
      </w:r>
      <w:r w:rsidR="00E46FF0" w:rsidRPr="004F6487">
        <w:rPr>
          <w:bCs/>
        </w:rPr>
        <w:t>consultations ouvertes</w:t>
      </w:r>
      <w:bookmarkStart w:id="18" w:name="lt_pId016"/>
      <w:bookmarkEnd w:id="17"/>
      <w:r w:rsidR="00E46FF0" w:rsidRPr="004F6487">
        <w:rPr>
          <w:bCs/>
        </w:rPr>
        <w:t>.</w:t>
      </w:r>
      <w:bookmarkEnd w:id="18"/>
      <w:r w:rsidR="00E46FF0" w:rsidRPr="004F6487">
        <w:rPr>
          <w:bCs/>
        </w:rPr>
        <w:t xml:space="preserve"> </w:t>
      </w:r>
      <w:bookmarkStart w:id="19" w:name="lt_pId017"/>
      <w:r w:rsidR="00E46FF0" w:rsidRPr="004F6487">
        <w:rPr>
          <w:bCs/>
        </w:rPr>
        <w:t xml:space="preserve">Notant que la Résolution 102 (Rév. Busan, 2014) </w:t>
      </w:r>
      <w:r w:rsidR="00267C0C" w:rsidRPr="004F6487">
        <w:rPr>
          <w:bCs/>
        </w:rPr>
        <w:t>traduit un accord de compromis trouvé</w:t>
      </w:r>
      <w:r w:rsidR="009275AC">
        <w:rPr>
          <w:bCs/>
        </w:rPr>
        <w:t xml:space="preserve"> à la </w:t>
      </w:r>
      <w:r w:rsidR="00F56283">
        <w:rPr>
          <w:bCs/>
        </w:rPr>
        <w:t>PP</w:t>
      </w:r>
      <w:r w:rsidR="00F56283" w:rsidRPr="00F56283">
        <w:rPr>
          <w:bCs/>
        </w:rPr>
        <w:noBreakHyphen/>
      </w:r>
      <w:r w:rsidR="00E46FF0" w:rsidRPr="004F6487">
        <w:rPr>
          <w:bCs/>
        </w:rPr>
        <w:t xml:space="preserve">14, un observateur </w:t>
      </w:r>
      <w:r w:rsidR="00267C0C" w:rsidRPr="004F6487">
        <w:rPr>
          <w:bCs/>
        </w:rPr>
        <w:t>ajoute</w:t>
      </w:r>
      <w:r w:rsidR="00E46FF0" w:rsidRPr="004F6487">
        <w:rPr>
          <w:bCs/>
        </w:rPr>
        <w:t xml:space="preserve"> que toute proposition </w:t>
      </w:r>
      <w:r w:rsidR="00267C0C" w:rsidRPr="004F6487">
        <w:rPr>
          <w:bCs/>
        </w:rPr>
        <w:t xml:space="preserve">de modification de </w:t>
      </w:r>
      <w:r w:rsidR="00E46FF0" w:rsidRPr="004F6487">
        <w:rPr>
          <w:bCs/>
        </w:rPr>
        <w:t>cet accord d</w:t>
      </w:r>
      <w:r w:rsidR="00267C0C" w:rsidRPr="004F6487">
        <w:rPr>
          <w:bCs/>
        </w:rPr>
        <w:t>oit</w:t>
      </w:r>
      <w:r w:rsidR="00E46FF0" w:rsidRPr="004F6487">
        <w:rPr>
          <w:bCs/>
        </w:rPr>
        <w:t xml:space="preserve"> être soumise à la Conférence de plénipotentiaires.</w:t>
      </w:r>
      <w:bookmarkEnd w:id="19"/>
      <w:r w:rsidR="00E46FF0" w:rsidRPr="004F6487">
        <w:rPr>
          <w:bCs/>
        </w:rPr>
        <w:t xml:space="preserve"> </w:t>
      </w:r>
      <w:bookmarkStart w:id="20" w:name="lt_pId018"/>
      <w:r w:rsidR="00E46FF0" w:rsidRPr="004F6487">
        <w:rPr>
          <w:bCs/>
        </w:rPr>
        <w:t>D</w:t>
      </w:r>
      <w:r w:rsidR="004F6487">
        <w:rPr>
          <w:bCs/>
        </w:rPr>
        <w:t>'</w:t>
      </w:r>
      <w:r w:rsidR="00E46FF0" w:rsidRPr="004F6487">
        <w:rPr>
          <w:bCs/>
        </w:rPr>
        <w:t xml:space="preserve">autres conseillers et un observateur </w:t>
      </w:r>
      <w:r w:rsidR="00267C0C" w:rsidRPr="004F6487">
        <w:rPr>
          <w:bCs/>
        </w:rPr>
        <w:t xml:space="preserve">sont </w:t>
      </w:r>
      <w:r w:rsidR="00E46FF0" w:rsidRPr="004F6487">
        <w:rPr>
          <w:bCs/>
        </w:rPr>
        <w:t>surpris qu</w:t>
      </w:r>
      <w:r w:rsidR="004F6487">
        <w:rPr>
          <w:bCs/>
        </w:rPr>
        <w:t>'</w:t>
      </w:r>
      <w:r w:rsidR="00B421D2">
        <w:rPr>
          <w:bCs/>
        </w:rPr>
        <w:t>une </w:t>
      </w:r>
      <w:r w:rsidR="00E46FF0" w:rsidRPr="004F6487">
        <w:rPr>
          <w:bCs/>
        </w:rPr>
        <w:t>simple question relative aux méthodes de travail du Groupe GTC-Int</w:t>
      </w:r>
      <w:r w:rsidR="00B421D2">
        <w:rPr>
          <w:bCs/>
        </w:rPr>
        <w:t>ernet doive être transmise à la </w:t>
      </w:r>
      <w:r w:rsidR="00E46FF0" w:rsidRPr="004F6487">
        <w:rPr>
          <w:bCs/>
        </w:rPr>
        <w:t>Conférence de plénipotentiaires.</w:t>
      </w:r>
      <w:bookmarkEnd w:id="20"/>
      <w:r w:rsidR="00E46FF0" w:rsidRPr="004F6487">
        <w:rPr>
          <w:bCs/>
        </w:rPr>
        <w:t xml:space="preserve"> </w:t>
      </w:r>
      <w:bookmarkStart w:id="21" w:name="lt_pId019"/>
      <w:r w:rsidR="00E46FF0" w:rsidRPr="004F6487">
        <w:rPr>
          <w:bCs/>
        </w:rPr>
        <w:t xml:space="preserve">Par sa Résolution </w:t>
      </w:r>
      <w:r w:rsidR="00B421D2">
        <w:rPr>
          <w:bCs/>
        </w:rPr>
        <w:t>102, la PP-14 a donné des </w:t>
      </w:r>
      <w:r w:rsidR="00E46FF0" w:rsidRPr="004F6487">
        <w:rPr>
          <w:bCs/>
        </w:rPr>
        <w:t xml:space="preserve">instructions </w:t>
      </w:r>
      <w:r w:rsidR="00267C0C" w:rsidRPr="004F6487">
        <w:rPr>
          <w:bCs/>
        </w:rPr>
        <w:t xml:space="preserve">claires pour que </w:t>
      </w:r>
      <w:r w:rsidR="00E46FF0" w:rsidRPr="004F6487">
        <w:rPr>
          <w:bCs/>
        </w:rPr>
        <w:t>la Résolution 1344 du Conseil</w:t>
      </w:r>
      <w:r w:rsidR="00267C0C" w:rsidRPr="004F6487">
        <w:rPr>
          <w:bCs/>
        </w:rPr>
        <w:t xml:space="preserve"> soit mise en oeuvre</w:t>
      </w:r>
      <w:r w:rsidR="00E46FF0" w:rsidRPr="004F6487">
        <w:rPr>
          <w:bCs/>
        </w:rPr>
        <w:t>.</w:t>
      </w:r>
      <w:bookmarkEnd w:id="21"/>
      <w:r w:rsidR="00E46FF0" w:rsidRPr="004F6487">
        <w:rPr>
          <w:bCs/>
        </w:rPr>
        <w:t xml:space="preserve"> </w:t>
      </w:r>
      <w:bookmarkStart w:id="22" w:name="lt_pId020"/>
      <w:r w:rsidR="00E46FF0" w:rsidRPr="004F6487">
        <w:rPr>
          <w:bCs/>
        </w:rPr>
        <w:t>Compte tenu du peu de temps imparti pour les réunions du Groupe GTC-Internet, il semblait judicieux de demander au Secrétariat de réaliser des analyses factuelles de</w:t>
      </w:r>
      <w:r w:rsidR="00B421D2">
        <w:rPr>
          <w:bCs/>
        </w:rPr>
        <w:t>s contributions reçues lors des </w:t>
      </w:r>
      <w:r w:rsidR="00E46FF0" w:rsidRPr="004F6487">
        <w:rPr>
          <w:bCs/>
        </w:rPr>
        <w:t>consultations ouvertes en ligne.</w:t>
      </w:r>
      <w:bookmarkEnd w:id="22"/>
      <w:r w:rsidR="00E46FF0" w:rsidRPr="004F6487">
        <w:rPr>
          <w:bCs/>
        </w:rPr>
        <w:t xml:space="preserve"> </w:t>
      </w:r>
      <w:bookmarkStart w:id="23" w:name="lt_pId021"/>
      <w:r w:rsidR="00E46FF0" w:rsidRPr="004F6487">
        <w:rPr>
          <w:bCs/>
        </w:rPr>
        <w:t>Le Conseil devrait prendre une décision à cet égard.</w:t>
      </w:r>
      <w:bookmarkEnd w:id="23"/>
    </w:p>
    <w:p w:rsidR="00E46FF0" w:rsidRPr="004F6487" w:rsidRDefault="00B311BD" w:rsidP="00B421D2">
      <w:pPr>
        <w:rPr>
          <w:bCs/>
        </w:rPr>
      </w:pPr>
      <w:r>
        <w:rPr>
          <w:bCs/>
        </w:rPr>
        <w:t>1.21</w:t>
      </w:r>
      <w:r w:rsidR="00E46FF0" w:rsidRPr="004F6487">
        <w:rPr>
          <w:bCs/>
        </w:rPr>
        <w:tab/>
      </w:r>
      <w:bookmarkStart w:id="24" w:name="lt_pId023"/>
      <w:r w:rsidR="00267C0C" w:rsidRPr="004F6487">
        <w:rPr>
          <w:bCs/>
        </w:rPr>
        <w:t>L</w:t>
      </w:r>
      <w:r w:rsidR="00E46FF0" w:rsidRPr="004F6487">
        <w:rPr>
          <w:bCs/>
        </w:rPr>
        <w:t xml:space="preserve">es avis </w:t>
      </w:r>
      <w:r w:rsidR="00267C0C" w:rsidRPr="004F6487">
        <w:rPr>
          <w:bCs/>
        </w:rPr>
        <w:t xml:space="preserve">sur cette proposition </w:t>
      </w:r>
      <w:r w:rsidR="00E46FF0" w:rsidRPr="004F6487">
        <w:rPr>
          <w:bCs/>
        </w:rPr>
        <w:t>étant partagés</w:t>
      </w:r>
      <w:r w:rsidR="00267C0C" w:rsidRPr="004F6487">
        <w:rPr>
          <w:bCs/>
        </w:rPr>
        <w:t xml:space="preserve"> au sein du Conseil, la Présidente suggère</w:t>
      </w:r>
      <w:r w:rsidR="00B421D2">
        <w:rPr>
          <w:bCs/>
        </w:rPr>
        <w:t xml:space="preserve"> que le </w:t>
      </w:r>
      <w:r w:rsidR="00E46FF0" w:rsidRPr="004F6487">
        <w:rPr>
          <w:bCs/>
        </w:rPr>
        <w:t xml:space="preserve">Conseil </w:t>
      </w:r>
      <w:r w:rsidR="00267C0C" w:rsidRPr="004F6487">
        <w:rPr>
          <w:bCs/>
        </w:rPr>
        <w:t>réfléchisse à la possibilité</w:t>
      </w:r>
      <w:r w:rsidR="00E46FF0" w:rsidRPr="004F6487">
        <w:rPr>
          <w:bCs/>
        </w:rPr>
        <w:t xml:space="preserve"> de demander au Secrétariat d</w:t>
      </w:r>
      <w:r w:rsidR="004F6487">
        <w:rPr>
          <w:bCs/>
        </w:rPr>
        <w:t>'</w:t>
      </w:r>
      <w:r w:rsidR="00E46FF0" w:rsidRPr="004F6487">
        <w:rPr>
          <w:bCs/>
        </w:rPr>
        <w:t xml:space="preserve">élaborer une méthode </w:t>
      </w:r>
      <w:r w:rsidR="00267C0C" w:rsidRPr="004F6487">
        <w:rPr>
          <w:bCs/>
        </w:rPr>
        <w:t>pour</w:t>
      </w:r>
      <w:r w:rsidR="00B421D2">
        <w:rPr>
          <w:bCs/>
        </w:rPr>
        <w:t xml:space="preserve"> la </w:t>
      </w:r>
      <w:r w:rsidR="00E46FF0" w:rsidRPr="004F6487">
        <w:rPr>
          <w:bCs/>
        </w:rPr>
        <w:t xml:space="preserve">réalisation de ces analyses, </w:t>
      </w:r>
      <w:r w:rsidR="00DA42BD" w:rsidRPr="004F6487">
        <w:rPr>
          <w:bCs/>
        </w:rPr>
        <w:t xml:space="preserve">méthode qui serait examinée </w:t>
      </w:r>
      <w:r w:rsidR="00E46FF0" w:rsidRPr="004F6487">
        <w:rPr>
          <w:bCs/>
        </w:rPr>
        <w:t>par le Groupe</w:t>
      </w:r>
      <w:r w:rsidR="00B421D2">
        <w:rPr>
          <w:bCs/>
        </w:rPr>
        <w:t xml:space="preserve"> GTC-Internet à sa </w:t>
      </w:r>
      <w:r w:rsidR="00E46FF0" w:rsidRPr="004F6487">
        <w:rPr>
          <w:bCs/>
        </w:rPr>
        <w:t>prochaine réunion en septembre 2017.</w:t>
      </w:r>
      <w:bookmarkEnd w:id="24"/>
    </w:p>
    <w:p w:rsidR="00E46FF0" w:rsidRPr="004F6487" w:rsidRDefault="00E46FF0" w:rsidP="00B311BD">
      <w:pPr>
        <w:rPr>
          <w:bCs/>
        </w:rPr>
      </w:pPr>
      <w:r w:rsidRPr="004F6487">
        <w:rPr>
          <w:bCs/>
        </w:rPr>
        <w:t>1.2</w:t>
      </w:r>
      <w:r w:rsidR="00B311BD">
        <w:rPr>
          <w:bCs/>
        </w:rPr>
        <w:t>2</w:t>
      </w:r>
      <w:r w:rsidRPr="004F6487">
        <w:rPr>
          <w:bCs/>
        </w:rPr>
        <w:tab/>
      </w:r>
      <w:bookmarkStart w:id="25" w:name="lt_pId025"/>
      <w:r w:rsidRPr="004F6487">
        <w:rPr>
          <w:bCs/>
        </w:rPr>
        <w:t>Plusieurs c</w:t>
      </w:r>
      <w:r w:rsidR="00DA42BD" w:rsidRPr="004F6487">
        <w:rPr>
          <w:bCs/>
        </w:rPr>
        <w:t>onseillers</w:t>
      </w:r>
      <w:r w:rsidRPr="004F6487">
        <w:rPr>
          <w:bCs/>
        </w:rPr>
        <w:t xml:space="preserve">, </w:t>
      </w:r>
      <w:r w:rsidR="00DA42BD" w:rsidRPr="004F6487">
        <w:rPr>
          <w:bCs/>
        </w:rPr>
        <w:t>dont</w:t>
      </w:r>
      <w:r w:rsidRPr="004F6487">
        <w:rPr>
          <w:bCs/>
        </w:rPr>
        <w:t xml:space="preserve"> le Président du Groupe GTC-Internet</w:t>
      </w:r>
      <w:r w:rsidR="001A47B9">
        <w:rPr>
          <w:bCs/>
        </w:rPr>
        <w:t>,</w:t>
      </w:r>
      <w:r w:rsidR="00DA42BD" w:rsidRPr="004F6487">
        <w:rPr>
          <w:bCs/>
        </w:rPr>
        <w:t xml:space="preserve"> souscrivent à cette proposition</w:t>
      </w:r>
      <w:r w:rsidRPr="004F6487">
        <w:rPr>
          <w:bCs/>
        </w:rPr>
        <w:t>.</w:t>
      </w:r>
      <w:bookmarkEnd w:id="25"/>
      <w:r w:rsidRPr="004F6487">
        <w:rPr>
          <w:bCs/>
        </w:rPr>
        <w:t xml:space="preserve"> </w:t>
      </w:r>
      <w:bookmarkStart w:id="26" w:name="lt_pId026"/>
      <w:r w:rsidR="00B311BD">
        <w:rPr>
          <w:bCs/>
        </w:rPr>
        <w:t>Les</w:t>
      </w:r>
      <w:r w:rsidRPr="004F6487">
        <w:rPr>
          <w:bCs/>
        </w:rPr>
        <w:t xml:space="preserve"> méthode</w:t>
      </w:r>
      <w:r w:rsidR="00B311BD">
        <w:rPr>
          <w:bCs/>
        </w:rPr>
        <w:t>s</w:t>
      </w:r>
      <w:r w:rsidRPr="004F6487">
        <w:rPr>
          <w:bCs/>
        </w:rPr>
        <w:t xml:space="preserve"> actuellement employée</w:t>
      </w:r>
      <w:r w:rsidR="00B311BD">
        <w:rPr>
          <w:bCs/>
        </w:rPr>
        <w:t>s</w:t>
      </w:r>
      <w:r w:rsidRPr="004F6487">
        <w:rPr>
          <w:bCs/>
        </w:rPr>
        <w:t xml:space="preserve"> par </w:t>
      </w:r>
      <w:r w:rsidR="00B311BD">
        <w:rPr>
          <w:bCs/>
        </w:rPr>
        <w:t xml:space="preserve">d'autres groupes à l'UIT sont </w:t>
      </w:r>
      <w:r w:rsidR="00F56283">
        <w:rPr>
          <w:bCs/>
        </w:rPr>
        <w:t>citée</w:t>
      </w:r>
      <w:r w:rsidR="00B311BD">
        <w:rPr>
          <w:bCs/>
        </w:rPr>
        <w:t>s</w:t>
      </w:r>
      <w:r w:rsidR="00F56283">
        <w:rPr>
          <w:bCs/>
        </w:rPr>
        <w:t xml:space="preserve"> comme </w:t>
      </w:r>
      <w:r w:rsidR="00DA42BD" w:rsidRPr="004F6487">
        <w:rPr>
          <w:bCs/>
        </w:rPr>
        <w:t>exemple de</w:t>
      </w:r>
      <w:r w:rsidRPr="004F6487">
        <w:rPr>
          <w:bCs/>
        </w:rPr>
        <w:t xml:space="preserve"> bon modèle </w:t>
      </w:r>
      <w:r w:rsidR="00DA42BD" w:rsidRPr="004F6487">
        <w:rPr>
          <w:bCs/>
        </w:rPr>
        <w:t>pour la réalisation d</w:t>
      </w:r>
      <w:r w:rsidR="004F6487">
        <w:rPr>
          <w:bCs/>
        </w:rPr>
        <w:t>'</w:t>
      </w:r>
      <w:r w:rsidRPr="004F6487">
        <w:rPr>
          <w:bCs/>
        </w:rPr>
        <w:t>analyse dans le cadre de concertations multi-parties prenantes.</w:t>
      </w:r>
      <w:bookmarkEnd w:id="26"/>
      <w:r w:rsidRPr="004F6487">
        <w:rPr>
          <w:bCs/>
        </w:rPr>
        <w:t xml:space="preserve"> </w:t>
      </w:r>
      <w:bookmarkStart w:id="27" w:name="lt_pId027"/>
      <w:r w:rsidRPr="004F6487">
        <w:rPr>
          <w:bCs/>
        </w:rPr>
        <w:t xml:space="preserve">Il pourrait être envisagé de conserver la méthode de compilation actuelle et de demander au Secrétariat de réaliser une </w:t>
      </w:r>
      <w:r w:rsidR="00DA42BD" w:rsidRPr="004F6487">
        <w:rPr>
          <w:bCs/>
        </w:rPr>
        <w:t xml:space="preserve">simple </w:t>
      </w:r>
      <w:r w:rsidRPr="004F6487">
        <w:rPr>
          <w:bCs/>
        </w:rPr>
        <w:t>analyse.</w:t>
      </w:r>
      <w:bookmarkEnd w:id="27"/>
      <w:r w:rsidRPr="004F6487">
        <w:rPr>
          <w:bCs/>
        </w:rPr>
        <w:t xml:space="preserve"> </w:t>
      </w:r>
      <w:bookmarkStart w:id="28" w:name="lt_pId028"/>
      <w:r w:rsidRPr="004F6487">
        <w:rPr>
          <w:bCs/>
        </w:rPr>
        <w:t>Considérant qu</w:t>
      </w:r>
      <w:r w:rsidR="004F6487">
        <w:rPr>
          <w:bCs/>
        </w:rPr>
        <w:t>'</w:t>
      </w:r>
      <w:r w:rsidRPr="004F6487">
        <w:rPr>
          <w:bCs/>
        </w:rPr>
        <w:t>il n</w:t>
      </w:r>
      <w:r w:rsidR="004F6487">
        <w:rPr>
          <w:bCs/>
        </w:rPr>
        <w:t>'</w:t>
      </w:r>
      <w:r w:rsidRPr="004F6487">
        <w:rPr>
          <w:bCs/>
        </w:rPr>
        <w:t>y a pas lieu de remettre en question</w:t>
      </w:r>
      <w:r w:rsidR="00DA42BD" w:rsidRPr="004F6487">
        <w:rPr>
          <w:bCs/>
        </w:rPr>
        <w:t xml:space="preserve"> la neutralité du s</w:t>
      </w:r>
      <w:r w:rsidRPr="004F6487">
        <w:rPr>
          <w:bCs/>
        </w:rPr>
        <w:t xml:space="preserve">ecrétariat, un observateur </w:t>
      </w:r>
      <w:r w:rsidR="00DA42BD" w:rsidRPr="004F6487">
        <w:rPr>
          <w:bCs/>
        </w:rPr>
        <w:t>propose</w:t>
      </w:r>
      <w:r w:rsidRPr="004F6487">
        <w:rPr>
          <w:bCs/>
        </w:rPr>
        <w:t xml:space="preserve"> de demander </w:t>
      </w:r>
      <w:r w:rsidR="00DA42BD" w:rsidRPr="004F6487">
        <w:rPr>
          <w:bCs/>
        </w:rPr>
        <w:t xml:space="preserve">au secrétariat </w:t>
      </w:r>
      <w:r w:rsidRPr="004F6487">
        <w:rPr>
          <w:bCs/>
        </w:rPr>
        <w:t>d</w:t>
      </w:r>
      <w:r w:rsidR="004F6487">
        <w:rPr>
          <w:bCs/>
        </w:rPr>
        <w:t>'</w:t>
      </w:r>
      <w:r w:rsidRPr="004F6487">
        <w:rPr>
          <w:bCs/>
        </w:rPr>
        <w:t xml:space="preserve">établir un récapitulatif des contributions reçues, </w:t>
      </w:r>
      <w:r w:rsidR="00DA42BD" w:rsidRPr="004F6487">
        <w:rPr>
          <w:bCs/>
        </w:rPr>
        <w:t>qui sera soumis,</w:t>
      </w:r>
      <w:r w:rsidRPr="004F6487">
        <w:rPr>
          <w:bCs/>
        </w:rPr>
        <w:t xml:space="preserve"> à titre </w:t>
      </w:r>
      <w:r w:rsidR="00DA42BD" w:rsidRPr="004F6487">
        <w:rPr>
          <w:bCs/>
        </w:rPr>
        <w:t>expérimental</w:t>
      </w:r>
      <w:r w:rsidR="00F56283">
        <w:rPr>
          <w:bCs/>
        </w:rPr>
        <w:t xml:space="preserve">, </w:t>
      </w:r>
      <w:r w:rsidRPr="004F6487">
        <w:rPr>
          <w:bCs/>
        </w:rPr>
        <w:t>à la prochaine réunion du Groupe GTC-Internet</w:t>
      </w:r>
      <w:bookmarkEnd w:id="28"/>
      <w:r w:rsidRPr="004F6487">
        <w:rPr>
          <w:bCs/>
        </w:rPr>
        <w:t xml:space="preserve">. </w:t>
      </w:r>
      <w:bookmarkStart w:id="29" w:name="lt_pId029"/>
      <w:r w:rsidRPr="004F6487">
        <w:rPr>
          <w:bCs/>
        </w:rPr>
        <w:t>S</w:t>
      </w:r>
      <w:r w:rsidR="00DA42BD" w:rsidRPr="004F6487">
        <w:rPr>
          <w:bCs/>
        </w:rPr>
        <w:t>i ce récapitulatif</w:t>
      </w:r>
      <w:r w:rsidRPr="004F6487">
        <w:rPr>
          <w:bCs/>
        </w:rPr>
        <w:t xml:space="preserve"> n</w:t>
      </w:r>
      <w:r w:rsidR="004F6487">
        <w:rPr>
          <w:bCs/>
        </w:rPr>
        <w:t>'</w:t>
      </w:r>
      <w:r w:rsidR="00DA42BD" w:rsidRPr="004F6487">
        <w:rPr>
          <w:bCs/>
        </w:rPr>
        <w:t>est</w:t>
      </w:r>
      <w:r w:rsidRPr="004F6487">
        <w:rPr>
          <w:bCs/>
        </w:rPr>
        <w:t xml:space="preserve"> pas jugé utile, </w:t>
      </w:r>
      <w:r w:rsidR="00DA42BD" w:rsidRPr="004F6487">
        <w:rPr>
          <w:bCs/>
        </w:rPr>
        <w:t xml:space="preserve">le Conseil </w:t>
      </w:r>
      <w:r w:rsidR="00F945B1">
        <w:rPr>
          <w:bCs/>
        </w:rPr>
        <w:t xml:space="preserve">pourra décider, </w:t>
      </w:r>
      <w:r w:rsidR="001B7FE3" w:rsidRPr="004F6487">
        <w:rPr>
          <w:bCs/>
        </w:rPr>
        <w:t>à sa session 2018</w:t>
      </w:r>
      <w:r w:rsidR="00F945B1">
        <w:rPr>
          <w:bCs/>
        </w:rPr>
        <w:t xml:space="preserve">, </w:t>
      </w:r>
      <w:r w:rsidR="00DA42BD" w:rsidRPr="004F6487">
        <w:rPr>
          <w:bCs/>
        </w:rPr>
        <w:t xml:space="preserve">de saisir </w:t>
      </w:r>
      <w:r w:rsidRPr="004F6487">
        <w:rPr>
          <w:bCs/>
        </w:rPr>
        <w:t>la PP-18</w:t>
      </w:r>
      <w:r w:rsidR="00DA42BD" w:rsidRPr="004F6487">
        <w:rPr>
          <w:bCs/>
        </w:rPr>
        <w:t xml:space="preserve"> du problème.</w:t>
      </w:r>
      <w:bookmarkEnd w:id="29"/>
    </w:p>
    <w:p w:rsidR="00E46FF0" w:rsidRPr="004F6487" w:rsidRDefault="00E46FF0" w:rsidP="00B311BD">
      <w:pPr>
        <w:rPr>
          <w:bCs/>
        </w:rPr>
      </w:pPr>
      <w:r w:rsidRPr="004F6487">
        <w:rPr>
          <w:bCs/>
        </w:rPr>
        <w:t>1.2</w:t>
      </w:r>
      <w:r w:rsidR="00B311BD">
        <w:rPr>
          <w:bCs/>
        </w:rPr>
        <w:t>3</w:t>
      </w:r>
      <w:r w:rsidRPr="004F6487">
        <w:rPr>
          <w:bCs/>
        </w:rPr>
        <w:tab/>
      </w:r>
      <w:bookmarkStart w:id="30" w:name="lt_pId034"/>
      <w:r w:rsidR="001B7FE3" w:rsidRPr="004F6487">
        <w:rPr>
          <w:bCs/>
        </w:rPr>
        <w:t>En l</w:t>
      </w:r>
      <w:r w:rsidR="004F6487">
        <w:rPr>
          <w:bCs/>
        </w:rPr>
        <w:t>'</w:t>
      </w:r>
      <w:r w:rsidR="001B7FE3" w:rsidRPr="004F6487">
        <w:rPr>
          <w:bCs/>
        </w:rPr>
        <w:t>absence</w:t>
      </w:r>
      <w:r w:rsidRPr="004F6487">
        <w:rPr>
          <w:bCs/>
        </w:rPr>
        <w:t xml:space="preserve"> d</w:t>
      </w:r>
      <w:r w:rsidR="004F6487">
        <w:rPr>
          <w:bCs/>
        </w:rPr>
        <w:t>'</w:t>
      </w:r>
      <w:r w:rsidRPr="004F6487">
        <w:rPr>
          <w:bCs/>
        </w:rPr>
        <w:t xml:space="preserve">accord sur la </w:t>
      </w:r>
      <w:r w:rsidR="001B7FE3" w:rsidRPr="004F6487">
        <w:rPr>
          <w:bCs/>
        </w:rPr>
        <w:t>marche à suivre pour l</w:t>
      </w:r>
      <w:r w:rsidR="004F6487">
        <w:rPr>
          <w:bCs/>
        </w:rPr>
        <w:t>'</w:t>
      </w:r>
      <w:r w:rsidR="001B7FE3" w:rsidRPr="004F6487">
        <w:rPr>
          <w:bCs/>
        </w:rPr>
        <w:t>avenir</w:t>
      </w:r>
      <w:r w:rsidRPr="004F6487">
        <w:rPr>
          <w:bCs/>
        </w:rPr>
        <w:t xml:space="preserve">, la Présidente </w:t>
      </w:r>
      <w:r w:rsidR="001B7FE3" w:rsidRPr="004F6487">
        <w:rPr>
          <w:bCs/>
        </w:rPr>
        <w:t>propose</w:t>
      </w:r>
      <w:r w:rsidR="00B421D2">
        <w:rPr>
          <w:bCs/>
        </w:rPr>
        <w:t xml:space="preserve"> que le </w:t>
      </w:r>
      <w:r w:rsidRPr="004F6487">
        <w:rPr>
          <w:bCs/>
        </w:rPr>
        <w:t xml:space="preserve">Président du Groupe GTC-Internet engage des consultations informelles avec les conseillers en vue de prendre une décision </w:t>
      </w:r>
      <w:r w:rsidR="001B7FE3" w:rsidRPr="004F6487">
        <w:rPr>
          <w:bCs/>
        </w:rPr>
        <w:t>pendant l</w:t>
      </w:r>
      <w:r w:rsidRPr="004F6487">
        <w:rPr>
          <w:bCs/>
        </w:rPr>
        <w:t>a présente session du Conseil.</w:t>
      </w:r>
      <w:bookmarkEnd w:id="30"/>
    </w:p>
    <w:p w:rsidR="00E46FF0" w:rsidRPr="004F6487" w:rsidRDefault="00B311BD" w:rsidP="00E46FF0">
      <w:pPr>
        <w:rPr>
          <w:bCs/>
        </w:rPr>
      </w:pPr>
      <w:r>
        <w:rPr>
          <w:bCs/>
        </w:rPr>
        <w:t>1.24</w:t>
      </w:r>
      <w:r w:rsidR="00E46FF0" w:rsidRPr="004F6487">
        <w:rPr>
          <w:bCs/>
        </w:rPr>
        <w:tab/>
      </w:r>
      <w:bookmarkStart w:id="31" w:name="lt_pId036"/>
      <w:r w:rsidR="001B7FE3" w:rsidRPr="004F6487">
        <w:rPr>
          <w:bCs/>
        </w:rPr>
        <w:t>Il en est</w:t>
      </w:r>
      <w:r w:rsidR="00E46FF0" w:rsidRPr="004F6487">
        <w:rPr>
          <w:bCs/>
        </w:rPr>
        <w:t xml:space="preserve"> ainsi </w:t>
      </w:r>
      <w:r w:rsidR="00E46FF0" w:rsidRPr="009275AC">
        <w:rPr>
          <w:b/>
        </w:rPr>
        <w:t>décidé</w:t>
      </w:r>
      <w:r w:rsidR="00E46FF0" w:rsidRPr="004F6487">
        <w:rPr>
          <w:bCs/>
        </w:rPr>
        <w:t>.</w:t>
      </w:r>
      <w:bookmarkEnd w:id="31"/>
      <w:r w:rsidR="00E46FF0" w:rsidRPr="004F6487">
        <w:rPr>
          <w:bCs/>
        </w:rPr>
        <w:t xml:space="preserve"> </w:t>
      </w:r>
    </w:p>
    <w:p w:rsidR="00232759" w:rsidRDefault="00232759" w:rsidP="00232759">
      <w:pPr>
        <w:rPr>
          <w:sz w:val="28"/>
        </w:rPr>
      </w:pPr>
      <w:r>
        <w:br w:type="page"/>
      </w:r>
    </w:p>
    <w:p w:rsidR="00E46FF0" w:rsidRPr="004F6487" w:rsidRDefault="00E46FF0" w:rsidP="009275AC">
      <w:pPr>
        <w:pStyle w:val="Heading1"/>
      </w:pPr>
      <w:r w:rsidRPr="004F6487">
        <w:lastRenderedPageBreak/>
        <w:t>2</w:t>
      </w:r>
      <w:r w:rsidRPr="004F6487">
        <w:tab/>
      </w:r>
      <w:bookmarkStart w:id="32" w:name="lt_pId038"/>
      <w:r w:rsidRPr="004F6487">
        <w:t>Déclaration du Ministre des communications du Nigéria</w:t>
      </w:r>
      <w:bookmarkEnd w:id="32"/>
      <w:r w:rsidRPr="004F6487">
        <w:t xml:space="preserve"> </w:t>
      </w:r>
    </w:p>
    <w:p w:rsidR="00E46FF0" w:rsidRPr="004F6487" w:rsidRDefault="00E46FF0" w:rsidP="001B7FE3">
      <w:r w:rsidRPr="004F6487">
        <w:t>2.1</w:t>
      </w:r>
      <w:r w:rsidRPr="004F6487">
        <w:tab/>
      </w:r>
      <w:bookmarkStart w:id="33" w:name="lt_pId040"/>
      <w:r w:rsidRPr="004F6487">
        <w:rPr>
          <w:bCs/>
        </w:rPr>
        <w:t xml:space="preserve">M. Abdur-Raheem Adebayo Shittu, Ministre des communications du Nigéria, </w:t>
      </w:r>
      <w:r w:rsidR="001B7FE3" w:rsidRPr="004F6487">
        <w:rPr>
          <w:bCs/>
        </w:rPr>
        <w:t>prononce</w:t>
      </w:r>
      <w:r w:rsidR="009275AC">
        <w:rPr>
          <w:bCs/>
        </w:rPr>
        <w:t> </w:t>
      </w:r>
      <w:r w:rsidR="001B7FE3" w:rsidRPr="004F6487">
        <w:rPr>
          <w:bCs/>
        </w:rPr>
        <w:t>l</w:t>
      </w:r>
      <w:r w:rsidR="004F6487">
        <w:rPr>
          <w:bCs/>
        </w:rPr>
        <w:t>'</w:t>
      </w:r>
      <w:r w:rsidRPr="004F6487">
        <w:rPr>
          <w:bCs/>
        </w:rPr>
        <w:t xml:space="preserve">allocution disponible à </w:t>
      </w:r>
      <w:proofErr w:type="gramStart"/>
      <w:r w:rsidRPr="004F6487">
        <w:rPr>
          <w:bCs/>
        </w:rPr>
        <w:t>l</w:t>
      </w:r>
      <w:r w:rsidR="004F6487">
        <w:rPr>
          <w:bCs/>
        </w:rPr>
        <w:t>'</w:t>
      </w:r>
      <w:r w:rsidRPr="004F6487">
        <w:rPr>
          <w:bCs/>
        </w:rPr>
        <w:t>adresse:</w:t>
      </w:r>
      <w:bookmarkEnd w:id="33"/>
      <w:proofErr w:type="gramEnd"/>
      <w:r w:rsidRPr="004F6487">
        <w:rPr>
          <w:bCs/>
        </w:rPr>
        <w:t xml:space="preserve"> </w:t>
      </w:r>
      <w:bookmarkStart w:id="34" w:name="lt_pId041"/>
      <w:r w:rsidRPr="004F6487">
        <w:fldChar w:fldCharType="begin"/>
      </w:r>
      <w:r w:rsidRPr="004F6487">
        <w:instrText xml:space="preserve"> HYPERLINK "http://www.itu.int/en/council/2017/Documents/SR/Nigeria.doc" </w:instrText>
      </w:r>
      <w:r w:rsidRPr="004F6487">
        <w:fldChar w:fldCharType="separate"/>
      </w:r>
      <w:r w:rsidRPr="004F6487">
        <w:rPr>
          <w:rStyle w:val="Hyperlink"/>
          <w:bCs/>
        </w:rPr>
        <w:t>http://www.itu.int/en/council/2017/Docume</w:t>
      </w:r>
      <w:r w:rsidRPr="004F6487">
        <w:rPr>
          <w:rStyle w:val="Hyperlink"/>
          <w:bCs/>
        </w:rPr>
        <w:t>n</w:t>
      </w:r>
      <w:r w:rsidRPr="004F6487">
        <w:rPr>
          <w:rStyle w:val="Hyperlink"/>
          <w:bCs/>
        </w:rPr>
        <w:t>ts/SR/Nigeria.doc</w:t>
      </w:r>
      <w:r w:rsidRPr="004F6487">
        <w:fldChar w:fldCharType="end"/>
      </w:r>
      <w:r w:rsidRPr="004F6487">
        <w:rPr>
          <w:bCs/>
        </w:rPr>
        <w:t>.</w:t>
      </w:r>
      <w:bookmarkEnd w:id="34"/>
      <w:r w:rsidRPr="004F6487">
        <w:rPr>
          <w:bCs/>
        </w:rPr>
        <w:t xml:space="preserve"> </w:t>
      </w:r>
      <w:bookmarkStart w:id="35" w:name="lt_pId042"/>
      <w:r w:rsidRPr="004F6487">
        <w:rPr>
          <w:bCs/>
        </w:rPr>
        <w:t xml:space="preserve">Il </w:t>
      </w:r>
      <w:r w:rsidR="001B7FE3" w:rsidRPr="004F6487">
        <w:rPr>
          <w:bCs/>
        </w:rPr>
        <w:t>annonce</w:t>
      </w:r>
      <w:r w:rsidRPr="004F6487">
        <w:rPr>
          <w:bCs/>
        </w:rPr>
        <w:t xml:space="preserve"> que son pays entend présenter </w:t>
      </w:r>
      <w:r w:rsidR="001B7FE3" w:rsidRPr="004F6487">
        <w:rPr>
          <w:bCs/>
        </w:rPr>
        <w:t>un</w:t>
      </w:r>
      <w:r w:rsidRPr="004F6487">
        <w:rPr>
          <w:bCs/>
        </w:rPr>
        <w:t xml:space="preserve"> candidat au poste de Directeur du BDT.</w:t>
      </w:r>
      <w:bookmarkEnd w:id="35"/>
    </w:p>
    <w:p w:rsidR="001B7FE3" w:rsidRDefault="00E46FF0" w:rsidP="00460602">
      <w:pPr>
        <w:pStyle w:val="Reasons"/>
        <w:tabs>
          <w:tab w:val="left" w:pos="7513"/>
        </w:tabs>
        <w:spacing w:before="720"/>
      </w:pPr>
      <w:bookmarkStart w:id="36" w:name="lt_pId043"/>
      <w:r w:rsidRPr="004F6487">
        <w:t xml:space="preserve">Le Secrétaire </w:t>
      </w:r>
      <w:proofErr w:type="gramStart"/>
      <w:r w:rsidRPr="004F6487">
        <w:t>général:</w:t>
      </w:r>
      <w:bookmarkStart w:id="37" w:name="lt_pId044"/>
      <w:bookmarkEnd w:id="36"/>
      <w:proofErr w:type="gramEnd"/>
      <w:r w:rsidR="00C9648E">
        <w:tab/>
      </w:r>
      <w:r w:rsidR="00C9648E">
        <w:tab/>
      </w:r>
      <w:r w:rsidR="00C9648E">
        <w:tab/>
      </w:r>
      <w:r w:rsidRPr="004F6487">
        <w:t>La Présidente</w:t>
      </w:r>
      <w:bookmarkEnd w:id="37"/>
      <w:r w:rsidRPr="004F6487">
        <w:t>:</w:t>
      </w:r>
      <w:r w:rsidRPr="004F6487">
        <w:br/>
      </w:r>
      <w:bookmarkStart w:id="38" w:name="lt_pId045"/>
      <w:r w:rsidRPr="004F6487">
        <w:t>H. ZHAO</w:t>
      </w:r>
      <w:bookmarkStart w:id="39" w:name="lt_pId046"/>
      <w:bookmarkEnd w:id="38"/>
      <w:r w:rsidR="00C9648E">
        <w:tab/>
      </w:r>
      <w:r w:rsidR="00C9648E">
        <w:tab/>
      </w:r>
      <w:r w:rsidR="00C9648E">
        <w:tab/>
      </w:r>
      <w:r w:rsidR="00C9648E">
        <w:tab/>
      </w:r>
      <w:r w:rsidR="00C9648E">
        <w:tab/>
      </w:r>
      <w:r w:rsidRPr="004F6487">
        <w:t>E. SPINA</w:t>
      </w:r>
      <w:bookmarkEnd w:id="39"/>
    </w:p>
    <w:p w:rsidR="00460602" w:rsidRPr="004F6487" w:rsidRDefault="00460602" w:rsidP="00460602">
      <w:pPr>
        <w:pStyle w:val="Reasons"/>
        <w:tabs>
          <w:tab w:val="left" w:pos="7513"/>
        </w:tabs>
        <w:spacing w:before="840"/>
        <w:jc w:val="center"/>
      </w:pPr>
      <w:r>
        <w:t>__________________</w:t>
      </w:r>
    </w:p>
    <w:sectPr w:rsidR="00460602" w:rsidRPr="004F6487" w:rsidSect="005C38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A0" w:rsidRDefault="000A4AA0">
      <w:r>
        <w:separator/>
      </w:r>
    </w:p>
  </w:endnote>
  <w:endnote w:type="continuationSeparator" w:id="0">
    <w:p w:rsidR="000A4AA0" w:rsidRDefault="000A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232759">
    <w:pPr>
      <w:pStyle w:val="Footer"/>
    </w:pPr>
    <w:fldSimple w:instr=" FILENAME \p \* MERGEFORMAT ">
      <w:r w:rsidR="00B311BD">
        <w:t>P:\FRA\SG\CONSEIL\C17\100\122V2F.docx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60602">
      <w:t>29.06.17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311BD">
      <w:t>28.06.17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60602" w:rsidRDefault="00232759">
    <w:pPr>
      <w:pStyle w:val="Footer"/>
      <w:rPr>
        <w:color w:val="D9D9D9" w:themeColor="background1" w:themeShade="D9"/>
      </w:rPr>
    </w:pPr>
    <w:r w:rsidRPr="00460602">
      <w:rPr>
        <w:color w:val="D9D9D9" w:themeColor="background1" w:themeShade="D9"/>
      </w:rPr>
      <w:fldChar w:fldCharType="begin"/>
    </w:r>
    <w:r w:rsidRPr="00460602">
      <w:rPr>
        <w:color w:val="D9D9D9" w:themeColor="background1" w:themeShade="D9"/>
      </w:rPr>
      <w:instrText xml:space="preserve"> FILENAME \p \* MERGEFORMAT </w:instrText>
    </w:r>
    <w:r w:rsidRPr="00460602">
      <w:rPr>
        <w:color w:val="D9D9D9" w:themeColor="background1" w:themeShade="D9"/>
      </w:rPr>
      <w:fldChar w:fldCharType="separate"/>
    </w:r>
    <w:r w:rsidR="00B311BD" w:rsidRPr="00460602">
      <w:rPr>
        <w:color w:val="D9D9D9" w:themeColor="background1" w:themeShade="D9"/>
      </w:rPr>
      <w:t>P:\FRA\SG\CONSEIL\C17\100\122V2F.docx</w:t>
    </w:r>
    <w:r w:rsidRPr="00460602">
      <w:rPr>
        <w:color w:val="D9D9D9" w:themeColor="background1" w:themeShade="D9"/>
      </w:rPr>
      <w:fldChar w:fldCharType="end"/>
    </w:r>
    <w:r w:rsidR="00AB4B47" w:rsidRPr="00460602">
      <w:rPr>
        <w:color w:val="D9D9D9" w:themeColor="background1" w:themeShade="D9"/>
      </w:rPr>
      <w:t>(419222)</w:t>
    </w:r>
    <w:r w:rsidR="00732045" w:rsidRPr="00460602">
      <w:rPr>
        <w:color w:val="D9D9D9" w:themeColor="background1" w:themeShade="D9"/>
      </w:rPr>
      <w:tab/>
    </w:r>
    <w:r w:rsidR="002F1B76" w:rsidRPr="00460602">
      <w:rPr>
        <w:color w:val="D9D9D9" w:themeColor="background1" w:themeShade="D9"/>
      </w:rPr>
      <w:fldChar w:fldCharType="begin"/>
    </w:r>
    <w:r w:rsidR="00732045" w:rsidRPr="00460602">
      <w:rPr>
        <w:color w:val="D9D9D9" w:themeColor="background1" w:themeShade="D9"/>
      </w:rPr>
      <w:instrText xml:space="preserve"> savedate \@ dd.MM.yy </w:instrText>
    </w:r>
    <w:r w:rsidR="002F1B76" w:rsidRPr="00460602">
      <w:rPr>
        <w:color w:val="D9D9D9" w:themeColor="background1" w:themeShade="D9"/>
      </w:rPr>
      <w:fldChar w:fldCharType="separate"/>
    </w:r>
    <w:r w:rsidR="00460602" w:rsidRPr="00460602">
      <w:rPr>
        <w:color w:val="D9D9D9" w:themeColor="background1" w:themeShade="D9"/>
      </w:rPr>
      <w:t>29.06.17</w:t>
    </w:r>
    <w:r w:rsidR="002F1B76" w:rsidRPr="00460602">
      <w:rPr>
        <w:color w:val="D9D9D9" w:themeColor="background1" w:themeShade="D9"/>
      </w:rPr>
      <w:fldChar w:fldCharType="end"/>
    </w:r>
    <w:r w:rsidR="00732045" w:rsidRPr="00460602">
      <w:rPr>
        <w:color w:val="D9D9D9" w:themeColor="background1" w:themeShade="D9"/>
      </w:rPr>
      <w:tab/>
    </w:r>
    <w:r w:rsidR="002F1B76" w:rsidRPr="00460602">
      <w:rPr>
        <w:color w:val="D9D9D9" w:themeColor="background1" w:themeShade="D9"/>
      </w:rPr>
      <w:fldChar w:fldCharType="begin"/>
    </w:r>
    <w:r w:rsidR="00732045" w:rsidRPr="00460602">
      <w:rPr>
        <w:color w:val="D9D9D9" w:themeColor="background1" w:themeShade="D9"/>
      </w:rPr>
      <w:instrText xml:space="preserve"> printdate \@ dd.MM.yy </w:instrText>
    </w:r>
    <w:r w:rsidR="002F1B76" w:rsidRPr="00460602">
      <w:rPr>
        <w:color w:val="D9D9D9" w:themeColor="background1" w:themeShade="D9"/>
      </w:rPr>
      <w:fldChar w:fldCharType="separate"/>
    </w:r>
    <w:r w:rsidR="00B311BD" w:rsidRPr="00460602">
      <w:rPr>
        <w:color w:val="D9D9D9" w:themeColor="background1" w:themeShade="D9"/>
      </w:rPr>
      <w:t>28.06.17</w:t>
    </w:r>
    <w:r w:rsidR="002F1B76" w:rsidRPr="00460602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460602" w:rsidRDefault="00232759">
    <w:pPr>
      <w:pStyle w:val="Footer"/>
      <w:rPr>
        <w:color w:val="D9D9D9" w:themeColor="background1" w:themeShade="D9"/>
      </w:rPr>
    </w:pPr>
    <w:r w:rsidRPr="00460602">
      <w:rPr>
        <w:color w:val="D9D9D9" w:themeColor="background1" w:themeShade="D9"/>
      </w:rPr>
      <w:fldChar w:fldCharType="begin"/>
    </w:r>
    <w:r w:rsidRPr="00460602">
      <w:rPr>
        <w:color w:val="D9D9D9" w:themeColor="background1" w:themeShade="D9"/>
      </w:rPr>
      <w:instrText xml:space="preserve"> FILENAME \p \* MERGEFORMAT </w:instrText>
    </w:r>
    <w:r w:rsidRPr="00460602">
      <w:rPr>
        <w:color w:val="D9D9D9" w:themeColor="background1" w:themeShade="D9"/>
      </w:rPr>
      <w:fldChar w:fldCharType="separate"/>
    </w:r>
    <w:r w:rsidR="00B311BD" w:rsidRPr="00460602">
      <w:rPr>
        <w:color w:val="D9D9D9" w:themeColor="background1" w:themeShade="D9"/>
      </w:rPr>
      <w:t>P:\FRA\SG\CONSEIL\C17\100\122V2F.docx</w:t>
    </w:r>
    <w:r w:rsidRPr="00460602">
      <w:rPr>
        <w:color w:val="D9D9D9" w:themeColor="background1" w:themeShade="D9"/>
      </w:rPr>
      <w:fldChar w:fldCharType="end"/>
    </w:r>
    <w:r w:rsidR="00AB4B47" w:rsidRPr="00460602">
      <w:rPr>
        <w:color w:val="D9D9D9" w:themeColor="background1" w:themeShade="D9"/>
      </w:rPr>
      <w:t xml:space="preserve"> (419222)</w:t>
    </w:r>
    <w:r w:rsidR="00732045" w:rsidRPr="00460602">
      <w:rPr>
        <w:color w:val="D9D9D9" w:themeColor="background1" w:themeShade="D9"/>
      </w:rPr>
      <w:tab/>
    </w:r>
    <w:r w:rsidR="002F1B76" w:rsidRPr="00460602">
      <w:rPr>
        <w:color w:val="D9D9D9" w:themeColor="background1" w:themeShade="D9"/>
      </w:rPr>
      <w:fldChar w:fldCharType="begin"/>
    </w:r>
    <w:r w:rsidR="00732045" w:rsidRPr="00460602">
      <w:rPr>
        <w:color w:val="D9D9D9" w:themeColor="background1" w:themeShade="D9"/>
      </w:rPr>
      <w:instrText xml:space="preserve"> savedate \@ dd.MM.yy </w:instrText>
    </w:r>
    <w:r w:rsidR="002F1B76" w:rsidRPr="00460602">
      <w:rPr>
        <w:color w:val="D9D9D9" w:themeColor="background1" w:themeShade="D9"/>
      </w:rPr>
      <w:fldChar w:fldCharType="separate"/>
    </w:r>
    <w:r w:rsidR="00460602" w:rsidRPr="00460602">
      <w:rPr>
        <w:color w:val="D9D9D9" w:themeColor="background1" w:themeShade="D9"/>
      </w:rPr>
      <w:t>29.06.17</w:t>
    </w:r>
    <w:r w:rsidR="002F1B76" w:rsidRPr="00460602">
      <w:rPr>
        <w:color w:val="D9D9D9" w:themeColor="background1" w:themeShade="D9"/>
      </w:rPr>
      <w:fldChar w:fldCharType="end"/>
    </w:r>
    <w:r w:rsidR="00732045" w:rsidRPr="00460602">
      <w:rPr>
        <w:color w:val="D9D9D9" w:themeColor="background1" w:themeShade="D9"/>
      </w:rPr>
      <w:tab/>
    </w:r>
    <w:r w:rsidR="002F1B76" w:rsidRPr="00460602">
      <w:rPr>
        <w:color w:val="D9D9D9" w:themeColor="background1" w:themeShade="D9"/>
      </w:rPr>
      <w:fldChar w:fldCharType="begin"/>
    </w:r>
    <w:r w:rsidR="00732045" w:rsidRPr="00460602">
      <w:rPr>
        <w:color w:val="D9D9D9" w:themeColor="background1" w:themeShade="D9"/>
      </w:rPr>
      <w:instrText xml:space="preserve"> printdate \@ dd.MM.yy </w:instrText>
    </w:r>
    <w:r w:rsidR="002F1B76" w:rsidRPr="00460602">
      <w:rPr>
        <w:color w:val="D9D9D9" w:themeColor="background1" w:themeShade="D9"/>
      </w:rPr>
      <w:fldChar w:fldCharType="separate"/>
    </w:r>
    <w:r w:rsidR="00B311BD" w:rsidRPr="00460602">
      <w:rPr>
        <w:color w:val="D9D9D9" w:themeColor="background1" w:themeShade="D9"/>
      </w:rPr>
      <w:t>28.06.17</w:t>
    </w:r>
    <w:r w:rsidR="002F1B76" w:rsidRPr="00460602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A0" w:rsidRDefault="000A4AA0">
      <w:r>
        <w:t>____________________</w:t>
      </w:r>
    </w:p>
  </w:footnote>
  <w:footnote w:type="continuationSeparator" w:id="0">
    <w:p w:rsidR="000A4AA0" w:rsidRDefault="000A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60602">
      <w:rPr>
        <w:noProof/>
      </w:rPr>
      <w:t>2</w:t>
    </w:r>
    <w:r>
      <w:rPr>
        <w:noProof/>
      </w:rPr>
      <w:fldChar w:fldCharType="end"/>
    </w:r>
  </w:p>
  <w:p w:rsidR="00732045" w:rsidRDefault="00732045" w:rsidP="00AB4B47">
    <w:pPr>
      <w:pStyle w:val="Header"/>
    </w:pPr>
    <w:r>
      <w:t>C1</w:t>
    </w:r>
    <w:r w:rsidR="0093234A">
      <w:t>7</w:t>
    </w:r>
    <w:r>
      <w:t>/</w:t>
    </w:r>
    <w:r w:rsidR="00AB4B47">
      <w:t>122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0"/>
    <w:rsid w:val="000A4AA0"/>
    <w:rsid w:val="000D0D0A"/>
    <w:rsid w:val="00103163"/>
    <w:rsid w:val="00115D93"/>
    <w:rsid w:val="001247A8"/>
    <w:rsid w:val="001378C0"/>
    <w:rsid w:val="0018694A"/>
    <w:rsid w:val="001A3287"/>
    <w:rsid w:val="001A47B9"/>
    <w:rsid w:val="001A6508"/>
    <w:rsid w:val="001B7FE3"/>
    <w:rsid w:val="001D4C31"/>
    <w:rsid w:val="001E4D21"/>
    <w:rsid w:val="00207CD1"/>
    <w:rsid w:val="00232759"/>
    <w:rsid w:val="002477A2"/>
    <w:rsid w:val="00263A51"/>
    <w:rsid w:val="00267C0C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42A83"/>
    <w:rsid w:val="0044618F"/>
    <w:rsid w:val="00460602"/>
    <w:rsid w:val="0046769A"/>
    <w:rsid w:val="00475FB3"/>
    <w:rsid w:val="004C37A9"/>
    <w:rsid w:val="004E5FA8"/>
    <w:rsid w:val="004F259E"/>
    <w:rsid w:val="004F6487"/>
    <w:rsid w:val="00511F1D"/>
    <w:rsid w:val="00520F36"/>
    <w:rsid w:val="00540615"/>
    <w:rsid w:val="00540A6D"/>
    <w:rsid w:val="00571EEA"/>
    <w:rsid w:val="00575417"/>
    <w:rsid w:val="005768E1"/>
    <w:rsid w:val="005C3890"/>
    <w:rsid w:val="005D7CF8"/>
    <w:rsid w:val="005F7BFE"/>
    <w:rsid w:val="00600017"/>
    <w:rsid w:val="0061754B"/>
    <w:rsid w:val="006235CA"/>
    <w:rsid w:val="006643AB"/>
    <w:rsid w:val="007210CD"/>
    <w:rsid w:val="00726A86"/>
    <w:rsid w:val="00732045"/>
    <w:rsid w:val="007369DB"/>
    <w:rsid w:val="00787C17"/>
    <w:rsid w:val="00794223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275AC"/>
    <w:rsid w:val="0093234A"/>
    <w:rsid w:val="009B0573"/>
    <w:rsid w:val="009C307F"/>
    <w:rsid w:val="00A2113E"/>
    <w:rsid w:val="00A23A51"/>
    <w:rsid w:val="00A24607"/>
    <w:rsid w:val="00A25CD3"/>
    <w:rsid w:val="00A82767"/>
    <w:rsid w:val="00AA332F"/>
    <w:rsid w:val="00AA7BBB"/>
    <w:rsid w:val="00AB4B47"/>
    <w:rsid w:val="00AB64A8"/>
    <w:rsid w:val="00AC0266"/>
    <w:rsid w:val="00AD24EC"/>
    <w:rsid w:val="00AE6178"/>
    <w:rsid w:val="00B309F9"/>
    <w:rsid w:val="00B311BD"/>
    <w:rsid w:val="00B32B60"/>
    <w:rsid w:val="00B421D2"/>
    <w:rsid w:val="00B61619"/>
    <w:rsid w:val="00BB4545"/>
    <w:rsid w:val="00BD5873"/>
    <w:rsid w:val="00C04BE3"/>
    <w:rsid w:val="00C25D29"/>
    <w:rsid w:val="00C27A7C"/>
    <w:rsid w:val="00C9648E"/>
    <w:rsid w:val="00CA08ED"/>
    <w:rsid w:val="00CE1614"/>
    <w:rsid w:val="00CE1908"/>
    <w:rsid w:val="00CF183B"/>
    <w:rsid w:val="00D318EA"/>
    <w:rsid w:val="00D375CD"/>
    <w:rsid w:val="00D553A2"/>
    <w:rsid w:val="00D774D3"/>
    <w:rsid w:val="00D904E8"/>
    <w:rsid w:val="00DA08C3"/>
    <w:rsid w:val="00DA42BD"/>
    <w:rsid w:val="00DB5A3E"/>
    <w:rsid w:val="00DC22AA"/>
    <w:rsid w:val="00DF74DD"/>
    <w:rsid w:val="00E25AD0"/>
    <w:rsid w:val="00E46FF0"/>
    <w:rsid w:val="00EB6350"/>
    <w:rsid w:val="00F15B57"/>
    <w:rsid w:val="00F427DB"/>
    <w:rsid w:val="00F56283"/>
    <w:rsid w:val="00F945B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16C3F62-2CB0-4865-801A-2A9CC756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51/fr" TargetMode="External"/><Relationship Id="rId13" Type="http://schemas.openxmlformats.org/officeDocument/2006/relationships/hyperlink" Target="https://www.itu.int/md/S17-CL-C-0105/fr" TargetMode="External"/><Relationship Id="rId18" Type="http://schemas.openxmlformats.org/officeDocument/2006/relationships/hyperlink" Target="https://www.itu.int/md/S17-CL-C-0103/f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03/fr" TargetMode="External"/><Relationship Id="rId17" Type="http://schemas.openxmlformats.org/officeDocument/2006/relationships/hyperlink" Target="https://www.itu.int/md/S17-CL-C-0091/f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90/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91/f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088/fr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7-CL-C-0090/fr" TargetMode="External"/><Relationship Id="rId19" Type="http://schemas.openxmlformats.org/officeDocument/2006/relationships/hyperlink" Target="https://www.itu.int/md/S17-CL-C-0105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88/fr" TargetMode="External"/><Relationship Id="rId14" Type="http://schemas.openxmlformats.org/officeDocument/2006/relationships/hyperlink" Target="https://www.itu.int/md/S17-CL-C-0051/fr" TargetMode="External"/><Relationship Id="rId2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5156-97C7-411A-8C7B-2F3B1FC0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5</Pages>
  <Words>1691</Words>
  <Characters>10249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11917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cinquième séance plénière</dc:title>
  <dc:subject>Conseil 2017</dc:subject>
  <dc:creator>Bontemps, Johann</dc:creator>
  <cp:keywords>C2017, C17</cp:keywords>
  <dc:description>Document C17/-F  Pour: _x000d_Date du document: janvier 2017_x000d_Enregistré par ITU51009317 à 15:30:24 le 06/04/2017</dc:description>
  <cp:lastModifiedBy>Brouard, Ricarda</cp:lastModifiedBy>
  <cp:revision>2</cp:revision>
  <cp:lastPrinted>2017-06-28T06:49:00Z</cp:lastPrinted>
  <dcterms:created xsi:type="dcterms:W3CDTF">2017-07-03T15:11:00Z</dcterms:created>
  <dcterms:modified xsi:type="dcterms:W3CDTF">2017-07-03T15:11:00Z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