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9F607D" w:rsidRPr="0092392D">
        <w:trPr>
          <w:cantSplit/>
        </w:trPr>
        <w:tc>
          <w:tcPr>
            <w:tcW w:w="6912" w:type="dxa"/>
          </w:tcPr>
          <w:p w:rsidR="009F607D" w:rsidRPr="0092392D" w:rsidRDefault="009F607D" w:rsidP="009F607D">
            <w:pPr>
              <w:spacing w:before="360"/>
              <w:rPr>
                <w:lang w:val="fr-CH"/>
              </w:rPr>
            </w:pPr>
            <w:bookmarkStart w:id="0" w:name="dc06"/>
            <w:bookmarkEnd w:id="0"/>
            <w:r w:rsidRPr="009F607D">
              <w:rPr>
                <w:b/>
                <w:bCs/>
                <w:sz w:val="30"/>
                <w:szCs w:val="30"/>
                <w:lang w:val="fr-CH"/>
              </w:rPr>
              <w:t>Conseil 2017</w:t>
            </w:r>
            <w:r w:rsidRPr="009F607D">
              <w:rPr>
                <w:rFonts w:ascii="Verdana" w:hAnsi="Verdana"/>
                <w:b/>
                <w:bCs/>
                <w:sz w:val="26"/>
                <w:szCs w:val="26"/>
                <w:lang w:val="fr-CH"/>
              </w:rPr>
              <w:br/>
            </w:r>
            <w:proofErr w:type="spellStart"/>
            <w:r w:rsidRPr="009F607D">
              <w:rPr>
                <w:b/>
                <w:bCs/>
                <w:szCs w:val="24"/>
                <w:lang w:val="fr-CH"/>
              </w:rPr>
              <w:t>Gen</w:t>
            </w:r>
            <w:r w:rsidRPr="009F607D">
              <w:rPr>
                <w:b/>
                <w:bCs/>
                <w:szCs w:val="24"/>
                <w:lang w:val="en-US"/>
              </w:rPr>
              <w:t>ève</w:t>
            </w:r>
            <w:proofErr w:type="spellEnd"/>
            <w:r w:rsidRPr="009F607D">
              <w:rPr>
                <w:b/>
                <w:bCs/>
                <w:szCs w:val="24"/>
                <w:lang w:val="fr-CH"/>
              </w:rPr>
              <w:t>, 15-25 mai 2017</w:t>
            </w:r>
          </w:p>
        </w:tc>
        <w:tc>
          <w:tcPr>
            <w:tcW w:w="3261" w:type="dxa"/>
          </w:tcPr>
          <w:p w:rsidR="009F607D" w:rsidRPr="0092392D" w:rsidRDefault="009F607D" w:rsidP="009F607D">
            <w:pPr>
              <w:spacing w:before="0"/>
              <w:jc w:val="right"/>
              <w:rPr>
                <w:lang w:val="fr-CH"/>
              </w:rPr>
            </w:pPr>
            <w:bookmarkStart w:id="1" w:name="ditulogo"/>
            <w:bookmarkEnd w:id="1"/>
            <w:r w:rsidRPr="009F607D">
              <w:rPr>
                <w:rFonts w:cstheme="minorHAnsi"/>
                <w:b/>
                <w:bCs/>
                <w:noProof/>
                <w:lang w:val="en-US" w:eastAsia="zh-CN"/>
              </w:rPr>
              <w:drawing>
                <wp:inline distT="0" distB="0" distL="0" distR="0" wp14:anchorId="7A1C7537" wp14:editId="30C9BA9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9F607D" w:rsidRPr="0092392D" w:rsidTr="00EF41DD">
        <w:trPr>
          <w:cantSplit/>
          <w:trHeight w:val="20"/>
        </w:trPr>
        <w:tc>
          <w:tcPr>
            <w:tcW w:w="6912" w:type="dxa"/>
            <w:tcBorders>
              <w:bottom w:val="single" w:sz="12" w:space="0" w:color="auto"/>
            </w:tcBorders>
            <w:vAlign w:val="center"/>
          </w:tcPr>
          <w:p w:rsidR="009F607D" w:rsidRPr="00361350" w:rsidRDefault="009F607D" w:rsidP="004C37A9">
            <w:pPr>
              <w:spacing w:before="0"/>
              <w:rPr>
                <w:b/>
                <w:bCs/>
                <w:sz w:val="26"/>
                <w:szCs w:val="26"/>
                <w:lang w:val="fr-CH"/>
              </w:rPr>
            </w:pPr>
          </w:p>
        </w:tc>
        <w:tc>
          <w:tcPr>
            <w:tcW w:w="3261" w:type="dxa"/>
            <w:tcBorders>
              <w:bottom w:val="single" w:sz="12" w:space="0" w:color="auto"/>
            </w:tcBorders>
          </w:tcPr>
          <w:p w:rsidR="009F607D" w:rsidRPr="0092392D" w:rsidRDefault="009F607D" w:rsidP="00DF74DD">
            <w:pPr>
              <w:spacing w:before="0"/>
              <w:rPr>
                <w:b/>
                <w:bCs/>
              </w:rPr>
            </w:pPr>
          </w:p>
        </w:tc>
      </w:tr>
      <w:tr w:rsidR="009F607D" w:rsidRPr="0092392D">
        <w:trPr>
          <w:cantSplit/>
          <w:trHeight w:val="20"/>
        </w:trPr>
        <w:tc>
          <w:tcPr>
            <w:tcW w:w="6912" w:type="dxa"/>
            <w:tcBorders>
              <w:top w:val="single" w:sz="12" w:space="0" w:color="auto"/>
            </w:tcBorders>
          </w:tcPr>
          <w:p w:rsidR="009F607D" w:rsidRPr="0092392D" w:rsidRDefault="009F607D" w:rsidP="00DF74DD">
            <w:pPr>
              <w:spacing w:before="0"/>
              <w:rPr>
                <w:smallCaps/>
                <w:sz w:val="22"/>
                <w:lang w:val="fr-CH"/>
              </w:rPr>
            </w:pPr>
          </w:p>
        </w:tc>
        <w:tc>
          <w:tcPr>
            <w:tcW w:w="3261" w:type="dxa"/>
            <w:tcBorders>
              <w:top w:val="single" w:sz="12" w:space="0" w:color="auto"/>
            </w:tcBorders>
          </w:tcPr>
          <w:p w:rsidR="009F607D" w:rsidRPr="0092392D" w:rsidRDefault="009F607D" w:rsidP="00DF74DD">
            <w:pPr>
              <w:spacing w:before="0"/>
              <w:rPr>
                <w:b/>
                <w:bCs/>
              </w:rPr>
            </w:pPr>
          </w:p>
        </w:tc>
      </w:tr>
      <w:tr w:rsidR="009F607D" w:rsidRPr="0092392D">
        <w:trPr>
          <w:cantSplit/>
          <w:trHeight w:val="20"/>
        </w:trPr>
        <w:tc>
          <w:tcPr>
            <w:tcW w:w="6912" w:type="dxa"/>
            <w:vMerge w:val="restart"/>
          </w:tcPr>
          <w:p w:rsidR="009F607D" w:rsidRPr="009F607D" w:rsidRDefault="009F607D" w:rsidP="00DF74DD">
            <w:pPr>
              <w:spacing w:before="0"/>
              <w:rPr>
                <w:rFonts w:cs="Times"/>
                <w:b/>
                <w:bCs/>
                <w:szCs w:val="24"/>
                <w:lang w:val="fr-CH"/>
              </w:rPr>
            </w:pPr>
            <w:bookmarkStart w:id="2" w:name="dnum" w:colFirst="1" w:colLast="1"/>
            <w:bookmarkStart w:id="3" w:name="dmeeting" w:colFirst="0" w:colLast="0"/>
          </w:p>
        </w:tc>
        <w:tc>
          <w:tcPr>
            <w:tcW w:w="3261" w:type="dxa"/>
          </w:tcPr>
          <w:p w:rsidR="009F607D" w:rsidRPr="009F607D" w:rsidRDefault="009F607D" w:rsidP="009F607D">
            <w:pPr>
              <w:spacing w:before="0"/>
              <w:rPr>
                <w:b/>
                <w:bCs/>
              </w:rPr>
            </w:pPr>
            <w:r>
              <w:rPr>
                <w:b/>
                <w:bCs/>
              </w:rPr>
              <w:t>Document C17/121-F</w:t>
            </w:r>
          </w:p>
        </w:tc>
      </w:tr>
      <w:tr w:rsidR="009F607D" w:rsidRPr="0092392D">
        <w:trPr>
          <w:cantSplit/>
          <w:trHeight w:val="20"/>
        </w:trPr>
        <w:tc>
          <w:tcPr>
            <w:tcW w:w="6912" w:type="dxa"/>
            <w:vMerge/>
          </w:tcPr>
          <w:p w:rsidR="009F607D" w:rsidRPr="0092392D" w:rsidRDefault="009F607D" w:rsidP="00DF74DD">
            <w:pPr>
              <w:shd w:val="solid" w:color="FFFFFF" w:fill="FFFFFF"/>
              <w:spacing w:before="180"/>
              <w:rPr>
                <w:smallCaps/>
                <w:lang w:val="fr-CH"/>
              </w:rPr>
            </w:pPr>
            <w:bookmarkStart w:id="4" w:name="ddate" w:colFirst="1" w:colLast="1"/>
            <w:bookmarkEnd w:id="2"/>
            <w:bookmarkEnd w:id="3"/>
          </w:p>
        </w:tc>
        <w:tc>
          <w:tcPr>
            <w:tcW w:w="3261" w:type="dxa"/>
          </w:tcPr>
          <w:p w:rsidR="009F607D" w:rsidRPr="009F607D" w:rsidRDefault="009F607D" w:rsidP="009F607D">
            <w:pPr>
              <w:spacing w:before="0"/>
              <w:rPr>
                <w:b/>
                <w:bCs/>
              </w:rPr>
            </w:pPr>
            <w:r>
              <w:rPr>
                <w:b/>
                <w:bCs/>
              </w:rPr>
              <w:t>23 mai 2017</w:t>
            </w:r>
          </w:p>
        </w:tc>
      </w:tr>
      <w:tr w:rsidR="009F607D" w:rsidRPr="0092392D">
        <w:trPr>
          <w:cantSplit/>
          <w:trHeight w:val="20"/>
        </w:trPr>
        <w:tc>
          <w:tcPr>
            <w:tcW w:w="6912" w:type="dxa"/>
            <w:vMerge/>
          </w:tcPr>
          <w:p w:rsidR="009F607D" w:rsidRPr="0092392D" w:rsidRDefault="009F607D" w:rsidP="00DF74DD">
            <w:pPr>
              <w:shd w:val="solid" w:color="FFFFFF" w:fill="FFFFFF"/>
              <w:spacing w:before="180"/>
              <w:rPr>
                <w:smallCaps/>
                <w:lang w:val="fr-CH"/>
              </w:rPr>
            </w:pPr>
            <w:bookmarkStart w:id="5" w:name="dorlang" w:colFirst="1" w:colLast="1"/>
            <w:bookmarkEnd w:id="4"/>
          </w:p>
        </w:tc>
        <w:tc>
          <w:tcPr>
            <w:tcW w:w="3261" w:type="dxa"/>
          </w:tcPr>
          <w:p w:rsidR="009F607D" w:rsidRPr="009F607D" w:rsidRDefault="009F607D" w:rsidP="009F607D">
            <w:pPr>
              <w:spacing w:before="0"/>
              <w:rPr>
                <w:b/>
                <w:bCs/>
              </w:rPr>
            </w:pPr>
            <w:proofErr w:type="gramStart"/>
            <w:r>
              <w:rPr>
                <w:b/>
                <w:bCs/>
              </w:rPr>
              <w:t>Original:</w:t>
            </w:r>
            <w:proofErr w:type="gramEnd"/>
            <w:r>
              <w:rPr>
                <w:b/>
                <w:bCs/>
              </w:rPr>
              <w:t xml:space="preserve"> français</w:t>
            </w:r>
          </w:p>
        </w:tc>
      </w:tr>
      <w:tr w:rsidR="009F607D" w:rsidRPr="0092392D">
        <w:trPr>
          <w:cantSplit/>
        </w:trPr>
        <w:tc>
          <w:tcPr>
            <w:tcW w:w="10173" w:type="dxa"/>
            <w:gridSpan w:val="2"/>
          </w:tcPr>
          <w:p w:rsidR="009F607D" w:rsidRDefault="009F607D" w:rsidP="009F607D">
            <w:pPr>
              <w:pStyle w:val="Title1"/>
              <w:spacing w:before="840"/>
            </w:pPr>
            <w:bookmarkStart w:id="6" w:name="dtitle1" w:colFirst="0" w:colLast="0"/>
            <w:bookmarkEnd w:id="5"/>
            <w:r>
              <w:t>COMPTE RENDU</w:t>
            </w:r>
          </w:p>
          <w:p w:rsidR="009F607D" w:rsidRDefault="009F607D" w:rsidP="009F607D">
            <w:pPr>
              <w:pStyle w:val="Title1"/>
            </w:pPr>
            <w:r>
              <w:t xml:space="preserve">DE LA </w:t>
            </w:r>
          </w:p>
          <w:p w:rsidR="009F607D" w:rsidRPr="0092392D" w:rsidRDefault="009F607D" w:rsidP="009F607D">
            <w:pPr>
              <w:pStyle w:val="Title1"/>
              <w:spacing w:after="120"/>
            </w:pPr>
            <w:r>
              <w:t>QUATRIÈME SÉANCE PLÉNIÈRE</w:t>
            </w:r>
          </w:p>
        </w:tc>
      </w:tr>
      <w:tr w:rsidR="009F607D" w:rsidRPr="0092392D">
        <w:trPr>
          <w:cantSplit/>
        </w:trPr>
        <w:tc>
          <w:tcPr>
            <w:tcW w:w="10173" w:type="dxa"/>
            <w:gridSpan w:val="2"/>
          </w:tcPr>
          <w:p w:rsidR="009F607D" w:rsidRDefault="009F607D" w:rsidP="009F607D">
            <w:pPr>
              <w:pStyle w:val="Title1"/>
            </w:pPr>
            <w:r>
              <w:rPr>
                <w:rFonts w:asciiTheme="minorHAnsi" w:hAnsiTheme="minorHAnsi"/>
                <w:caps w:val="0"/>
                <w:sz w:val="24"/>
                <w:szCs w:val="24"/>
              </w:rPr>
              <w:t>Jeudi 18</w:t>
            </w:r>
            <w:r w:rsidRPr="00562F5A">
              <w:rPr>
                <w:rFonts w:asciiTheme="minorHAnsi" w:hAnsiTheme="minorHAnsi"/>
                <w:caps w:val="0"/>
                <w:sz w:val="24"/>
                <w:szCs w:val="24"/>
              </w:rPr>
              <w:t xml:space="preserve"> </w:t>
            </w:r>
            <w:r>
              <w:rPr>
                <w:rFonts w:asciiTheme="minorHAnsi" w:hAnsiTheme="minorHAnsi"/>
                <w:caps w:val="0"/>
                <w:sz w:val="24"/>
                <w:szCs w:val="24"/>
              </w:rPr>
              <w:t xml:space="preserve">mai </w:t>
            </w:r>
            <w:r w:rsidRPr="00562F5A">
              <w:rPr>
                <w:rFonts w:asciiTheme="minorHAnsi" w:hAnsiTheme="minorHAnsi"/>
                <w:sz w:val="24"/>
                <w:szCs w:val="24"/>
              </w:rPr>
              <w:t>201</w:t>
            </w:r>
            <w:r>
              <w:rPr>
                <w:rFonts w:asciiTheme="minorHAnsi" w:hAnsiTheme="minorHAnsi"/>
                <w:sz w:val="24"/>
                <w:szCs w:val="24"/>
              </w:rPr>
              <w:t>7</w:t>
            </w:r>
            <w:r w:rsidRPr="00562F5A">
              <w:rPr>
                <w:rFonts w:asciiTheme="minorHAnsi" w:hAnsiTheme="minorHAnsi"/>
                <w:sz w:val="24"/>
                <w:szCs w:val="24"/>
              </w:rPr>
              <w:t xml:space="preserve">, </w:t>
            </w:r>
            <w:r>
              <w:rPr>
                <w:rFonts w:asciiTheme="minorHAnsi" w:hAnsiTheme="minorHAnsi"/>
                <w:caps w:val="0"/>
                <w:sz w:val="24"/>
                <w:szCs w:val="24"/>
              </w:rPr>
              <w:t>de 9</w:t>
            </w:r>
            <w:r w:rsidRPr="00562F5A">
              <w:rPr>
                <w:rFonts w:asciiTheme="minorHAnsi" w:hAnsiTheme="minorHAnsi"/>
                <w:caps w:val="0"/>
                <w:sz w:val="24"/>
                <w:szCs w:val="24"/>
              </w:rPr>
              <w:t> h </w:t>
            </w:r>
            <w:r>
              <w:rPr>
                <w:rFonts w:asciiTheme="minorHAnsi" w:hAnsiTheme="minorHAnsi"/>
                <w:caps w:val="0"/>
                <w:sz w:val="24"/>
                <w:szCs w:val="24"/>
              </w:rPr>
              <w:t>35 à 12 h 40</w:t>
            </w:r>
          </w:p>
        </w:tc>
      </w:tr>
      <w:tr w:rsidR="009F607D" w:rsidRPr="0092392D">
        <w:trPr>
          <w:cantSplit/>
        </w:trPr>
        <w:tc>
          <w:tcPr>
            <w:tcW w:w="10173" w:type="dxa"/>
            <w:gridSpan w:val="2"/>
          </w:tcPr>
          <w:p w:rsidR="009F607D" w:rsidRDefault="009F607D" w:rsidP="009F607D">
            <w:pPr>
              <w:pStyle w:val="Title1"/>
              <w:rPr>
                <w:rFonts w:asciiTheme="minorHAnsi" w:hAnsiTheme="minorHAnsi"/>
                <w:caps w:val="0"/>
                <w:sz w:val="24"/>
                <w:szCs w:val="24"/>
              </w:rPr>
            </w:pPr>
            <w:proofErr w:type="gramStart"/>
            <w:r w:rsidRPr="00D10A78">
              <w:rPr>
                <w:rFonts w:asciiTheme="minorHAnsi" w:hAnsiTheme="minorHAnsi"/>
                <w:b/>
                <w:bCs/>
                <w:caps w:val="0"/>
                <w:sz w:val="24"/>
                <w:szCs w:val="24"/>
              </w:rPr>
              <w:t>Président</w:t>
            </w:r>
            <w:r>
              <w:rPr>
                <w:rFonts w:asciiTheme="minorHAnsi" w:hAnsiTheme="minorHAnsi"/>
                <w:b/>
                <w:bCs/>
                <w:caps w:val="0"/>
                <w:sz w:val="24"/>
                <w:szCs w:val="24"/>
              </w:rPr>
              <w:t>e</w:t>
            </w:r>
            <w:r w:rsidRPr="00D10A78">
              <w:rPr>
                <w:rFonts w:asciiTheme="minorHAnsi" w:hAnsiTheme="minorHAnsi"/>
                <w:b/>
                <w:bCs/>
                <w:caps w:val="0"/>
                <w:sz w:val="24"/>
                <w:szCs w:val="24"/>
              </w:rPr>
              <w:t>:</w:t>
            </w:r>
            <w:proofErr w:type="gramEnd"/>
            <w:r>
              <w:rPr>
                <w:rFonts w:asciiTheme="minorHAnsi" w:hAnsiTheme="minorHAnsi"/>
                <w:caps w:val="0"/>
                <w:sz w:val="24"/>
                <w:szCs w:val="24"/>
              </w:rPr>
              <w:t xml:space="preserve"> Dr</w:t>
            </w:r>
            <w:r w:rsidRPr="004F7B1B">
              <w:rPr>
                <w:rFonts w:asciiTheme="minorHAnsi" w:hAnsiTheme="minorHAnsi"/>
                <w:caps w:val="0"/>
                <w:sz w:val="24"/>
                <w:szCs w:val="24"/>
              </w:rPr>
              <w:t xml:space="preserve"> </w:t>
            </w:r>
            <w:r>
              <w:rPr>
                <w:rFonts w:asciiTheme="minorHAnsi" w:hAnsiTheme="minorHAnsi"/>
                <w:caps w:val="0"/>
                <w:sz w:val="24"/>
                <w:szCs w:val="24"/>
              </w:rPr>
              <w:t>E. SPINA (Italie)</w:t>
            </w:r>
          </w:p>
        </w:tc>
      </w:tr>
      <w:bookmarkEnd w:id="6"/>
    </w:tbl>
    <w:p w:rsidR="009F607D" w:rsidRPr="0092392D" w:rsidRDefault="009F607D" w:rsidP="002124EC">
      <w:pPr>
        <w:spacing w:before="840"/>
        <w:rPr>
          <w:lang w:val="fr-CH"/>
        </w:rPr>
      </w:pPr>
    </w:p>
    <w:tbl>
      <w:tblPr>
        <w:tblW w:w="5233" w:type="pct"/>
        <w:tblLook w:val="0000" w:firstRow="0" w:lastRow="0" w:firstColumn="0" w:lastColumn="0" w:noHBand="0" w:noVBand="0"/>
      </w:tblPr>
      <w:tblGrid>
        <w:gridCol w:w="573"/>
        <w:gridCol w:w="7633"/>
        <w:gridCol w:w="1882"/>
      </w:tblGrid>
      <w:tr w:rsidR="009F607D" w:rsidRPr="00562F5A" w:rsidTr="00C022C9">
        <w:tc>
          <w:tcPr>
            <w:tcW w:w="284" w:type="pct"/>
          </w:tcPr>
          <w:p w:rsidR="009F607D" w:rsidRPr="00562F5A" w:rsidRDefault="009F607D" w:rsidP="00C022C9">
            <w:pPr>
              <w:pStyle w:val="toc0"/>
              <w:tabs>
                <w:tab w:val="clear" w:pos="9781"/>
              </w:tabs>
              <w:snapToGrid w:val="0"/>
              <w:spacing w:before="40" w:after="120"/>
              <w:rPr>
                <w:rFonts w:asciiTheme="minorHAnsi" w:hAnsiTheme="minorHAnsi"/>
              </w:rPr>
            </w:pPr>
          </w:p>
        </w:tc>
        <w:tc>
          <w:tcPr>
            <w:tcW w:w="3783" w:type="pct"/>
          </w:tcPr>
          <w:p w:rsidR="009F607D" w:rsidRPr="00F1384E" w:rsidRDefault="009F607D" w:rsidP="00C022C9">
            <w:pPr>
              <w:pStyle w:val="toc0"/>
              <w:tabs>
                <w:tab w:val="clear" w:pos="9781"/>
              </w:tabs>
              <w:snapToGrid w:val="0"/>
              <w:spacing w:before="40" w:after="120"/>
              <w:rPr>
                <w:rFonts w:asciiTheme="minorHAnsi" w:hAnsiTheme="minorHAnsi"/>
              </w:rPr>
            </w:pPr>
            <w:r>
              <w:rPr>
                <w:rFonts w:asciiTheme="minorHAnsi" w:hAnsiTheme="minorHAnsi"/>
              </w:rPr>
              <w:t>Sujets trait</w:t>
            </w:r>
            <w:r>
              <w:rPr>
                <w:rFonts w:asciiTheme="minorHAnsi" w:hAnsiTheme="minorHAnsi"/>
                <w:lang w:val="fr-CH"/>
              </w:rPr>
              <w:t>és</w:t>
            </w:r>
          </w:p>
        </w:tc>
        <w:tc>
          <w:tcPr>
            <w:tcW w:w="934" w:type="pct"/>
          </w:tcPr>
          <w:p w:rsidR="009F607D" w:rsidRPr="00562F5A" w:rsidRDefault="009F607D" w:rsidP="00C022C9">
            <w:pPr>
              <w:pStyle w:val="toc0"/>
              <w:tabs>
                <w:tab w:val="clear" w:pos="9781"/>
              </w:tabs>
              <w:snapToGrid w:val="0"/>
              <w:spacing w:before="40" w:after="120"/>
              <w:jc w:val="center"/>
              <w:rPr>
                <w:rFonts w:asciiTheme="minorHAnsi" w:hAnsiTheme="minorHAnsi"/>
              </w:rPr>
            </w:pPr>
            <w:r>
              <w:rPr>
                <w:rFonts w:asciiTheme="minorHAnsi" w:hAnsiTheme="minorHAnsi"/>
              </w:rPr>
              <w:t>Documents</w:t>
            </w:r>
          </w:p>
        </w:tc>
      </w:tr>
      <w:tr w:rsidR="009F607D" w:rsidRPr="00562F5A" w:rsidTr="00C022C9">
        <w:tc>
          <w:tcPr>
            <w:tcW w:w="284" w:type="pct"/>
          </w:tcPr>
          <w:p w:rsidR="009F607D" w:rsidRPr="001815CB" w:rsidRDefault="009F607D" w:rsidP="00C022C9">
            <w:pPr>
              <w:pStyle w:val="toc0"/>
              <w:tabs>
                <w:tab w:val="clear" w:pos="9781"/>
              </w:tabs>
              <w:snapToGrid w:val="0"/>
              <w:spacing w:after="120"/>
              <w:rPr>
                <w:rFonts w:asciiTheme="minorHAnsi" w:hAnsiTheme="minorHAnsi"/>
                <w:b w:val="0"/>
                <w:bCs/>
              </w:rPr>
            </w:pPr>
            <w:r w:rsidRPr="001815CB">
              <w:rPr>
                <w:rFonts w:asciiTheme="minorHAnsi" w:hAnsiTheme="minorHAnsi"/>
                <w:b w:val="0"/>
                <w:bCs/>
              </w:rPr>
              <w:t>1</w:t>
            </w:r>
          </w:p>
        </w:tc>
        <w:tc>
          <w:tcPr>
            <w:tcW w:w="3783" w:type="pct"/>
          </w:tcPr>
          <w:p w:rsidR="009F607D" w:rsidRPr="00B35846" w:rsidRDefault="009F607D" w:rsidP="00C022C9">
            <w:pPr>
              <w:pStyle w:val="toc0"/>
              <w:tabs>
                <w:tab w:val="clear" w:pos="9781"/>
              </w:tabs>
              <w:snapToGrid w:val="0"/>
              <w:spacing w:after="120"/>
              <w:rPr>
                <w:rFonts w:asciiTheme="minorHAnsi" w:hAnsiTheme="minorHAnsi"/>
                <w:b w:val="0"/>
                <w:bCs/>
              </w:rPr>
            </w:pPr>
            <w:r>
              <w:rPr>
                <w:rFonts w:asciiTheme="minorHAnsi" w:hAnsiTheme="minorHAnsi"/>
                <w:b w:val="0"/>
                <w:bCs/>
              </w:rPr>
              <w:t xml:space="preserve">Rapport d'activité de la première réunion du Groupe d'experts sur le Règlement des télécommunications internationales (EG-RTI) </w:t>
            </w:r>
          </w:p>
        </w:tc>
        <w:tc>
          <w:tcPr>
            <w:tcW w:w="934" w:type="pct"/>
          </w:tcPr>
          <w:p w:rsidR="009F607D" w:rsidRPr="00C159B9" w:rsidRDefault="006C6B77" w:rsidP="00C022C9">
            <w:pPr>
              <w:pStyle w:val="toc0"/>
              <w:tabs>
                <w:tab w:val="clear" w:pos="9781"/>
              </w:tabs>
              <w:snapToGrid w:val="0"/>
              <w:spacing w:after="120"/>
              <w:jc w:val="center"/>
              <w:rPr>
                <w:rFonts w:asciiTheme="minorHAnsi" w:hAnsiTheme="minorHAnsi"/>
                <w:b w:val="0"/>
                <w:bCs/>
              </w:rPr>
            </w:pPr>
            <w:hyperlink r:id="rId7" w:history="1">
              <w:r w:rsidR="009F607D" w:rsidRPr="009F607D">
                <w:rPr>
                  <w:rStyle w:val="Hyperlink"/>
                  <w:rFonts w:asciiTheme="minorHAnsi" w:hAnsiTheme="minorHAnsi"/>
                  <w:b w:val="0"/>
                  <w:bCs/>
                </w:rPr>
                <w:t>C17/26</w:t>
              </w:r>
            </w:hyperlink>
            <w:r w:rsidR="009F607D">
              <w:rPr>
                <w:rFonts w:asciiTheme="minorHAnsi" w:hAnsiTheme="minorHAnsi"/>
                <w:b w:val="0"/>
                <w:bCs/>
              </w:rPr>
              <w:t xml:space="preserve">, </w:t>
            </w:r>
            <w:r w:rsidR="009F607D">
              <w:rPr>
                <w:rFonts w:asciiTheme="minorHAnsi" w:hAnsiTheme="minorHAnsi"/>
                <w:b w:val="0"/>
                <w:bCs/>
              </w:rPr>
              <w:br/>
            </w:r>
            <w:hyperlink r:id="rId8" w:history="1">
              <w:r w:rsidR="009F607D" w:rsidRPr="009F607D">
                <w:rPr>
                  <w:rStyle w:val="Hyperlink"/>
                  <w:rFonts w:asciiTheme="minorHAnsi" w:hAnsiTheme="minorHAnsi"/>
                  <w:b w:val="0"/>
                  <w:bCs/>
                </w:rPr>
                <w:t>C17/81</w:t>
              </w:r>
            </w:hyperlink>
            <w:r w:rsidR="009F607D">
              <w:rPr>
                <w:rFonts w:asciiTheme="minorHAnsi" w:hAnsiTheme="minorHAnsi"/>
                <w:b w:val="0"/>
                <w:bCs/>
              </w:rPr>
              <w:t xml:space="preserve"> (Rév.1), </w:t>
            </w:r>
            <w:hyperlink r:id="rId9" w:history="1">
              <w:r w:rsidR="009F607D" w:rsidRPr="009F607D">
                <w:rPr>
                  <w:rStyle w:val="Hyperlink"/>
                  <w:rFonts w:asciiTheme="minorHAnsi" w:hAnsiTheme="minorHAnsi"/>
                  <w:b w:val="0"/>
                  <w:bCs/>
                </w:rPr>
                <w:t>C17/95</w:t>
              </w:r>
            </w:hyperlink>
          </w:p>
        </w:tc>
      </w:tr>
      <w:tr w:rsidR="009F607D" w:rsidRPr="00562F5A" w:rsidTr="00C022C9">
        <w:tc>
          <w:tcPr>
            <w:tcW w:w="284" w:type="pct"/>
          </w:tcPr>
          <w:p w:rsidR="009F607D" w:rsidRPr="00367946" w:rsidRDefault="009F607D" w:rsidP="00C022C9">
            <w:pPr>
              <w:pStyle w:val="toc0"/>
              <w:tabs>
                <w:tab w:val="clear" w:pos="9781"/>
              </w:tabs>
              <w:snapToGrid w:val="0"/>
              <w:spacing w:after="120"/>
              <w:rPr>
                <w:rFonts w:asciiTheme="minorHAnsi" w:hAnsiTheme="minorHAnsi"/>
                <w:b w:val="0"/>
                <w:bCs/>
                <w:szCs w:val="24"/>
              </w:rPr>
            </w:pPr>
            <w:r w:rsidRPr="00367946">
              <w:rPr>
                <w:rFonts w:asciiTheme="minorHAnsi" w:hAnsiTheme="minorHAnsi"/>
                <w:b w:val="0"/>
                <w:bCs/>
                <w:szCs w:val="24"/>
              </w:rPr>
              <w:t>2</w:t>
            </w:r>
          </w:p>
        </w:tc>
        <w:tc>
          <w:tcPr>
            <w:tcW w:w="3783" w:type="pct"/>
          </w:tcPr>
          <w:p w:rsidR="009F607D" w:rsidRPr="00367946" w:rsidRDefault="009F607D" w:rsidP="00C022C9">
            <w:pPr>
              <w:pStyle w:val="toc0"/>
              <w:tabs>
                <w:tab w:val="clear" w:pos="9781"/>
              </w:tabs>
              <w:snapToGrid w:val="0"/>
              <w:spacing w:after="120"/>
              <w:rPr>
                <w:rFonts w:asciiTheme="minorHAnsi" w:hAnsiTheme="minorHAnsi"/>
                <w:b w:val="0"/>
                <w:bCs/>
                <w:szCs w:val="24"/>
              </w:rPr>
            </w:pPr>
            <w:r w:rsidRPr="00D043A9">
              <w:rPr>
                <w:b w:val="0"/>
                <w:bCs/>
                <w:szCs w:val="24"/>
              </w:rPr>
              <w:t>Activités de l’UIT relatives à la Résolution 70 (Rév. Busan, 2014) et examen de la politique GEM</w:t>
            </w:r>
            <w:r>
              <w:rPr>
                <w:b w:val="0"/>
                <w:bCs/>
                <w:szCs w:val="24"/>
              </w:rPr>
              <w:t xml:space="preserve"> de l’UIT</w:t>
            </w:r>
          </w:p>
        </w:tc>
        <w:tc>
          <w:tcPr>
            <w:tcW w:w="934" w:type="pct"/>
          </w:tcPr>
          <w:p w:rsidR="009F607D" w:rsidRDefault="006C6B77" w:rsidP="00C022C9">
            <w:pPr>
              <w:tabs>
                <w:tab w:val="clear" w:pos="567"/>
                <w:tab w:val="clear" w:pos="1134"/>
                <w:tab w:val="clear" w:pos="1701"/>
                <w:tab w:val="clear" w:pos="2268"/>
                <w:tab w:val="clear" w:pos="2835"/>
              </w:tabs>
              <w:snapToGrid w:val="0"/>
              <w:spacing w:after="120"/>
              <w:jc w:val="center"/>
            </w:pPr>
            <w:hyperlink r:id="rId10" w:history="1">
              <w:r w:rsidR="009F607D" w:rsidRPr="009F607D">
                <w:rPr>
                  <w:rStyle w:val="Hyperlink"/>
                </w:rPr>
                <w:t>C17/6</w:t>
              </w:r>
            </w:hyperlink>
            <w:r w:rsidR="009F607D">
              <w:t xml:space="preserve">, </w:t>
            </w:r>
            <w:hyperlink r:id="rId11" w:history="1">
              <w:r w:rsidR="009F607D" w:rsidRPr="009F607D">
                <w:rPr>
                  <w:rStyle w:val="Hyperlink"/>
                </w:rPr>
                <w:t>C17/71</w:t>
              </w:r>
            </w:hyperlink>
          </w:p>
        </w:tc>
      </w:tr>
      <w:tr w:rsidR="009F607D" w:rsidRPr="00562F5A" w:rsidTr="00C022C9">
        <w:tc>
          <w:tcPr>
            <w:tcW w:w="284" w:type="pct"/>
          </w:tcPr>
          <w:p w:rsidR="009F607D" w:rsidRPr="001815CB" w:rsidRDefault="009F607D" w:rsidP="00C022C9">
            <w:pPr>
              <w:pStyle w:val="toc0"/>
              <w:tabs>
                <w:tab w:val="clear" w:pos="9781"/>
              </w:tabs>
              <w:snapToGrid w:val="0"/>
              <w:spacing w:after="120"/>
              <w:rPr>
                <w:rFonts w:asciiTheme="minorHAnsi" w:hAnsiTheme="minorHAnsi"/>
                <w:b w:val="0"/>
                <w:bCs/>
              </w:rPr>
            </w:pPr>
            <w:r>
              <w:rPr>
                <w:rFonts w:asciiTheme="minorHAnsi" w:hAnsiTheme="minorHAnsi"/>
                <w:b w:val="0"/>
                <w:bCs/>
              </w:rPr>
              <w:t>3</w:t>
            </w:r>
          </w:p>
        </w:tc>
        <w:tc>
          <w:tcPr>
            <w:tcW w:w="3783" w:type="pct"/>
          </w:tcPr>
          <w:p w:rsidR="009F607D" w:rsidRDefault="009F607D" w:rsidP="00C022C9">
            <w:pPr>
              <w:pStyle w:val="toc0"/>
              <w:tabs>
                <w:tab w:val="clear" w:pos="9781"/>
              </w:tabs>
              <w:snapToGrid w:val="0"/>
              <w:spacing w:after="120"/>
              <w:rPr>
                <w:rFonts w:asciiTheme="minorHAnsi" w:hAnsiTheme="minorHAnsi"/>
                <w:b w:val="0"/>
                <w:bCs/>
              </w:rPr>
            </w:pPr>
            <w:r>
              <w:rPr>
                <w:rFonts w:asciiTheme="minorHAnsi" w:hAnsiTheme="minorHAnsi"/>
                <w:b w:val="0"/>
                <w:bCs/>
              </w:rPr>
              <w:t>Travaux préparatoires en vue de la Conférence de plénipotentiaires de 2018</w:t>
            </w:r>
          </w:p>
        </w:tc>
        <w:tc>
          <w:tcPr>
            <w:tcW w:w="934" w:type="pct"/>
          </w:tcPr>
          <w:p w:rsidR="009F607D" w:rsidRDefault="006C6B77" w:rsidP="00C022C9">
            <w:pPr>
              <w:tabs>
                <w:tab w:val="clear" w:pos="567"/>
                <w:tab w:val="clear" w:pos="1134"/>
                <w:tab w:val="clear" w:pos="1701"/>
                <w:tab w:val="clear" w:pos="2268"/>
                <w:tab w:val="clear" w:pos="2835"/>
              </w:tabs>
              <w:snapToGrid w:val="0"/>
              <w:spacing w:after="120"/>
              <w:jc w:val="center"/>
            </w:pPr>
            <w:hyperlink r:id="rId12" w:history="1">
              <w:r w:rsidR="009F607D" w:rsidRPr="009F607D">
                <w:rPr>
                  <w:rStyle w:val="Hyperlink"/>
                </w:rPr>
                <w:t>C17/5</w:t>
              </w:r>
            </w:hyperlink>
          </w:p>
        </w:tc>
      </w:tr>
    </w:tbl>
    <w:p w:rsidR="009F607D" w:rsidRDefault="009F607D">
      <w:pPr>
        <w:tabs>
          <w:tab w:val="clear" w:pos="567"/>
          <w:tab w:val="clear" w:pos="1134"/>
          <w:tab w:val="clear" w:pos="1701"/>
          <w:tab w:val="clear" w:pos="2268"/>
          <w:tab w:val="clear" w:pos="2835"/>
        </w:tabs>
        <w:overflowPunct/>
        <w:autoSpaceDE/>
        <w:autoSpaceDN/>
        <w:adjustRightInd/>
        <w:spacing w:before="0"/>
        <w:textAlignment w:val="auto"/>
      </w:pPr>
      <w:r>
        <w:br w:type="page"/>
      </w:r>
    </w:p>
    <w:p w:rsidR="009F607D" w:rsidRPr="006C6B77" w:rsidRDefault="009F607D" w:rsidP="009F607D">
      <w:pPr>
        <w:tabs>
          <w:tab w:val="clear" w:pos="567"/>
          <w:tab w:val="clear" w:pos="1134"/>
          <w:tab w:val="clear" w:pos="1701"/>
          <w:tab w:val="clear" w:pos="2268"/>
          <w:tab w:val="clear" w:pos="2835"/>
        </w:tabs>
        <w:snapToGrid w:val="0"/>
        <w:spacing w:after="120"/>
        <w:ind w:left="709" w:hanging="709"/>
        <w:rPr>
          <w:b/>
          <w:bCs/>
          <w:szCs w:val="24"/>
        </w:rPr>
      </w:pPr>
      <w:r w:rsidRPr="006C6B77">
        <w:rPr>
          <w:b/>
          <w:bCs/>
          <w:szCs w:val="24"/>
        </w:rPr>
        <w:lastRenderedPageBreak/>
        <w:t>1</w:t>
      </w:r>
      <w:r w:rsidRPr="006C6B77">
        <w:rPr>
          <w:b/>
          <w:bCs/>
          <w:szCs w:val="24"/>
        </w:rPr>
        <w:tab/>
        <w:t xml:space="preserve">Rapport d'activité de la première réunion du Groupe d'experts sur le Règlement des télécommunications internationales (EG-RTI) (Documents </w:t>
      </w:r>
      <w:hyperlink r:id="rId13" w:history="1">
        <w:r w:rsidRPr="006C6B77">
          <w:rPr>
            <w:rStyle w:val="Hyperlink"/>
            <w:b/>
            <w:bCs/>
            <w:szCs w:val="24"/>
          </w:rPr>
          <w:t>C17/26</w:t>
        </w:r>
      </w:hyperlink>
      <w:r w:rsidRPr="006C6B77">
        <w:rPr>
          <w:b/>
          <w:bCs/>
          <w:szCs w:val="24"/>
        </w:rPr>
        <w:t xml:space="preserve">, </w:t>
      </w:r>
      <w:hyperlink r:id="rId14" w:history="1">
        <w:r w:rsidRPr="006C6B77">
          <w:rPr>
            <w:rStyle w:val="Hyperlink"/>
            <w:b/>
            <w:bCs/>
            <w:szCs w:val="24"/>
          </w:rPr>
          <w:t>C17/81</w:t>
        </w:r>
      </w:hyperlink>
      <w:r w:rsidRPr="006C6B77">
        <w:rPr>
          <w:b/>
          <w:bCs/>
          <w:szCs w:val="24"/>
        </w:rPr>
        <w:t xml:space="preserve">(Rév.1) et </w:t>
      </w:r>
      <w:hyperlink r:id="rId15" w:history="1">
        <w:r w:rsidRPr="006C6B77">
          <w:rPr>
            <w:rStyle w:val="Hyperlink"/>
            <w:b/>
            <w:bCs/>
            <w:szCs w:val="24"/>
          </w:rPr>
          <w:t>C17/95</w:t>
        </w:r>
      </w:hyperlink>
      <w:r w:rsidR="006C6B77" w:rsidRPr="006C6B77">
        <w:rPr>
          <w:b/>
          <w:bCs/>
          <w:szCs w:val="24"/>
        </w:rPr>
        <w:t>)</w:t>
      </w:r>
    </w:p>
    <w:p w:rsidR="009F607D" w:rsidRPr="0023240B" w:rsidRDefault="009F607D" w:rsidP="009F607D">
      <w:pPr>
        <w:tabs>
          <w:tab w:val="clear" w:pos="567"/>
          <w:tab w:val="clear" w:pos="1134"/>
          <w:tab w:val="clear" w:pos="1701"/>
          <w:tab w:val="clear" w:pos="2268"/>
          <w:tab w:val="clear" w:pos="2835"/>
        </w:tabs>
        <w:snapToGrid w:val="0"/>
        <w:spacing w:after="120"/>
        <w:rPr>
          <w:szCs w:val="24"/>
        </w:rPr>
      </w:pPr>
      <w:r>
        <w:rPr>
          <w:szCs w:val="24"/>
        </w:rPr>
        <w:t>1.1</w:t>
      </w:r>
      <w:r>
        <w:rPr>
          <w:szCs w:val="24"/>
        </w:rPr>
        <w:tab/>
      </w:r>
      <w:r w:rsidRPr="0023240B">
        <w:rPr>
          <w:szCs w:val="24"/>
        </w:rPr>
        <w:t xml:space="preserve">Le Président du Groupe d'experts, intervenant à distance par visioconférence, présente le Document C17/26, qui résume les résultats de la première réunion du Groupe d'experts sur le RTI </w:t>
      </w:r>
      <w:r>
        <w:rPr>
          <w:szCs w:val="24"/>
        </w:rPr>
        <w:t xml:space="preserve">(EG-RTI) </w:t>
      </w:r>
      <w:r w:rsidRPr="0023240B">
        <w:rPr>
          <w:szCs w:val="24"/>
        </w:rPr>
        <w:t>t</w:t>
      </w:r>
      <w:r>
        <w:rPr>
          <w:szCs w:val="24"/>
        </w:rPr>
        <w:t xml:space="preserve">enue les 9 et 10 février 2017. </w:t>
      </w:r>
      <w:r w:rsidRPr="0023240B">
        <w:rPr>
          <w:szCs w:val="24"/>
        </w:rPr>
        <w:t xml:space="preserve">Le Groupe a abordé des questions relatives à ses méthodes de travail, examiné diverses contributions et décidé d'adopter une approche étape par </w:t>
      </w:r>
      <w:proofErr w:type="gramStart"/>
      <w:r w:rsidRPr="0023240B">
        <w:rPr>
          <w:szCs w:val="24"/>
        </w:rPr>
        <w:t>étape;</w:t>
      </w:r>
      <w:proofErr w:type="gramEnd"/>
      <w:r w:rsidRPr="0023240B">
        <w:rPr>
          <w:szCs w:val="24"/>
        </w:rPr>
        <w:t xml:space="preserve"> la prochaine étape consisterait à déterminer les problèmes qui pourraient découler de la mise en </w:t>
      </w:r>
      <w:proofErr w:type="spellStart"/>
      <w:r w:rsidRPr="0023240B">
        <w:rPr>
          <w:szCs w:val="24"/>
        </w:rPr>
        <w:t>oeuvre</w:t>
      </w:r>
      <w:proofErr w:type="spellEnd"/>
      <w:r w:rsidRPr="0023240B">
        <w:rPr>
          <w:szCs w:val="24"/>
        </w:rPr>
        <w:t xml:space="preserve"> du RTI dans sa version 2012</w:t>
      </w:r>
      <w:r w:rsidR="00D34A6D">
        <w:rPr>
          <w:szCs w:val="24"/>
        </w:rPr>
        <w:t>, conformément au mandat du Groupe</w:t>
      </w:r>
      <w:r w:rsidRPr="0023240B">
        <w:rPr>
          <w:szCs w:val="24"/>
        </w:rPr>
        <w:t>. Le Conseil est invité à donner au Groupe des indications concernant les dates de sa dernière réunion en 2018.</w:t>
      </w:r>
    </w:p>
    <w:p w:rsidR="009F607D" w:rsidRDefault="009F607D" w:rsidP="009F607D">
      <w:pPr>
        <w:tabs>
          <w:tab w:val="clear" w:pos="567"/>
          <w:tab w:val="clear" w:pos="1134"/>
          <w:tab w:val="clear" w:pos="1701"/>
          <w:tab w:val="clear" w:pos="2268"/>
          <w:tab w:val="clear" w:pos="2835"/>
        </w:tabs>
        <w:snapToGrid w:val="0"/>
        <w:spacing w:after="120"/>
        <w:rPr>
          <w:szCs w:val="24"/>
        </w:rPr>
      </w:pPr>
      <w:r>
        <w:rPr>
          <w:szCs w:val="24"/>
        </w:rPr>
        <w:t>1.2</w:t>
      </w:r>
      <w:r>
        <w:rPr>
          <w:szCs w:val="24"/>
        </w:rPr>
        <w:tab/>
      </w:r>
      <w:r w:rsidRPr="0023240B">
        <w:rPr>
          <w:szCs w:val="24"/>
        </w:rPr>
        <w:t xml:space="preserve">Tous les </w:t>
      </w:r>
      <w:r>
        <w:rPr>
          <w:szCs w:val="24"/>
        </w:rPr>
        <w:t>c</w:t>
      </w:r>
      <w:r w:rsidRPr="0023240B">
        <w:rPr>
          <w:szCs w:val="24"/>
        </w:rPr>
        <w:t xml:space="preserve">onseillers </w:t>
      </w:r>
      <w:r>
        <w:rPr>
          <w:szCs w:val="24"/>
        </w:rPr>
        <w:t>considèrent</w:t>
      </w:r>
      <w:r w:rsidRPr="0023240B">
        <w:rPr>
          <w:szCs w:val="24"/>
        </w:rPr>
        <w:t xml:space="preserve"> que la dernière réunion du Groupe doit se tenir avant la session d'avril 2018 du Conseil, de sorte que le Conseil et les </w:t>
      </w:r>
      <w:r>
        <w:rPr>
          <w:szCs w:val="24"/>
        </w:rPr>
        <w:t xml:space="preserve">Etats </w:t>
      </w:r>
      <w:r w:rsidRPr="0023240B">
        <w:rPr>
          <w:szCs w:val="24"/>
        </w:rPr>
        <w:t xml:space="preserve">Membres disposent d'un délai suffisant pour étudier le rapport final avant la </w:t>
      </w:r>
      <w:r>
        <w:rPr>
          <w:szCs w:val="24"/>
        </w:rPr>
        <w:t>Conférence de plénipotentiaires</w:t>
      </w:r>
      <w:r w:rsidRPr="0023240B">
        <w:rPr>
          <w:szCs w:val="24"/>
        </w:rPr>
        <w:t xml:space="preserve">, et compte tenu du numéro 45 des Règles générales selon lequel le Secrétaire général réunit les rapports reçus et les transmet aux Etats Membres quatre mois avant l'ouverture de la Conférence. Ils appuient l'idée de demander aux Etats Membres et aux Membres de Secteur de soumettre davantage de contributions de sorte que le Groupe puisse travailler sur des données factuelles. </w:t>
      </w:r>
    </w:p>
    <w:p w:rsidR="009F607D" w:rsidRPr="0023240B" w:rsidRDefault="009F607D" w:rsidP="009F607D">
      <w:pPr>
        <w:tabs>
          <w:tab w:val="clear" w:pos="567"/>
          <w:tab w:val="clear" w:pos="1134"/>
          <w:tab w:val="clear" w:pos="1701"/>
          <w:tab w:val="clear" w:pos="2268"/>
          <w:tab w:val="clear" w:pos="2835"/>
        </w:tabs>
        <w:snapToGrid w:val="0"/>
        <w:spacing w:after="120"/>
        <w:rPr>
          <w:szCs w:val="24"/>
        </w:rPr>
      </w:pPr>
      <w:r>
        <w:rPr>
          <w:szCs w:val="24"/>
        </w:rPr>
        <w:t>1.3</w:t>
      </w:r>
      <w:r>
        <w:rPr>
          <w:szCs w:val="24"/>
        </w:rPr>
        <w:tab/>
      </w:r>
      <w:r w:rsidRPr="0023240B">
        <w:rPr>
          <w:szCs w:val="24"/>
        </w:rPr>
        <w:t xml:space="preserve">Plusieurs </w:t>
      </w:r>
      <w:r>
        <w:rPr>
          <w:szCs w:val="24"/>
        </w:rPr>
        <w:t>c</w:t>
      </w:r>
      <w:r w:rsidRPr="0023240B">
        <w:rPr>
          <w:szCs w:val="24"/>
        </w:rPr>
        <w:t xml:space="preserve">onseillers soulignent l'importance du RTI compte tenu de l'évolution rapide du domaine des télécommunications, estimant que la version de 2012 du RTI est nécessaire et applicable aux Etats Membres. </w:t>
      </w:r>
    </w:p>
    <w:p w:rsidR="009F607D" w:rsidRPr="0023240B" w:rsidRDefault="009F607D" w:rsidP="009F607D">
      <w:pPr>
        <w:tabs>
          <w:tab w:val="clear" w:pos="567"/>
          <w:tab w:val="clear" w:pos="1134"/>
          <w:tab w:val="clear" w:pos="1701"/>
          <w:tab w:val="clear" w:pos="2268"/>
          <w:tab w:val="clear" w:pos="2835"/>
        </w:tabs>
        <w:snapToGrid w:val="0"/>
        <w:spacing w:after="120"/>
        <w:rPr>
          <w:szCs w:val="24"/>
        </w:rPr>
      </w:pPr>
      <w:r>
        <w:rPr>
          <w:szCs w:val="24"/>
        </w:rPr>
        <w:t>1.4</w:t>
      </w:r>
      <w:r>
        <w:rPr>
          <w:szCs w:val="24"/>
        </w:rPr>
        <w:tab/>
      </w:r>
      <w:r w:rsidRPr="0023240B">
        <w:rPr>
          <w:szCs w:val="24"/>
        </w:rPr>
        <w:t xml:space="preserve">Le Conseiller de la Fédération de Russie présente le Document C17/81(Rév.1), soumis par son pays, l'Arménie et le Belarus, qui vise à renforcer l'efficacité des travaux </w:t>
      </w:r>
      <w:proofErr w:type="gramStart"/>
      <w:r w:rsidRPr="0023240B">
        <w:rPr>
          <w:szCs w:val="24"/>
        </w:rPr>
        <w:t>du EG-RTI</w:t>
      </w:r>
      <w:proofErr w:type="gramEnd"/>
      <w:r w:rsidRPr="0023240B">
        <w:rPr>
          <w:szCs w:val="24"/>
        </w:rPr>
        <w:t xml:space="preserve">. Il est proposé entre autres que le rapport final du Groupe se compose de deux </w:t>
      </w:r>
      <w:proofErr w:type="gramStart"/>
      <w:r w:rsidRPr="0023240B">
        <w:rPr>
          <w:szCs w:val="24"/>
        </w:rPr>
        <w:t>sections:</w:t>
      </w:r>
      <w:proofErr w:type="gramEnd"/>
      <w:r w:rsidRPr="0023240B">
        <w:rPr>
          <w:szCs w:val="24"/>
        </w:rPr>
        <w:t xml:space="preserve"> Futur examen du RTI dans sa version de 2012, et Applicabilité</w:t>
      </w:r>
      <w:r>
        <w:rPr>
          <w:szCs w:val="24"/>
        </w:rPr>
        <w:t xml:space="preserve"> du RTI dans sa version de 2012.</w:t>
      </w:r>
      <w:r w:rsidRPr="0023240B">
        <w:rPr>
          <w:szCs w:val="24"/>
        </w:rPr>
        <w:t xml:space="preserve"> Plusieurs </w:t>
      </w:r>
      <w:r>
        <w:rPr>
          <w:szCs w:val="24"/>
        </w:rPr>
        <w:t>c</w:t>
      </w:r>
      <w:r w:rsidRPr="0023240B">
        <w:rPr>
          <w:szCs w:val="24"/>
        </w:rPr>
        <w:t>onseillers approuvent cette contribution car le temps presse et il convient d'améliorer l'efficacité des travaux du Groupe.</w:t>
      </w:r>
    </w:p>
    <w:p w:rsidR="009F607D" w:rsidRPr="0023240B" w:rsidRDefault="009F607D" w:rsidP="009F607D">
      <w:pPr>
        <w:tabs>
          <w:tab w:val="clear" w:pos="567"/>
          <w:tab w:val="clear" w:pos="1134"/>
          <w:tab w:val="clear" w:pos="1701"/>
          <w:tab w:val="clear" w:pos="2268"/>
          <w:tab w:val="clear" w:pos="2835"/>
        </w:tabs>
        <w:snapToGrid w:val="0"/>
        <w:spacing w:after="120"/>
        <w:rPr>
          <w:szCs w:val="24"/>
        </w:rPr>
      </w:pPr>
      <w:r>
        <w:rPr>
          <w:szCs w:val="24"/>
        </w:rPr>
        <w:t>1.5</w:t>
      </w:r>
      <w:r>
        <w:rPr>
          <w:szCs w:val="24"/>
        </w:rPr>
        <w:tab/>
        <w:t>Le C</w:t>
      </w:r>
      <w:r w:rsidRPr="0023240B">
        <w:rPr>
          <w:szCs w:val="24"/>
        </w:rPr>
        <w:t xml:space="preserve">onseiller du Brésil présente le Document C17/95 intitulé Examen du Règlement des télécommunications internationales, mettant en avant les quatre grandes questions qui se posent, avec les arguments en présence et le point de vue du Brésil. Ces questions </w:t>
      </w:r>
      <w:proofErr w:type="gramStart"/>
      <w:r w:rsidRPr="0023240B">
        <w:rPr>
          <w:szCs w:val="24"/>
        </w:rPr>
        <w:t>sont:</w:t>
      </w:r>
      <w:proofErr w:type="gramEnd"/>
      <w:r w:rsidRPr="0023240B">
        <w:rPr>
          <w:szCs w:val="24"/>
        </w:rPr>
        <w:t xml:space="preserve"> l'applicabilité du RTI; la nécessité de procéder à un examen périodique; le rapport coût-avantage de la tenue d'une nouvelle CMTI; les incidences sur la coopération internationale et la réputation de l'UIT. </w:t>
      </w:r>
    </w:p>
    <w:p w:rsidR="009F607D" w:rsidRPr="0023240B" w:rsidRDefault="009F607D" w:rsidP="00D34A6D">
      <w:pPr>
        <w:tabs>
          <w:tab w:val="clear" w:pos="567"/>
          <w:tab w:val="clear" w:pos="1134"/>
          <w:tab w:val="clear" w:pos="1701"/>
          <w:tab w:val="clear" w:pos="2268"/>
          <w:tab w:val="clear" w:pos="2835"/>
        </w:tabs>
        <w:snapToGrid w:val="0"/>
        <w:spacing w:after="120"/>
        <w:rPr>
          <w:szCs w:val="24"/>
        </w:rPr>
      </w:pPr>
      <w:r>
        <w:rPr>
          <w:szCs w:val="24"/>
        </w:rPr>
        <w:t>1.6</w:t>
      </w:r>
      <w:r>
        <w:rPr>
          <w:szCs w:val="24"/>
        </w:rPr>
        <w:tab/>
      </w:r>
      <w:r w:rsidRPr="0023240B">
        <w:rPr>
          <w:szCs w:val="24"/>
        </w:rPr>
        <w:t>Plusieurs conseillers disent qu'il est important que le Groupe travaille efficacement pour tenter d'avancer et trouver des points d'accord. Les discussions devraient conduire à un rapprochement des points de vue actuellement divergents dans</w:t>
      </w:r>
      <w:r w:rsidR="00D34A6D">
        <w:rPr>
          <w:szCs w:val="24"/>
        </w:rPr>
        <w:t xml:space="preserve"> le but de trouver une solution.</w:t>
      </w:r>
      <w:r w:rsidRPr="0023240B">
        <w:rPr>
          <w:szCs w:val="24"/>
        </w:rPr>
        <w:t xml:space="preserve"> </w:t>
      </w:r>
    </w:p>
    <w:p w:rsidR="009F607D" w:rsidRPr="0023240B" w:rsidRDefault="009F607D" w:rsidP="00D34A6D">
      <w:pPr>
        <w:tabs>
          <w:tab w:val="clear" w:pos="567"/>
          <w:tab w:val="clear" w:pos="1134"/>
          <w:tab w:val="clear" w:pos="1701"/>
          <w:tab w:val="clear" w:pos="2268"/>
          <w:tab w:val="clear" w:pos="2835"/>
        </w:tabs>
        <w:snapToGrid w:val="0"/>
        <w:spacing w:after="120"/>
        <w:rPr>
          <w:szCs w:val="24"/>
        </w:rPr>
      </w:pPr>
      <w:proofErr w:type="gramStart"/>
      <w:r>
        <w:rPr>
          <w:szCs w:val="24"/>
        </w:rPr>
        <w:t>1.7</w:t>
      </w:r>
      <w:r>
        <w:rPr>
          <w:szCs w:val="24"/>
        </w:rPr>
        <w:tab/>
      </w:r>
      <w:r w:rsidRPr="0023240B">
        <w:rPr>
          <w:szCs w:val="24"/>
        </w:rPr>
        <w:t xml:space="preserve">Le Conseiller du Canada, s'exprimant en tant que Président du GCNT, rappelle </w:t>
      </w:r>
      <w:r w:rsidR="00D34A6D">
        <w:rPr>
          <w:szCs w:val="24"/>
        </w:rPr>
        <w:t xml:space="preserve">que s'agissant du rôle des commissions d'études en ce qui concerne la fourniture d'informations relatives à la mise en </w:t>
      </w:r>
      <w:proofErr w:type="spellStart"/>
      <w:r w:rsidR="00D34A6D">
        <w:rPr>
          <w:szCs w:val="24"/>
        </w:rPr>
        <w:t>oeuvre</w:t>
      </w:r>
      <w:proofErr w:type="spellEnd"/>
      <w:r w:rsidR="00D34A6D">
        <w:rPr>
          <w:szCs w:val="24"/>
        </w:rPr>
        <w:t xml:space="preserve"> du R</w:t>
      </w:r>
      <w:r w:rsidR="00931A92">
        <w:rPr>
          <w:szCs w:val="24"/>
        </w:rPr>
        <w:t>TI, le GC</w:t>
      </w:r>
      <w:r w:rsidR="00D34A6D">
        <w:rPr>
          <w:szCs w:val="24"/>
        </w:rPr>
        <w:t xml:space="preserve">NT a convenu que le Président devrait solliciter l'avis des Commissions d'études concernées de l'UIT-T quant à la mise en </w:t>
      </w:r>
      <w:proofErr w:type="spellStart"/>
      <w:r w:rsidR="00D34A6D">
        <w:rPr>
          <w:szCs w:val="24"/>
        </w:rPr>
        <w:t>oeuvre</w:t>
      </w:r>
      <w:proofErr w:type="spellEnd"/>
      <w:r w:rsidR="00D34A6D">
        <w:rPr>
          <w:szCs w:val="24"/>
        </w:rPr>
        <w:t xml:space="preserve"> de l'actuel RTI (2012) et </w:t>
      </w:r>
      <w:r w:rsidR="00752742">
        <w:rPr>
          <w:szCs w:val="24"/>
        </w:rPr>
        <w:t xml:space="preserve">que </w:t>
      </w:r>
      <w:r w:rsidR="00D34A6D">
        <w:rPr>
          <w:szCs w:val="24"/>
        </w:rPr>
        <w:t>les informations mises à disposition figureront dans le rapport du Directeur du TSB qui sera soumis à la prochaine réunion du Groupe d'experts.</w:t>
      </w:r>
      <w:proofErr w:type="gramEnd"/>
    </w:p>
    <w:p w:rsidR="00CB41AF" w:rsidRDefault="009F607D" w:rsidP="00CB41AF">
      <w:pPr>
        <w:tabs>
          <w:tab w:val="clear" w:pos="567"/>
          <w:tab w:val="clear" w:pos="1134"/>
          <w:tab w:val="clear" w:pos="1701"/>
          <w:tab w:val="clear" w:pos="2268"/>
          <w:tab w:val="clear" w:pos="2835"/>
        </w:tabs>
        <w:snapToGrid w:val="0"/>
        <w:spacing w:after="120"/>
        <w:rPr>
          <w:szCs w:val="24"/>
        </w:rPr>
      </w:pPr>
      <w:r>
        <w:rPr>
          <w:szCs w:val="24"/>
        </w:rPr>
        <w:t>1.8</w:t>
      </w:r>
      <w:r>
        <w:rPr>
          <w:szCs w:val="24"/>
        </w:rPr>
        <w:tab/>
        <w:t>Un c</w:t>
      </w:r>
      <w:r w:rsidRPr="0023240B">
        <w:rPr>
          <w:szCs w:val="24"/>
        </w:rPr>
        <w:t>onseiller souhaiterait avoir un avis juridique sur ce que recouvre exactement le terme</w:t>
      </w:r>
      <w:r w:rsidR="00931A92">
        <w:rPr>
          <w:szCs w:val="24"/>
        </w:rPr>
        <w:t xml:space="preserve"> "</w:t>
      </w:r>
      <w:r w:rsidRPr="0023240B">
        <w:rPr>
          <w:szCs w:val="24"/>
        </w:rPr>
        <w:t>examen</w:t>
      </w:r>
      <w:r w:rsidR="00931A92">
        <w:rPr>
          <w:szCs w:val="24"/>
        </w:rPr>
        <w:t xml:space="preserve">" </w:t>
      </w:r>
      <w:r>
        <w:rPr>
          <w:szCs w:val="24"/>
        </w:rPr>
        <w:t>(</w:t>
      </w:r>
      <w:proofErr w:type="spellStart"/>
      <w:r w:rsidRPr="0023240B">
        <w:rPr>
          <w:szCs w:val="24"/>
        </w:rPr>
        <w:t>review</w:t>
      </w:r>
      <w:proofErr w:type="spellEnd"/>
      <w:r w:rsidRPr="0023240B">
        <w:rPr>
          <w:szCs w:val="24"/>
        </w:rPr>
        <w:t>) dans l’expression</w:t>
      </w:r>
      <w:r w:rsidR="00931A92">
        <w:rPr>
          <w:szCs w:val="24"/>
        </w:rPr>
        <w:t xml:space="preserve"> "</w:t>
      </w:r>
      <w:r>
        <w:rPr>
          <w:szCs w:val="24"/>
        </w:rPr>
        <w:t>examen périodique</w:t>
      </w:r>
      <w:r w:rsidRPr="0023240B">
        <w:rPr>
          <w:szCs w:val="24"/>
        </w:rPr>
        <w:t xml:space="preserve">", car il peut être compris comme examen ou révision. Dans le premier cas, des amendements seraient apportés à des dispositions </w:t>
      </w:r>
      <w:r w:rsidRPr="0023240B">
        <w:rPr>
          <w:szCs w:val="24"/>
        </w:rPr>
        <w:lastRenderedPageBreak/>
        <w:t>existantes et le nouveau RTI compléterait le RTI existant. S’il s’agit d’une révision, le nouveau RTI</w:t>
      </w:r>
      <w:r w:rsidR="00CB41AF">
        <w:rPr>
          <w:szCs w:val="24"/>
        </w:rPr>
        <w:t xml:space="preserve"> remplacerait le RTI existant.</w:t>
      </w:r>
    </w:p>
    <w:p w:rsidR="00CB41AF" w:rsidRDefault="009F607D" w:rsidP="00CB41AF">
      <w:pPr>
        <w:tabs>
          <w:tab w:val="clear" w:pos="567"/>
          <w:tab w:val="clear" w:pos="1134"/>
          <w:tab w:val="clear" w:pos="1701"/>
          <w:tab w:val="clear" w:pos="2268"/>
          <w:tab w:val="clear" w:pos="2835"/>
        </w:tabs>
        <w:snapToGrid w:val="0"/>
        <w:spacing w:after="120"/>
        <w:rPr>
          <w:szCs w:val="24"/>
        </w:rPr>
      </w:pPr>
      <w:r>
        <w:rPr>
          <w:szCs w:val="24"/>
        </w:rPr>
        <w:t>1.9</w:t>
      </w:r>
      <w:r>
        <w:rPr>
          <w:szCs w:val="24"/>
        </w:rPr>
        <w:tab/>
      </w:r>
      <w:r w:rsidRPr="0023240B">
        <w:rPr>
          <w:szCs w:val="24"/>
        </w:rPr>
        <w:t>Le Président du Groupe d’experts dit que ces questions ont déjà fait l’objet de discussions. Il a été convenu qu’il s’agit d’examiner, et non de réviser, le RTI dans sa version de 2012. À cet égard, le document de la Fédération de Russie est clair et approprié. L’optique est de réfléchir à l’applicabilité du RTI dans sa version de 2012, en s’appuyant sur les contributions des Etats Mem</w:t>
      </w:r>
      <w:r w:rsidR="00CB41AF">
        <w:rPr>
          <w:szCs w:val="24"/>
        </w:rPr>
        <w:t>bres et des Membres de Secteur.</w:t>
      </w:r>
    </w:p>
    <w:p w:rsidR="00CB41AF" w:rsidRDefault="009F607D" w:rsidP="00D34A6D">
      <w:pPr>
        <w:tabs>
          <w:tab w:val="clear" w:pos="567"/>
          <w:tab w:val="clear" w:pos="1134"/>
          <w:tab w:val="clear" w:pos="1701"/>
          <w:tab w:val="clear" w:pos="2268"/>
          <w:tab w:val="clear" w:pos="2835"/>
        </w:tabs>
        <w:snapToGrid w:val="0"/>
        <w:spacing w:after="120"/>
        <w:rPr>
          <w:szCs w:val="24"/>
        </w:rPr>
      </w:pPr>
      <w:r>
        <w:rPr>
          <w:szCs w:val="24"/>
        </w:rPr>
        <w:t>1.10</w:t>
      </w:r>
      <w:r>
        <w:rPr>
          <w:szCs w:val="24"/>
        </w:rPr>
        <w:tab/>
        <w:t>Pour plusieurs c</w:t>
      </w:r>
      <w:r w:rsidRPr="0023240B">
        <w:rPr>
          <w:szCs w:val="24"/>
        </w:rPr>
        <w:t>onseillers, il ne fait aucun doute que le mandat du Groupe d’experts tel que défini par la Résolution 1379 du Conseil et la Résolution 146 de la Confé</w:t>
      </w:r>
      <w:r>
        <w:rPr>
          <w:szCs w:val="24"/>
        </w:rPr>
        <w:t>rence de plénipotentiaires (Rév.</w:t>
      </w:r>
      <w:r w:rsidRPr="0023240B">
        <w:rPr>
          <w:szCs w:val="24"/>
        </w:rPr>
        <w:t xml:space="preserve"> Busan, 2014) consiste en un examen du RTI dans sa version de 2012 et non une révision. </w:t>
      </w:r>
      <w:r w:rsidR="00D34A6D">
        <w:rPr>
          <w:szCs w:val="24"/>
        </w:rPr>
        <w:t>Des préoccupations sont exprimées concernant divers aspects de</w:t>
      </w:r>
      <w:r w:rsidRPr="0023240B">
        <w:rPr>
          <w:szCs w:val="24"/>
        </w:rPr>
        <w:t xml:space="preserve"> la structure proposée par la Fédération de Russie</w:t>
      </w:r>
      <w:r w:rsidR="00D34A6D">
        <w:rPr>
          <w:szCs w:val="24"/>
        </w:rPr>
        <w:t>.</w:t>
      </w:r>
      <w:r w:rsidRPr="0023240B">
        <w:rPr>
          <w:szCs w:val="24"/>
        </w:rPr>
        <w:t xml:space="preserve"> </w:t>
      </w:r>
    </w:p>
    <w:p w:rsidR="00D34A6D" w:rsidRDefault="00D34A6D" w:rsidP="00D34A6D">
      <w:pPr>
        <w:tabs>
          <w:tab w:val="clear" w:pos="567"/>
          <w:tab w:val="clear" w:pos="1134"/>
          <w:tab w:val="clear" w:pos="1701"/>
          <w:tab w:val="clear" w:pos="2268"/>
          <w:tab w:val="clear" w:pos="2835"/>
        </w:tabs>
        <w:snapToGrid w:val="0"/>
        <w:spacing w:after="120"/>
        <w:rPr>
          <w:szCs w:val="24"/>
        </w:rPr>
      </w:pPr>
      <w:r>
        <w:rPr>
          <w:szCs w:val="24"/>
        </w:rPr>
        <w:t>1.11</w:t>
      </w:r>
      <w:r>
        <w:rPr>
          <w:szCs w:val="24"/>
        </w:rPr>
        <w:tab/>
        <w:t>Certains conseillers suggèrent que le Groupe d'experts élaborent la structure du rapport final à la prochaine réunion du Groupe.</w:t>
      </w:r>
    </w:p>
    <w:p w:rsidR="00CB41AF" w:rsidRDefault="009F607D" w:rsidP="00CB41AF">
      <w:pPr>
        <w:tabs>
          <w:tab w:val="clear" w:pos="567"/>
          <w:tab w:val="clear" w:pos="1134"/>
          <w:tab w:val="clear" w:pos="1701"/>
          <w:tab w:val="clear" w:pos="2268"/>
          <w:tab w:val="clear" w:pos="2835"/>
        </w:tabs>
        <w:snapToGrid w:val="0"/>
        <w:spacing w:after="120"/>
        <w:rPr>
          <w:szCs w:val="24"/>
        </w:rPr>
      </w:pPr>
      <w:r>
        <w:rPr>
          <w:szCs w:val="24"/>
        </w:rPr>
        <w:t>1.1</w:t>
      </w:r>
      <w:r w:rsidR="00D34A6D">
        <w:rPr>
          <w:szCs w:val="24"/>
        </w:rPr>
        <w:t>2</w:t>
      </w:r>
      <w:r>
        <w:rPr>
          <w:szCs w:val="24"/>
        </w:rPr>
        <w:tab/>
      </w:r>
      <w:r w:rsidRPr="0023240B">
        <w:rPr>
          <w:szCs w:val="24"/>
        </w:rPr>
        <w:t>A l’issue de l’échange de vues, la Présidente propose que le Groupe d’experts tienne encore trois réunions (septembre 2017, janvier 2018 et la dernière les 12 et 13 avril 2018 - avant</w:t>
      </w:r>
      <w:r>
        <w:rPr>
          <w:szCs w:val="24"/>
        </w:rPr>
        <w:t xml:space="preserve"> la session d'avril du Conseil)</w:t>
      </w:r>
      <w:r w:rsidRPr="0023240B">
        <w:rPr>
          <w:szCs w:val="24"/>
        </w:rPr>
        <w:t>. Elle propose en outre que les participants au Groupe d’experts adressent au Groupe des contributions sur la structure du rapport final, contributions qui devront être aussi nombreuses que possibles et qui seront étudiées par le Groupe au même titre que celles de la Fédé</w:t>
      </w:r>
      <w:r w:rsidR="00CB41AF">
        <w:rPr>
          <w:szCs w:val="24"/>
        </w:rPr>
        <w:t>ration de Russie et du Brésil.</w:t>
      </w:r>
    </w:p>
    <w:p w:rsidR="009F607D" w:rsidRPr="0023240B" w:rsidRDefault="00D34A6D" w:rsidP="00CB41AF">
      <w:pPr>
        <w:tabs>
          <w:tab w:val="clear" w:pos="567"/>
          <w:tab w:val="clear" w:pos="1134"/>
          <w:tab w:val="clear" w:pos="1701"/>
          <w:tab w:val="clear" w:pos="2268"/>
          <w:tab w:val="clear" w:pos="2835"/>
        </w:tabs>
        <w:snapToGrid w:val="0"/>
        <w:spacing w:after="120"/>
        <w:rPr>
          <w:szCs w:val="24"/>
        </w:rPr>
      </w:pPr>
      <w:r>
        <w:rPr>
          <w:szCs w:val="24"/>
        </w:rPr>
        <w:t>1.13</w:t>
      </w:r>
      <w:r w:rsidR="009F607D">
        <w:rPr>
          <w:szCs w:val="24"/>
        </w:rPr>
        <w:tab/>
      </w:r>
      <w:r w:rsidR="009F607D" w:rsidRPr="0023240B">
        <w:rPr>
          <w:szCs w:val="24"/>
        </w:rPr>
        <w:t xml:space="preserve">Il est ainsi </w:t>
      </w:r>
      <w:r w:rsidR="009F607D" w:rsidRPr="0023240B">
        <w:rPr>
          <w:b/>
          <w:bCs/>
          <w:szCs w:val="24"/>
        </w:rPr>
        <w:t>décidé.</w:t>
      </w:r>
    </w:p>
    <w:p w:rsidR="009F607D" w:rsidRPr="006C6B77" w:rsidRDefault="009F607D" w:rsidP="009F607D">
      <w:pPr>
        <w:tabs>
          <w:tab w:val="clear" w:pos="567"/>
          <w:tab w:val="clear" w:pos="1134"/>
          <w:tab w:val="clear" w:pos="1701"/>
          <w:tab w:val="clear" w:pos="2268"/>
          <w:tab w:val="clear" w:pos="2835"/>
        </w:tabs>
        <w:snapToGrid w:val="0"/>
        <w:spacing w:before="360" w:after="120"/>
        <w:ind w:left="567" w:hanging="567"/>
        <w:outlineLvl w:val="0"/>
        <w:rPr>
          <w:bCs/>
          <w:szCs w:val="24"/>
        </w:rPr>
      </w:pPr>
      <w:r w:rsidRPr="006C6B77">
        <w:rPr>
          <w:b/>
          <w:szCs w:val="24"/>
        </w:rPr>
        <w:t>2</w:t>
      </w:r>
      <w:r w:rsidRPr="006C6B77">
        <w:rPr>
          <w:b/>
          <w:szCs w:val="24"/>
        </w:rPr>
        <w:tab/>
        <w:t xml:space="preserve">Activités de l’UIT relatives à la Résolution 70 (Rév. Busan, 2014) et examen de la politique GEM de l’UIT (Documents </w:t>
      </w:r>
      <w:hyperlink r:id="rId16" w:history="1">
        <w:r w:rsidRPr="006C6B77">
          <w:rPr>
            <w:rStyle w:val="Hyperlink"/>
            <w:b/>
            <w:szCs w:val="24"/>
          </w:rPr>
          <w:t>C17/6</w:t>
        </w:r>
      </w:hyperlink>
      <w:r w:rsidRPr="006C6B77">
        <w:rPr>
          <w:b/>
          <w:szCs w:val="24"/>
        </w:rPr>
        <w:t xml:space="preserve"> et </w:t>
      </w:r>
      <w:hyperlink r:id="rId17" w:history="1">
        <w:r w:rsidRPr="006C6B77">
          <w:rPr>
            <w:rStyle w:val="Hyperlink"/>
            <w:b/>
            <w:szCs w:val="24"/>
          </w:rPr>
          <w:t>C17/71</w:t>
        </w:r>
      </w:hyperlink>
      <w:r w:rsidRPr="006C6B77">
        <w:rPr>
          <w:b/>
          <w:szCs w:val="24"/>
        </w:rPr>
        <w:t>)</w:t>
      </w:r>
    </w:p>
    <w:p w:rsidR="009F607D" w:rsidRPr="00D043A9" w:rsidRDefault="009F607D" w:rsidP="00CB41AF">
      <w:pPr>
        <w:tabs>
          <w:tab w:val="clear" w:pos="567"/>
          <w:tab w:val="clear" w:pos="1134"/>
          <w:tab w:val="clear" w:pos="1701"/>
          <w:tab w:val="clear" w:pos="2268"/>
          <w:tab w:val="clear" w:pos="2835"/>
        </w:tabs>
        <w:snapToGrid w:val="0"/>
        <w:spacing w:after="120"/>
      </w:pPr>
      <w:r>
        <w:t>2.1</w:t>
      </w:r>
      <w:r>
        <w:tab/>
      </w:r>
      <w:r w:rsidRPr="00D043A9">
        <w:t>La Chef du Département de la planification stratég</w:t>
      </w:r>
      <w:r>
        <w:t>ique et des relations avec les m</w:t>
      </w:r>
      <w:r w:rsidRPr="00D043A9">
        <w:t>embres</w:t>
      </w:r>
      <w:r>
        <w:t xml:space="preserve"> (SPM)</w:t>
      </w:r>
      <w:r w:rsidRPr="00D043A9">
        <w:t xml:space="preserve"> présente le Document C17/6, où sont décrites les activités de l’UIT axées sur l’utilisation des TIC au service de l’égalité hommes/femmes et de l’autonomisation de ces dernières. Elle présente </w:t>
      </w:r>
      <w:r>
        <w:t xml:space="preserve">aussi </w:t>
      </w:r>
      <w:r w:rsidRPr="00D043A9">
        <w:t>le Document C17/71 qui rend compte de l’examen</w:t>
      </w:r>
      <w:r>
        <w:t xml:space="preserve"> de la politique GEM de </w:t>
      </w:r>
      <w:proofErr w:type="gramStart"/>
      <w:r>
        <w:t>l’Union;</w:t>
      </w:r>
      <w:proofErr w:type="gramEnd"/>
      <w:r>
        <w:t xml:space="preserve"> cet examen a consisté en </w:t>
      </w:r>
      <w:r w:rsidRPr="00D043A9">
        <w:t>une analyse du respect par l’UIT des critères et indicateurs du Plan d’action à l’échelle du système des Nations Unies pour l’égalité des sexes et l’autonomisation des femmes (ONU-SWAP), un audit interne de la politique GEM et une vaste</w:t>
      </w:r>
      <w:r>
        <w:t xml:space="preserve"> consultation du personnel. Le d</w:t>
      </w:r>
      <w:r w:rsidRPr="00D043A9">
        <w:t>ocument contient en outre un plan de mise en œuvre de cette politique visant à combler les lacunes de celle-ci par rapport au Plan d’action des Nations Unies.</w:t>
      </w:r>
    </w:p>
    <w:p w:rsidR="009F607D" w:rsidRPr="00D043A9" w:rsidRDefault="009F607D" w:rsidP="00F1384E">
      <w:pPr>
        <w:tabs>
          <w:tab w:val="clear" w:pos="567"/>
          <w:tab w:val="clear" w:pos="1134"/>
          <w:tab w:val="clear" w:pos="1701"/>
          <w:tab w:val="clear" w:pos="2268"/>
          <w:tab w:val="clear" w:pos="2835"/>
        </w:tabs>
        <w:snapToGrid w:val="0"/>
        <w:spacing w:after="120"/>
      </w:pPr>
      <w:r>
        <w:t>2.2</w:t>
      </w:r>
      <w:r>
        <w:tab/>
        <w:t>Tous les c</w:t>
      </w:r>
      <w:r w:rsidRPr="00D043A9">
        <w:t xml:space="preserve">onseillers qui </w:t>
      </w:r>
      <w:r>
        <w:t xml:space="preserve">prennent la </w:t>
      </w:r>
      <w:r w:rsidRPr="00D043A9">
        <w:t xml:space="preserve">parole se </w:t>
      </w:r>
      <w:r>
        <w:t>félicitent</w:t>
      </w:r>
      <w:r w:rsidRPr="00D043A9">
        <w:t xml:space="preserve"> de la priorité accordée par le Secrétaire général à la question de l’égalité des sexes et de l’autonomisation des femmes et </w:t>
      </w:r>
      <w:r>
        <w:t xml:space="preserve">louent </w:t>
      </w:r>
      <w:r w:rsidRPr="00D043A9">
        <w:t xml:space="preserve">l’action menée à cette fin par la Chef du Département </w:t>
      </w:r>
      <w:r>
        <w:t>SPM. Un conseiller cite</w:t>
      </w:r>
      <w:r w:rsidRPr="00D043A9">
        <w:t xml:space="preserve"> l’ODD 5 comme référence en matière d’autonomisation des</w:t>
      </w:r>
      <w:r>
        <w:t xml:space="preserve"> femmes. Plusieurs c</w:t>
      </w:r>
      <w:r w:rsidRPr="00D043A9">
        <w:t xml:space="preserve">onseillers </w:t>
      </w:r>
      <w:r>
        <w:t>évoquent</w:t>
      </w:r>
      <w:r w:rsidRPr="00D043A9">
        <w:t xml:space="preserve"> les progrès accomplis dans leurs pays respectifs en matière de promotion de la condition féminine, en général, et de la participation des femmes et des filles à des initiatives telles que</w:t>
      </w:r>
      <w:r w:rsidR="00931A92">
        <w:t xml:space="preserve"> "</w:t>
      </w:r>
      <w:r w:rsidR="00D34A6D">
        <w:t xml:space="preserve">La journée des jeunes </w:t>
      </w:r>
      <w:r w:rsidRPr="00D043A9">
        <w:t xml:space="preserve">filles </w:t>
      </w:r>
      <w:r w:rsidR="00D34A6D">
        <w:t>dans le secteur des</w:t>
      </w:r>
      <w:r w:rsidRPr="00D043A9">
        <w:t xml:space="preserve"> TIC</w:t>
      </w:r>
      <w:r w:rsidR="00931A92">
        <w:t xml:space="preserve">" </w:t>
      </w:r>
      <w:r w:rsidRPr="00D043A9">
        <w:t>ou</w:t>
      </w:r>
      <w:r w:rsidR="00931A92">
        <w:t xml:space="preserve"> "</w:t>
      </w:r>
      <w:r w:rsidRPr="00D043A9">
        <w:t>EGAU</w:t>
      </w:r>
      <w:r>
        <w:t>X</w:t>
      </w:r>
      <w:r w:rsidR="00931A92">
        <w:t>"</w:t>
      </w:r>
      <w:r>
        <w:t>, en particulier.</w:t>
      </w:r>
      <w:r w:rsidR="00D34A6D">
        <w:t xml:space="preserve"> Les travaux et la publication visant à mieux faire entendre la voix des femmes au sein des forums intergouvernementaux sont reconnus et les initiatives NOW4WRC et WISE sont saluées.</w:t>
      </w:r>
      <w:r>
        <w:t xml:space="preserve"> Plusieurs c</w:t>
      </w:r>
      <w:r w:rsidRPr="00D043A9">
        <w:t xml:space="preserve">onseillers </w:t>
      </w:r>
      <w:r>
        <w:t>insistent</w:t>
      </w:r>
      <w:r w:rsidRPr="00D043A9">
        <w:t xml:space="preserve"> sur le caractère dynamique du Plan de mise en œuvre de la politique GEM et sur la nécessité d’établir un </w:t>
      </w:r>
      <w:r>
        <w:lastRenderedPageBreak/>
        <w:t xml:space="preserve">rapport annuel à ce sujet. Un conseiller demande </w:t>
      </w:r>
      <w:r w:rsidRPr="00D043A9">
        <w:t>si l’audit interne de cette poli</w:t>
      </w:r>
      <w:r>
        <w:t xml:space="preserve">tique peut être consulté. </w:t>
      </w:r>
    </w:p>
    <w:p w:rsidR="009F607D" w:rsidRPr="00D043A9" w:rsidRDefault="009F607D" w:rsidP="009F607D">
      <w:pPr>
        <w:tabs>
          <w:tab w:val="clear" w:pos="567"/>
          <w:tab w:val="clear" w:pos="1134"/>
          <w:tab w:val="clear" w:pos="1701"/>
          <w:tab w:val="clear" w:pos="2268"/>
          <w:tab w:val="clear" w:pos="2835"/>
        </w:tabs>
        <w:snapToGrid w:val="0"/>
        <w:spacing w:after="120"/>
      </w:pPr>
      <w:r>
        <w:t>2.3</w:t>
      </w:r>
      <w:r w:rsidRPr="00D043A9">
        <w:tab/>
        <w:t xml:space="preserve">Le Secrétaire général </w:t>
      </w:r>
      <w:r w:rsidR="00F1384E">
        <w:t xml:space="preserve">salue le soutien unanime des conseillers et </w:t>
      </w:r>
      <w:r w:rsidRPr="00D043A9">
        <w:t>réaffirme son at</w:t>
      </w:r>
      <w:r>
        <w:t>tachement, et celui de toute l’U</w:t>
      </w:r>
      <w:r w:rsidRPr="00D043A9">
        <w:t>nion, au principe de l’égalité des sexes et de l’autonomisation des femmes. S’agissant des problèmes budgétaires, ces activités nécessitent surtout des postes alors que la volonté de présenter un budget en équilibre suppose surtout des suppressions de postes. Le versement de contributions volontaires à but spécifié faciliterait peut-être le règlement de ce problème. Il précise enfin que l’audit interne de la politique GEM peut</w:t>
      </w:r>
      <w:r>
        <w:t xml:space="preserve"> être mis à la disposition des c</w:t>
      </w:r>
      <w:r w:rsidRPr="00D043A9">
        <w:t>onseillers.</w:t>
      </w:r>
    </w:p>
    <w:p w:rsidR="009F607D" w:rsidRPr="00D043A9" w:rsidRDefault="009F607D" w:rsidP="009F607D">
      <w:pPr>
        <w:tabs>
          <w:tab w:val="clear" w:pos="567"/>
          <w:tab w:val="clear" w:pos="1134"/>
          <w:tab w:val="clear" w:pos="1701"/>
          <w:tab w:val="clear" w:pos="2268"/>
          <w:tab w:val="clear" w:pos="2835"/>
        </w:tabs>
        <w:snapToGrid w:val="0"/>
        <w:spacing w:after="120"/>
      </w:pPr>
      <w:r>
        <w:t>2.4</w:t>
      </w:r>
      <w:r w:rsidRPr="00D043A9">
        <w:tab/>
        <w:t xml:space="preserve">La Présidente propose de prendre note des Documents C17/6 et </w:t>
      </w:r>
      <w:r>
        <w:t>C17/</w:t>
      </w:r>
      <w:r w:rsidRPr="00D043A9">
        <w:t xml:space="preserve">71, d’approuver le Plan de mise en œuvre de la politique GEM </w:t>
      </w:r>
      <w:r>
        <w:t xml:space="preserve">(Document C17/71) </w:t>
      </w:r>
      <w:r w:rsidRPr="00D043A9">
        <w:t>et de demander au Secrétariat d’établir pour le Conseil de 2018 un rapport sur l’exécution de ce plan en 2017 et son actualisation pour 2018.</w:t>
      </w:r>
    </w:p>
    <w:p w:rsidR="009F607D" w:rsidRPr="00D043A9" w:rsidRDefault="009F607D" w:rsidP="009F607D">
      <w:pPr>
        <w:tabs>
          <w:tab w:val="clear" w:pos="567"/>
          <w:tab w:val="clear" w:pos="1134"/>
          <w:tab w:val="clear" w:pos="1701"/>
          <w:tab w:val="clear" w:pos="2268"/>
          <w:tab w:val="clear" w:pos="2835"/>
        </w:tabs>
        <w:snapToGrid w:val="0"/>
        <w:spacing w:after="120"/>
      </w:pPr>
      <w:r>
        <w:t>2.5</w:t>
      </w:r>
      <w:r w:rsidRPr="00D043A9">
        <w:tab/>
        <w:t xml:space="preserve">Il en est ainsi </w:t>
      </w:r>
      <w:r w:rsidRPr="00D043A9">
        <w:rPr>
          <w:b/>
          <w:bCs/>
        </w:rPr>
        <w:t>décidé</w:t>
      </w:r>
      <w:r w:rsidR="00CB41AF">
        <w:t>.</w:t>
      </w:r>
    </w:p>
    <w:p w:rsidR="009F607D" w:rsidRPr="006C6B77" w:rsidRDefault="009F607D" w:rsidP="009F607D">
      <w:pPr>
        <w:tabs>
          <w:tab w:val="clear" w:pos="567"/>
          <w:tab w:val="clear" w:pos="1134"/>
          <w:tab w:val="clear" w:pos="1701"/>
          <w:tab w:val="clear" w:pos="2268"/>
          <w:tab w:val="clear" w:pos="2835"/>
        </w:tabs>
        <w:snapToGrid w:val="0"/>
        <w:spacing w:before="360" w:after="120"/>
        <w:ind w:left="567" w:hanging="567"/>
        <w:outlineLvl w:val="0"/>
        <w:rPr>
          <w:b/>
          <w:szCs w:val="24"/>
        </w:rPr>
      </w:pPr>
      <w:r w:rsidRPr="006C6B77">
        <w:rPr>
          <w:b/>
          <w:szCs w:val="24"/>
        </w:rPr>
        <w:t>3</w:t>
      </w:r>
      <w:r w:rsidRPr="006C6B77">
        <w:rPr>
          <w:b/>
          <w:szCs w:val="24"/>
        </w:rPr>
        <w:tab/>
      </w:r>
      <w:bookmarkStart w:id="7" w:name="lt_pId020"/>
      <w:r w:rsidRPr="006C6B77">
        <w:rPr>
          <w:b/>
          <w:szCs w:val="24"/>
        </w:rPr>
        <w:t>Travaux préparatoires en vue de la Conférence de plénipotentiaires de 2018 (Document </w:t>
      </w:r>
      <w:hyperlink r:id="rId18" w:history="1">
        <w:r w:rsidRPr="006C6B77">
          <w:rPr>
            <w:rStyle w:val="Hyperlink"/>
            <w:b/>
            <w:szCs w:val="24"/>
          </w:rPr>
          <w:t>C17/5</w:t>
        </w:r>
      </w:hyperlink>
      <w:r w:rsidRPr="006C6B77">
        <w:rPr>
          <w:b/>
          <w:szCs w:val="24"/>
        </w:rPr>
        <w:t>)</w:t>
      </w:r>
      <w:bookmarkEnd w:id="7"/>
    </w:p>
    <w:p w:rsidR="009F607D" w:rsidRPr="00D043A9" w:rsidRDefault="009F607D" w:rsidP="009F607D">
      <w:pPr>
        <w:tabs>
          <w:tab w:val="clear" w:pos="567"/>
          <w:tab w:val="clear" w:pos="1134"/>
          <w:tab w:val="clear" w:pos="1701"/>
          <w:tab w:val="clear" w:pos="2268"/>
          <w:tab w:val="clear" w:pos="2835"/>
        </w:tabs>
        <w:snapToGrid w:val="0"/>
        <w:spacing w:after="120"/>
      </w:pPr>
      <w:bookmarkStart w:id="8" w:name="lt_pId022"/>
      <w:r>
        <w:t>3.1</w:t>
      </w:r>
      <w:r>
        <w:tab/>
      </w:r>
      <w:r w:rsidRPr="00D043A9">
        <w:t>La représentante du Secrétariat, présentant le Document C17/5, rappelle que le Secrétaire général a annoncé le 13 février 2017 que les lieu et dates de la PP-18, à savoir Dubaï</w:t>
      </w:r>
      <w:r>
        <w:t xml:space="preserve"> (Émirats arabes unis)</w:t>
      </w:r>
      <w:r w:rsidRPr="00D043A9">
        <w:t>, du lundi 29 octobre au vendredi 16 novembre, ont été approuvés par la majorité requise d’États Membres de l’Union. Le Secrétariat a dépêché à Dubaï une équipe chargée de visiter le Centre de conférences et d’autres infrastructures, y compris hôtelières, et déterminer les arrangements nécessaires en matière de sécurité, de communications, de protocole et autres questions de logistique. Par ailleurs, les négociations se poursuivent avec le Gouvernement des Émirats arabes unis pour finaliser l’accord avec le pays hôte qui sera signé par les deux parties.</w:t>
      </w:r>
    </w:p>
    <w:p w:rsidR="009F607D" w:rsidRPr="00D043A9" w:rsidRDefault="009F607D" w:rsidP="009F607D">
      <w:pPr>
        <w:tabs>
          <w:tab w:val="clear" w:pos="567"/>
          <w:tab w:val="clear" w:pos="1134"/>
          <w:tab w:val="clear" w:pos="1701"/>
          <w:tab w:val="clear" w:pos="2268"/>
          <w:tab w:val="clear" w:pos="2835"/>
        </w:tabs>
        <w:snapToGrid w:val="0"/>
        <w:spacing w:after="120"/>
      </w:pPr>
      <w:r>
        <w:t>3.2</w:t>
      </w:r>
      <w:r w:rsidRPr="00D043A9">
        <w:tab/>
        <w:t>Le Conseiller des Émirats arabes unis remercie l’UIT et ses États Membres de leur confiance. Il indique que son pays a demandé une légère modification des dates de la PP-18, afin que celle-ci débute le dimanche 28 octobre et s’achève le jeudi 15 novembre, la raison en étant qu’aux Émirats arabes unis, les deux jours de repos hebdomadaire sont le vendredi et le samedi.</w:t>
      </w:r>
    </w:p>
    <w:p w:rsidR="009F607D" w:rsidRDefault="009F607D" w:rsidP="009F607D">
      <w:pPr>
        <w:tabs>
          <w:tab w:val="clear" w:pos="567"/>
          <w:tab w:val="clear" w:pos="1134"/>
          <w:tab w:val="clear" w:pos="1701"/>
          <w:tab w:val="clear" w:pos="2268"/>
          <w:tab w:val="clear" w:pos="2835"/>
        </w:tabs>
        <w:snapToGrid w:val="0"/>
        <w:spacing w:after="120"/>
      </w:pPr>
      <w:r>
        <w:t>3.3</w:t>
      </w:r>
      <w:r>
        <w:tab/>
        <w:t>Les conseillers qui prennent la parole remercient les Émirats arabes unis de leur hospitalité. Certains conseillers s’étant enquis des problèmes juridiques que pourrait poser</w:t>
      </w:r>
      <w:bookmarkStart w:id="9" w:name="_GoBack"/>
      <w:bookmarkEnd w:id="9"/>
      <w:r>
        <w:t xml:space="preserve"> la modification des dates déjà adoptées, le Conseiller juridique explique que, conformément aux dispositions pertinentes de la Convention, le Conseil a pris une décision sur les dates de la PP-18 et cette décision a obtenu l’assentiment de la majorité requise des États Membres de l’Union. Cela étant dit, rien n’empêche le Conseil de modifier ces dates, mais il doit à cet effet prendre une nouvelle décision et solliciter à nouveau l’assentiment de la majorité des États Membres, conformément au numéro 6 de la Convention.</w:t>
      </w:r>
    </w:p>
    <w:p w:rsidR="009F607D" w:rsidRPr="00D043A9" w:rsidRDefault="009F607D" w:rsidP="009F607D">
      <w:pPr>
        <w:tabs>
          <w:tab w:val="clear" w:pos="567"/>
          <w:tab w:val="clear" w:pos="1134"/>
          <w:tab w:val="clear" w:pos="1701"/>
          <w:tab w:val="clear" w:pos="2268"/>
          <w:tab w:val="clear" w:pos="2835"/>
        </w:tabs>
        <w:snapToGrid w:val="0"/>
        <w:spacing w:after="120"/>
      </w:pPr>
      <w:r>
        <w:t>3.4</w:t>
      </w:r>
      <w:r>
        <w:tab/>
        <w:t>Un c</w:t>
      </w:r>
      <w:r w:rsidRPr="00D043A9">
        <w:t>onseiller s’étant enquis des éventuelles incidences financières du changement de dates demandé, la Présidente propose de reprendre l’examen de ce point à une séance ultérieure afin que le Secrétariat puisse éclairer le Conseil sur ce point.</w:t>
      </w:r>
    </w:p>
    <w:p w:rsidR="009F607D" w:rsidRPr="00D043A9" w:rsidRDefault="009F607D" w:rsidP="009F607D">
      <w:pPr>
        <w:tabs>
          <w:tab w:val="clear" w:pos="567"/>
          <w:tab w:val="clear" w:pos="1134"/>
          <w:tab w:val="clear" w:pos="1701"/>
          <w:tab w:val="clear" w:pos="2268"/>
          <w:tab w:val="clear" w:pos="2835"/>
        </w:tabs>
        <w:snapToGrid w:val="0"/>
        <w:spacing w:after="120"/>
      </w:pPr>
      <w:r>
        <w:t>3.5</w:t>
      </w:r>
      <w:r w:rsidRPr="00D043A9">
        <w:tab/>
        <w:t xml:space="preserve">Il en est ainsi </w:t>
      </w:r>
      <w:r w:rsidRPr="00D043A9">
        <w:rPr>
          <w:b/>
          <w:bCs/>
        </w:rPr>
        <w:t>décidé</w:t>
      </w:r>
      <w:r w:rsidRPr="00D043A9">
        <w:t>.</w:t>
      </w:r>
    </w:p>
    <w:p w:rsidR="009F607D" w:rsidRPr="00D043A9" w:rsidRDefault="009F607D" w:rsidP="009F607D">
      <w:pPr>
        <w:tabs>
          <w:tab w:val="clear" w:pos="567"/>
          <w:tab w:val="clear" w:pos="1134"/>
          <w:tab w:val="clear" w:pos="1701"/>
          <w:tab w:val="clear" w:pos="2268"/>
          <w:tab w:val="clear" w:pos="2835"/>
        </w:tabs>
        <w:snapToGrid w:val="0"/>
        <w:spacing w:after="120"/>
      </w:pPr>
      <w:r>
        <w:lastRenderedPageBreak/>
        <w:t>3.6</w:t>
      </w:r>
      <w:r w:rsidRPr="00D043A9">
        <w:tab/>
        <w:t>L’Observateur de l’Uruguay annonce que lors de la PP-18, son pays se portera candidat à la direction du BR, fonction qui n’est pas revenue à un représentant des Amériques depuis longtemps.</w:t>
      </w:r>
      <w:bookmarkEnd w:id="8"/>
    </w:p>
    <w:p w:rsidR="009F607D" w:rsidRDefault="009F607D" w:rsidP="009F607D">
      <w:pPr>
        <w:tabs>
          <w:tab w:val="clear" w:pos="567"/>
          <w:tab w:val="clear" w:pos="1134"/>
          <w:tab w:val="clear" w:pos="1701"/>
          <w:tab w:val="clear" w:pos="2268"/>
          <w:tab w:val="clear" w:pos="2835"/>
          <w:tab w:val="left" w:pos="7088"/>
        </w:tabs>
        <w:snapToGrid w:val="0"/>
        <w:spacing w:before="840"/>
        <w:rPr>
          <w:rFonts w:asciiTheme="minorHAnsi" w:hAnsiTheme="minorHAnsi"/>
          <w:szCs w:val="24"/>
        </w:rPr>
      </w:pPr>
      <w:r>
        <w:rPr>
          <w:rFonts w:asciiTheme="minorHAnsi" w:hAnsiTheme="minorHAnsi"/>
          <w:szCs w:val="24"/>
        </w:rPr>
        <w:t>Le Secrétaire général :</w:t>
      </w:r>
      <w:r>
        <w:rPr>
          <w:rFonts w:asciiTheme="minorHAnsi" w:hAnsiTheme="minorHAnsi"/>
          <w:szCs w:val="24"/>
        </w:rPr>
        <w:tab/>
      </w:r>
      <w:r>
        <w:rPr>
          <w:rFonts w:asciiTheme="minorHAnsi" w:hAnsiTheme="minorHAnsi"/>
          <w:szCs w:val="24"/>
        </w:rPr>
        <w:tab/>
        <w:t>La Présidente :</w:t>
      </w:r>
    </w:p>
    <w:p w:rsidR="009F607D" w:rsidRPr="00804181" w:rsidRDefault="009F607D" w:rsidP="009F607D">
      <w:pPr>
        <w:tabs>
          <w:tab w:val="clear" w:pos="567"/>
          <w:tab w:val="clear" w:pos="1134"/>
          <w:tab w:val="clear" w:pos="1701"/>
          <w:tab w:val="clear" w:pos="2268"/>
          <w:tab w:val="clear" w:pos="2835"/>
          <w:tab w:val="left" w:pos="7088"/>
        </w:tabs>
        <w:snapToGrid w:val="0"/>
        <w:spacing w:before="0"/>
        <w:rPr>
          <w:rFonts w:asciiTheme="minorHAnsi" w:hAnsiTheme="minorHAnsi"/>
          <w:szCs w:val="24"/>
        </w:rPr>
      </w:pPr>
      <w:r>
        <w:rPr>
          <w:rFonts w:asciiTheme="minorHAnsi" w:hAnsiTheme="minorHAnsi"/>
          <w:szCs w:val="24"/>
        </w:rPr>
        <w:t>H. ZHAO</w:t>
      </w:r>
      <w:r>
        <w:rPr>
          <w:rFonts w:asciiTheme="minorHAnsi" w:hAnsiTheme="minorHAnsi"/>
          <w:szCs w:val="24"/>
        </w:rPr>
        <w:tab/>
      </w:r>
      <w:r>
        <w:rPr>
          <w:rFonts w:asciiTheme="minorHAnsi" w:hAnsiTheme="minorHAnsi"/>
          <w:szCs w:val="24"/>
        </w:rPr>
        <w:tab/>
        <w:t>E. SPINA</w:t>
      </w:r>
    </w:p>
    <w:p w:rsidR="00571EEA" w:rsidRDefault="006C6B77" w:rsidP="009F607D">
      <w:pPr>
        <w:tabs>
          <w:tab w:val="clear" w:pos="567"/>
          <w:tab w:val="clear" w:pos="1134"/>
          <w:tab w:val="clear" w:pos="1701"/>
          <w:tab w:val="clear" w:pos="2268"/>
          <w:tab w:val="clear" w:pos="2835"/>
        </w:tabs>
        <w:snapToGrid w:val="0"/>
        <w:spacing w:before="840"/>
        <w:jc w:val="center"/>
      </w:pPr>
      <w:r>
        <w:t>__________________</w:t>
      </w:r>
    </w:p>
    <w:sectPr w:rsidR="00571EEA" w:rsidSect="005C3890">
      <w:headerReference w:type="even" r:id="rId19"/>
      <w:headerReference w:type="default" r:id="rId20"/>
      <w:footerReference w:type="even" r:id="rId21"/>
      <w:footerReference w:type="default" r:id="rId22"/>
      <w:footerReference w:type="first" r:id="rId2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07D" w:rsidRDefault="009F607D">
      <w:r>
        <w:separator/>
      </w:r>
    </w:p>
  </w:endnote>
  <w:endnote w:type="continuationSeparator" w:id="0">
    <w:p w:rsidR="009F607D" w:rsidRDefault="009F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6C6B77">
    <w:pPr>
      <w:pStyle w:val="Footer"/>
    </w:pPr>
    <w:r>
      <w:fldChar w:fldCharType="begin"/>
    </w:r>
    <w:r>
      <w:instrText xml:space="preserve"> FILENAME \p \* MERGEFORMAT </w:instrText>
    </w:r>
    <w:r>
      <w:fldChar w:fldCharType="separate"/>
    </w:r>
    <w:r w:rsidR="00931A92">
      <w:t>P:\FRA\SG\CONSEIL\C17\100\121V2F.docx</w:t>
    </w:r>
    <w:r>
      <w:fldChar w:fldCharType="end"/>
    </w:r>
    <w:r w:rsidR="00732045">
      <w:tab/>
    </w:r>
    <w:r w:rsidR="002F1B76">
      <w:fldChar w:fldCharType="begin"/>
    </w:r>
    <w:r w:rsidR="00732045">
      <w:instrText xml:space="preserve"> savedate \@ dd.MM.yy </w:instrText>
    </w:r>
    <w:r w:rsidR="002F1B76">
      <w:fldChar w:fldCharType="separate"/>
    </w:r>
    <w:r>
      <w:t>29.06.17</w:t>
    </w:r>
    <w:r w:rsidR="002F1B76">
      <w:fldChar w:fldCharType="end"/>
    </w:r>
    <w:r w:rsidR="00732045">
      <w:tab/>
    </w:r>
    <w:r w:rsidR="002F1B76">
      <w:fldChar w:fldCharType="begin"/>
    </w:r>
    <w:r w:rsidR="00732045">
      <w:instrText xml:space="preserve"> printdate \@ dd.MM.yy </w:instrText>
    </w:r>
    <w:r w:rsidR="002F1B76">
      <w:fldChar w:fldCharType="separate"/>
    </w:r>
    <w:r w:rsidR="00931A92">
      <w:t>28.06.17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6C6B77" w:rsidRDefault="006C6B77">
    <w:pPr>
      <w:pStyle w:val="Footer"/>
      <w:rPr>
        <w:color w:val="D9D9D9" w:themeColor="background1" w:themeShade="D9"/>
      </w:rPr>
    </w:pPr>
    <w:r w:rsidRPr="006C6B77">
      <w:rPr>
        <w:color w:val="D9D9D9" w:themeColor="background1" w:themeShade="D9"/>
      </w:rPr>
      <w:fldChar w:fldCharType="begin"/>
    </w:r>
    <w:r w:rsidRPr="006C6B77">
      <w:rPr>
        <w:color w:val="D9D9D9" w:themeColor="background1" w:themeShade="D9"/>
      </w:rPr>
      <w:instrText xml:space="preserve"> FILENAME \p \* MERGEFORMAT </w:instrText>
    </w:r>
    <w:r w:rsidRPr="006C6B77">
      <w:rPr>
        <w:color w:val="D9D9D9" w:themeColor="background1" w:themeShade="D9"/>
      </w:rPr>
      <w:fldChar w:fldCharType="separate"/>
    </w:r>
    <w:r w:rsidR="00931A92" w:rsidRPr="006C6B77">
      <w:rPr>
        <w:color w:val="D9D9D9" w:themeColor="background1" w:themeShade="D9"/>
      </w:rPr>
      <w:t>P:\FRA\SG\CONSEIL\C17\100\121V2F.docx</w:t>
    </w:r>
    <w:r w:rsidRPr="006C6B77">
      <w:rPr>
        <w:color w:val="D9D9D9" w:themeColor="background1" w:themeShade="D9"/>
      </w:rPr>
      <w:fldChar w:fldCharType="end"/>
    </w:r>
    <w:r w:rsidR="00732045" w:rsidRPr="006C6B77">
      <w:rPr>
        <w:color w:val="D9D9D9" w:themeColor="background1" w:themeShade="D9"/>
      </w:rPr>
      <w:tab/>
    </w:r>
    <w:r w:rsidR="002F1B76" w:rsidRPr="006C6B77">
      <w:rPr>
        <w:color w:val="D9D9D9" w:themeColor="background1" w:themeShade="D9"/>
      </w:rPr>
      <w:fldChar w:fldCharType="begin"/>
    </w:r>
    <w:r w:rsidR="00732045" w:rsidRPr="006C6B77">
      <w:rPr>
        <w:color w:val="D9D9D9" w:themeColor="background1" w:themeShade="D9"/>
      </w:rPr>
      <w:instrText xml:space="preserve"> savedate \@ dd.MM.yy </w:instrText>
    </w:r>
    <w:r w:rsidR="002F1B76" w:rsidRPr="006C6B77">
      <w:rPr>
        <w:color w:val="D9D9D9" w:themeColor="background1" w:themeShade="D9"/>
      </w:rPr>
      <w:fldChar w:fldCharType="separate"/>
    </w:r>
    <w:r w:rsidRPr="006C6B77">
      <w:rPr>
        <w:color w:val="D9D9D9" w:themeColor="background1" w:themeShade="D9"/>
      </w:rPr>
      <w:t>29.06.17</w:t>
    </w:r>
    <w:r w:rsidR="002F1B76" w:rsidRPr="006C6B77">
      <w:rPr>
        <w:color w:val="D9D9D9" w:themeColor="background1" w:themeShade="D9"/>
      </w:rPr>
      <w:fldChar w:fldCharType="end"/>
    </w:r>
    <w:r w:rsidR="00732045" w:rsidRPr="006C6B77">
      <w:rPr>
        <w:color w:val="D9D9D9" w:themeColor="background1" w:themeShade="D9"/>
      </w:rPr>
      <w:tab/>
    </w:r>
    <w:r w:rsidR="002F1B76" w:rsidRPr="006C6B77">
      <w:rPr>
        <w:color w:val="D9D9D9" w:themeColor="background1" w:themeShade="D9"/>
      </w:rPr>
      <w:fldChar w:fldCharType="begin"/>
    </w:r>
    <w:r w:rsidR="00732045" w:rsidRPr="006C6B77">
      <w:rPr>
        <w:color w:val="D9D9D9" w:themeColor="background1" w:themeShade="D9"/>
      </w:rPr>
      <w:instrText xml:space="preserve"> printdate \@ dd.MM.yy </w:instrText>
    </w:r>
    <w:r w:rsidR="002F1B76" w:rsidRPr="006C6B77">
      <w:rPr>
        <w:color w:val="D9D9D9" w:themeColor="background1" w:themeShade="D9"/>
      </w:rPr>
      <w:fldChar w:fldCharType="separate"/>
    </w:r>
    <w:r w:rsidR="00931A92" w:rsidRPr="006C6B77">
      <w:rPr>
        <w:color w:val="D9D9D9" w:themeColor="background1" w:themeShade="D9"/>
      </w:rPr>
      <w:t>28.06.17</w:t>
    </w:r>
    <w:r w:rsidR="002F1B76" w:rsidRPr="006C6B77">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6C6B77" w:rsidRDefault="006C6B77">
    <w:pPr>
      <w:pStyle w:val="Footer"/>
      <w:rPr>
        <w:color w:val="D9D9D9" w:themeColor="background1" w:themeShade="D9"/>
      </w:rPr>
    </w:pPr>
    <w:r w:rsidRPr="006C6B77">
      <w:rPr>
        <w:color w:val="D9D9D9" w:themeColor="background1" w:themeShade="D9"/>
      </w:rPr>
      <w:fldChar w:fldCharType="begin"/>
    </w:r>
    <w:r w:rsidRPr="006C6B77">
      <w:rPr>
        <w:color w:val="D9D9D9" w:themeColor="background1" w:themeShade="D9"/>
      </w:rPr>
      <w:instrText xml:space="preserve"> FILENAME \p \* MERGEFORMAT </w:instrText>
    </w:r>
    <w:r w:rsidRPr="006C6B77">
      <w:rPr>
        <w:color w:val="D9D9D9" w:themeColor="background1" w:themeShade="D9"/>
      </w:rPr>
      <w:fldChar w:fldCharType="separate"/>
    </w:r>
    <w:r w:rsidR="00931A92" w:rsidRPr="006C6B77">
      <w:rPr>
        <w:color w:val="D9D9D9" w:themeColor="background1" w:themeShade="D9"/>
      </w:rPr>
      <w:t>P:\FRA\SG\CONSEIL\C17\100\121V2F.docx</w:t>
    </w:r>
    <w:r w:rsidRPr="006C6B77">
      <w:rPr>
        <w:color w:val="D9D9D9" w:themeColor="background1" w:themeShade="D9"/>
      </w:rPr>
      <w:fldChar w:fldCharType="end"/>
    </w:r>
    <w:r w:rsidR="00732045" w:rsidRPr="006C6B77">
      <w:rPr>
        <w:color w:val="D9D9D9" w:themeColor="background1" w:themeShade="D9"/>
      </w:rPr>
      <w:tab/>
    </w:r>
    <w:r w:rsidR="002F1B76" w:rsidRPr="006C6B77">
      <w:rPr>
        <w:color w:val="D9D9D9" w:themeColor="background1" w:themeShade="D9"/>
      </w:rPr>
      <w:fldChar w:fldCharType="begin"/>
    </w:r>
    <w:r w:rsidR="00732045" w:rsidRPr="006C6B77">
      <w:rPr>
        <w:color w:val="D9D9D9" w:themeColor="background1" w:themeShade="D9"/>
      </w:rPr>
      <w:instrText xml:space="preserve"> savedate \@ dd.MM.yy </w:instrText>
    </w:r>
    <w:r w:rsidR="002F1B76" w:rsidRPr="006C6B77">
      <w:rPr>
        <w:color w:val="D9D9D9" w:themeColor="background1" w:themeShade="D9"/>
      </w:rPr>
      <w:fldChar w:fldCharType="separate"/>
    </w:r>
    <w:r w:rsidRPr="006C6B77">
      <w:rPr>
        <w:color w:val="D9D9D9" w:themeColor="background1" w:themeShade="D9"/>
      </w:rPr>
      <w:t>29.06.17</w:t>
    </w:r>
    <w:r w:rsidR="002F1B76" w:rsidRPr="006C6B77">
      <w:rPr>
        <w:color w:val="D9D9D9" w:themeColor="background1" w:themeShade="D9"/>
      </w:rPr>
      <w:fldChar w:fldCharType="end"/>
    </w:r>
    <w:r w:rsidR="00732045" w:rsidRPr="006C6B77">
      <w:rPr>
        <w:color w:val="D9D9D9" w:themeColor="background1" w:themeShade="D9"/>
      </w:rPr>
      <w:tab/>
    </w:r>
    <w:r w:rsidR="002F1B76" w:rsidRPr="006C6B77">
      <w:rPr>
        <w:color w:val="D9D9D9" w:themeColor="background1" w:themeShade="D9"/>
      </w:rPr>
      <w:fldChar w:fldCharType="begin"/>
    </w:r>
    <w:r w:rsidR="00732045" w:rsidRPr="006C6B77">
      <w:rPr>
        <w:color w:val="D9D9D9" w:themeColor="background1" w:themeShade="D9"/>
      </w:rPr>
      <w:instrText xml:space="preserve"> printdate \@ dd.MM.yy </w:instrText>
    </w:r>
    <w:r w:rsidR="002F1B76" w:rsidRPr="006C6B77">
      <w:rPr>
        <w:color w:val="D9D9D9" w:themeColor="background1" w:themeShade="D9"/>
      </w:rPr>
      <w:fldChar w:fldCharType="separate"/>
    </w:r>
    <w:r w:rsidR="00931A92" w:rsidRPr="006C6B77">
      <w:rPr>
        <w:color w:val="D9D9D9" w:themeColor="background1" w:themeShade="D9"/>
      </w:rPr>
      <w:t>28.06.17</w:t>
    </w:r>
    <w:r w:rsidR="002F1B76" w:rsidRPr="006C6B77">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07D" w:rsidRDefault="009F607D">
      <w:r>
        <w:t>____________________</w:t>
      </w:r>
    </w:p>
  </w:footnote>
  <w:footnote w:type="continuationSeparator" w:id="0">
    <w:p w:rsidR="009F607D" w:rsidRDefault="009F6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6C6B77">
      <w:rPr>
        <w:noProof/>
      </w:rPr>
      <w:t>5</w:t>
    </w:r>
    <w:r>
      <w:rPr>
        <w:noProof/>
      </w:rPr>
      <w:fldChar w:fldCharType="end"/>
    </w:r>
  </w:p>
  <w:p w:rsidR="00732045" w:rsidRDefault="00732045" w:rsidP="0093234A">
    <w:pPr>
      <w:pStyle w:val="Header"/>
    </w:pPr>
    <w:r>
      <w:t>C1</w:t>
    </w:r>
    <w:r w:rsidR="0093234A">
      <w:t>7</w:t>
    </w:r>
    <w:r w:rsidR="009F607D">
      <w:t>/121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7D"/>
    <w:rsid w:val="000D0D0A"/>
    <w:rsid w:val="00103163"/>
    <w:rsid w:val="00115D93"/>
    <w:rsid w:val="001247A8"/>
    <w:rsid w:val="001378C0"/>
    <w:rsid w:val="0018694A"/>
    <w:rsid w:val="001A3287"/>
    <w:rsid w:val="001B0A5B"/>
    <w:rsid w:val="001D4C31"/>
    <w:rsid w:val="001E4D21"/>
    <w:rsid w:val="00207CD1"/>
    <w:rsid w:val="002124EC"/>
    <w:rsid w:val="002477A2"/>
    <w:rsid w:val="00263A51"/>
    <w:rsid w:val="00267E02"/>
    <w:rsid w:val="002A5D44"/>
    <w:rsid w:val="002E0BC4"/>
    <w:rsid w:val="002F1B76"/>
    <w:rsid w:val="00355FF5"/>
    <w:rsid w:val="00361350"/>
    <w:rsid w:val="004038CB"/>
    <w:rsid w:val="0040546F"/>
    <w:rsid w:val="0042404A"/>
    <w:rsid w:val="0044618F"/>
    <w:rsid w:val="0046769A"/>
    <w:rsid w:val="00475FB3"/>
    <w:rsid w:val="004C37A9"/>
    <w:rsid w:val="004F259E"/>
    <w:rsid w:val="00511F1D"/>
    <w:rsid w:val="00540615"/>
    <w:rsid w:val="00540A6D"/>
    <w:rsid w:val="00571EEA"/>
    <w:rsid w:val="00575417"/>
    <w:rsid w:val="005768E1"/>
    <w:rsid w:val="005C3890"/>
    <w:rsid w:val="005F7BFE"/>
    <w:rsid w:val="00600017"/>
    <w:rsid w:val="006235CA"/>
    <w:rsid w:val="006643AB"/>
    <w:rsid w:val="006C6B77"/>
    <w:rsid w:val="007210CD"/>
    <w:rsid w:val="00732045"/>
    <w:rsid w:val="007369DB"/>
    <w:rsid w:val="00752742"/>
    <w:rsid w:val="007956C2"/>
    <w:rsid w:val="007A187E"/>
    <w:rsid w:val="007C72C2"/>
    <w:rsid w:val="007D4436"/>
    <w:rsid w:val="007F257A"/>
    <w:rsid w:val="007F3665"/>
    <w:rsid w:val="007F3846"/>
    <w:rsid w:val="00800037"/>
    <w:rsid w:val="00861D73"/>
    <w:rsid w:val="008A4E87"/>
    <w:rsid w:val="008D76E6"/>
    <w:rsid w:val="0092392D"/>
    <w:rsid w:val="00931A92"/>
    <w:rsid w:val="0093234A"/>
    <w:rsid w:val="009C307F"/>
    <w:rsid w:val="009F607D"/>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B41AF"/>
    <w:rsid w:val="00CF183B"/>
    <w:rsid w:val="00D34A6D"/>
    <w:rsid w:val="00D375CD"/>
    <w:rsid w:val="00D553A2"/>
    <w:rsid w:val="00D56A1D"/>
    <w:rsid w:val="00D774D3"/>
    <w:rsid w:val="00D904E8"/>
    <w:rsid w:val="00DA08C3"/>
    <w:rsid w:val="00DB5A3E"/>
    <w:rsid w:val="00DC22AA"/>
    <w:rsid w:val="00DF74DD"/>
    <w:rsid w:val="00E25AD0"/>
    <w:rsid w:val="00EB6350"/>
    <w:rsid w:val="00F1384E"/>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6733EA0-FF69-4C48-ABB3-4CD544FB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9F607D"/>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81/en" TargetMode="External"/><Relationship Id="rId13" Type="http://schemas.openxmlformats.org/officeDocument/2006/relationships/hyperlink" Target="https://www.itu.int/md/S17-CL-C-0026/en" TargetMode="External"/><Relationship Id="rId18" Type="http://schemas.openxmlformats.org/officeDocument/2006/relationships/hyperlink" Target="https://www.itu.int/md/S17-CL-C-0005/en"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itu.int/md/S17-CL-C-0026/en" TargetMode="External"/><Relationship Id="rId12" Type="http://schemas.openxmlformats.org/officeDocument/2006/relationships/hyperlink" Target="https://www.itu.int/md/S17-CL-C-0005/en" TargetMode="External"/><Relationship Id="rId17" Type="http://schemas.openxmlformats.org/officeDocument/2006/relationships/hyperlink" Target="https://www.itu.int/md/S17-CL-C-0071/e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md/S17-CL-C-0006/en"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C-0071/e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md/S17-CL-C-0095/en" TargetMode="External"/><Relationship Id="rId23" Type="http://schemas.openxmlformats.org/officeDocument/2006/relationships/footer" Target="footer3.xml"/><Relationship Id="rId10" Type="http://schemas.openxmlformats.org/officeDocument/2006/relationships/hyperlink" Target="https://www.itu.int/md/S17-CL-C-0006/en"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7-CL-C-0095/en" TargetMode="External"/><Relationship Id="rId14" Type="http://schemas.openxmlformats.org/officeDocument/2006/relationships/hyperlink" Target="https://www.itu.int/md/S17-CL-C-0081/e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10292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Compte rendu de la quatrième séance plénière</vt:lpstr>
    </vt:vector>
  </TitlesOfParts>
  <Manager>Secrétariat général - Pool</Manager>
  <Company>Union internationale des télécommunications (UIT)</Company>
  <LinksUpToDate>false</LinksUpToDate>
  <CharactersWithSpaces>12092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quatrième séance plénière</dc:title>
  <dc:subject>Conseil 2017</dc:subject>
  <dc:creator>Brouard, Ricarda</dc:creator>
  <cp:keywords>C2017, C17</cp:keywords>
  <dc:description>Document C17/121-F  Pour: _x000d_Date du document: 23 mai 2017_x000d_Enregistré par ITU51010239 à 09:53:41 le 23/05/2017</dc:description>
  <cp:lastModifiedBy>Brouard, Ricarda</cp:lastModifiedBy>
  <cp:revision>2</cp:revision>
  <cp:lastPrinted>2017-06-28T06:32:00Z</cp:lastPrinted>
  <dcterms:created xsi:type="dcterms:W3CDTF">2017-07-03T14:51:00Z</dcterms:created>
  <dcterms:modified xsi:type="dcterms:W3CDTF">2017-07-03T14:51:00Z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C17/121-F</vt:lpwstr>
  </property>
  <property fmtid="{D5CDD505-2E9C-101B-9397-08002B2CF9AE}" pid="3" name="Docdate">
    <vt:lpwstr>23 mai 2017</vt:lpwstr>
  </property>
  <property fmtid="{D5CDD505-2E9C-101B-9397-08002B2CF9AE}" pid="4" name="Docorlang">
    <vt:lpwstr>Original: français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