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6667B">
        <w:trPr>
          <w:cantSplit/>
        </w:trPr>
        <w:tc>
          <w:tcPr>
            <w:tcW w:w="6912" w:type="dxa"/>
          </w:tcPr>
          <w:p w:rsidR="00093EEB" w:rsidRPr="00C6667B" w:rsidRDefault="00093EEB" w:rsidP="006B305C">
            <w:pPr>
              <w:spacing w:before="360"/>
              <w:rPr>
                <w:szCs w:val="24"/>
              </w:rPr>
            </w:pPr>
            <w:bookmarkStart w:id="0" w:name="dc06"/>
            <w:bookmarkStart w:id="1" w:name="dbluepink" w:colFirst="0" w:colLast="0"/>
            <w:bookmarkEnd w:id="0"/>
            <w:r w:rsidRPr="00C6667B">
              <w:rPr>
                <w:b/>
                <w:bCs/>
                <w:sz w:val="30"/>
                <w:szCs w:val="30"/>
              </w:rPr>
              <w:t>Consejo 2017</w:t>
            </w:r>
            <w:r w:rsidRPr="00C6667B">
              <w:rPr>
                <w:b/>
                <w:bCs/>
                <w:sz w:val="26"/>
                <w:szCs w:val="26"/>
              </w:rPr>
              <w:br/>
            </w:r>
            <w:r w:rsidRPr="00C6667B">
              <w:rPr>
                <w:b/>
                <w:bCs/>
                <w:szCs w:val="24"/>
              </w:rPr>
              <w:t>Ginebra, 15-25 de mayo de 2017</w:t>
            </w:r>
          </w:p>
        </w:tc>
        <w:tc>
          <w:tcPr>
            <w:tcW w:w="3261" w:type="dxa"/>
          </w:tcPr>
          <w:p w:rsidR="00093EEB" w:rsidRPr="00C6667B" w:rsidRDefault="00093EEB" w:rsidP="006B305C">
            <w:pPr>
              <w:spacing w:before="0"/>
              <w:jc w:val="right"/>
              <w:rPr>
                <w:szCs w:val="24"/>
              </w:rPr>
            </w:pPr>
            <w:bookmarkStart w:id="2" w:name="ditulogo"/>
            <w:bookmarkEnd w:id="2"/>
            <w:r w:rsidRPr="00C6667B">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6667B">
        <w:trPr>
          <w:cantSplit/>
          <w:trHeight w:val="20"/>
        </w:trPr>
        <w:tc>
          <w:tcPr>
            <w:tcW w:w="10173" w:type="dxa"/>
            <w:gridSpan w:val="2"/>
            <w:tcBorders>
              <w:bottom w:val="single" w:sz="12" w:space="0" w:color="auto"/>
            </w:tcBorders>
          </w:tcPr>
          <w:p w:rsidR="00093EEB" w:rsidRPr="00C6667B" w:rsidRDefault="00093EEB" w:rsidP="006B305C">
            <w:pPr>
              <w:spacing w:before="0"/>
              <w:rPr>
                <w:b/>
                <w:bCs/>
                <w:szCs w:val="24"/>
              </w:rPr>
            </w:pPr>
          </w:p>
        </w:tc>
      </w:tr>
      <w:tr w:rsidR="00093EEB" w:rsidRPr="00C6667B">
        <w:trPr>
          <w:cantSplit/>
          <w:trHeight w:val="20"/>
        </w:trPr>
        <w:tc>
          <w:tcPr>
            <w:tcW w:w="6912" w:type="dxa"/>
            <w:tcBorders>
              <w:top w:val="single" w:sz="12" w:space="0" w:color="auto"/>
            </w:tcBorders>
          </w:tcPr>
          <w:p w:rsidR="00093EEB" w:rsidRPr="00C6667B" w:rsidRDefault="00093EEB" w:rsidP="006B305C">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C6667B" w:rsidRDefault="00093EEB" w:rsidP="006B305C">
            <w:pPr>
              <w:spacing w:before="0"/>
              <w:rPr>
                <w:b/>
                <w:bCs/>
                <w:szCs w:val="24"/>
              </w:rPr>
            </w:pPr>
          </w:p>
        </w:tc>
      </w:tr>
      <w:tr w:rsidR="00093EEB" w:rsidRPr="00C6667B">
        <w:trPr>
          <w:cantSplit/>
          <w:trHeight w:val="20"/>
        </w:trPr>
        <w:tc>
          <w:tcPr>
            <w:tcW w:w="6912" w:type="dxa"/>
            <w:shd w:val="clear" w:color="auto" w:fill="auto"/>
          </w:tcPr>
          <w:p w:rsidR="00093EEB" w:rsidRPr="00C6667B" w:rsidRDefault="00626521" w:rsidP="006B305C">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C6667B">
              <w:rPr>
                <w:b/>
              </w:rPr>
              <w:t>Punto del orden del día: PL 1.8</w:t>
            </w:r>
          </w:p>
        </w:tc>
        <w:tc>
          <w:tcPr>
            <w:tcW w:w="3261" w:type="dxa"/>
          </w:tcPr>
          <w:p w:rsidR="00093EEB" w:rsidRPr="00C6667B" w:rsidRDefault="00093EEB" w:rsidP="006B305C">
            <w:pPr>
              <w:spacing w:before="0"/>
              <w:rPr>
                <w:b/>
                <w:bCs/>
                <w:szCs w:val="24"/>
              </w:rPr>
            </w:pPr>
            <w:r w:rsidRPr="00C6667B">
              <w:rPr>
                <w:b/>
                <w:bCs/>
                <w:szCs w:val="24"/>
              </w:rPr>
              <w:t>Documento C17/</w:t>
            </w:r>
            <w:r w:rsidR="009060F0" w:rsidRPr="00C6667B">
              <w:rPr>
                <w:b/>
                <w:bCs/>
                <w:szCs w:val="24"/>
              </w:rPr>
              <w:t>99</w:t>
            </w:r>
            <w:r w:rsidRPr="00C6667B">
              <w:rPr>
                <w:b/>
                <w:bCs/>
                <w:szCs w:val="24"/>
              </w:rPr>
              <w:t>-S</w:t>
            </w:r>
          </w:p>
        </w:tc>
      </w:tr>
      <w:tr w:rsidR="00093EEB" w:rsidRPr="00C6667B">
        <w:trPr>
          <w:cantSplit/>
          <w:trHeight w:val="20"/>
        </w:trPr>
        <w:tc>
          <w:tcPr>
            <w:tcW w:w="6912" w:type="dxa"/>
            <w:shd w:val="clear" w:color="auto" w:fill="auto"/>
          </w:tcPr>
          <w:p w:rsidR="00093EEB" w:rsidRPr="00C6667B" w:rsidRDefault="00093EEB" w:rsidP="006B305C">
            <w:pPr>
              <w:shd w:val="solid" w:color="FFFFFF" w:fill="FFFFFF"/>
              <w:spacing w:before="0"/>
              <w:rPr>
                <w:smallCaps/>
                <w:szCs w:val="24"/>
              </w:rPr>
            </w:pPr>
            <w:bookmarkStart w:id="5" w:name="ddate" w:colFirst="1" w:colLast="1"/>
            <w:bookmarkEnd w:id="3"/>
            <w:bookmarkEnd w:id="4"/>
          </w:p>
        </w:tc>
        <w:tc>
          <w:tcPr>
            <w:tcW w:w="3261" w:type="dxa"/>
          </w:tcPr>
          <w:p w:rsidR="00093EEB" w:rsidRPr="00C6667B" w:rsidRDefault="000B576A" w:rsidP="006B305C">
            <w:pPr>
              <w:spacing w:before="0"/>
              <w:rPr>
                <w:b/>
                <w:bCs/>
                <w:szCs w:val="24"/>
              </w:rPr>
            </w:pPr>
            <w:r w:rsidRPr="00C6667B">
              <w:rPr>
                <w:b/>
                <w:bCs/>
                <w:szCs w:val="24"/>
              </w:rPr>
              <w:t>30 de abril</w:t>
            </w:r>
            <w:r w:rsidR="00093EEB" w:rsidRPr="00C6667B">
              <w:rPr>
                <w:b/>
                <w:bCs/>
                <w:szCs w:val="24"/>
              </w:rPr>
              <w:t xml:space="preserve"> de 2017</w:t>
            </w:r>
          </w:p>
        </w:tc>
      </w:tr>
      <w:tr w:rsidR="00093EEB" w:rsidRPr="00C6667B">
        <w:trPr>
          <w:cantSplit/>
          <w:trHeight w:val="20"/>
        </w:trPr>
        <w:tc>
          <w:tcPr>
            <w:tcW w:w="6912" w:type="dxa"/>
            <w:shd w:val="clear" w:color="auto" w:fill="auto"/>
          </w:tcPr>
          <w:p w:rsidR="00093EEB" w:rsidRPr="00C6667B" w:rsidRDefault="00093EEB" w:rsidP="006B305C">
            <w:pPr>
              <w:shd w:val="solid" w:color="FFFFFF" w:fill="FFFFFF"/>
              <w:spacing w:before="0"/>
              <w:rPr>
                <w:smallCaps/>
                <w:szCs w:val="24"/>
              </w:rPr>
            </w:pPr>
            <w:bookmarkStart w:id="6" w:name="dorlang" w:colFirst="1" w:colLast="1"/>
            <w:bookmarkEnd w:id="5"/>
          </w:p>
        </w:tc>
        <w:tc>
          <w:tcPr>
            <w:tcW w:w="3261" w:type="dxa"/>
          </w:tcPr>
          <w:p w:rsidR="00093EEB" w:rsidRPr="00C6667B" w:rsidRDefault="00093EEB" w:rsidP="006B305C">
            <w:pPr>
              <w:spacing w:before="0"/>
              <w:rPr>
                <w:b/>
                <w:bCs/>
                <w:szCs w:val="24"/>
              </w:rPr>
            </w:pPr>
            <w:r w:rsidRPr="00C6667B">
              <w:rPr>
                <w:b/>
                <w:bCs/>
                <w:szCs w:val="24"/>
              </w:rPr>
              <w:t>Original: inglés</w:t>
            </w:r>
          </w:p>
        </w:tc>
      </w:tr>
      <w:tr w:rsidR="00093EEB" w:rsidRPr="00C6667B">
        <w:trPr>
          <w:cantSplit/>
        </w:trPr>
        <w:tc>
          <w:tcPr>
            <w:tcW w:w="10173" w:type="dxa"/>
            <w:gridSpan w:val="2"/>
          </w:tcPr>
          <w:p w:rsidR="00093EEB" w:rsidRPr="00C6667B" w:rsidRDefault="00626521" w:rsidP="006B305C">
            <w:pPr>
              <w:pStyle w:val="Source"/>
            </w:pPr>
            <w:bookmarkStart w:id="7" w:name="dsource" w:colFirst="0" w:colLast="0"/>
            <w:bookmarkEnd w:id="1"/>
            <w:bookmarkEnd w:id="6"/>
            <w:r w:rsidRPr="00C6667B">
              <w:t>Nota del Secretario General</w:t>
            </w:r>
          </w:p>
        </w:tc>
      </w:tr>
      <w:tr w:rsidR="00093EEB" w:rsidRPr="00C6667B">
        <w:trPr>
          <w:cantSplit/>
        </w:trPr>
        <w:tc>
          <w:tcPr>
            <w:tcW w:w="10173" w:type="dxa"/>
            <w:gridSpan w:val="2"/>
          </w:tcPr>
          <w:p w:rsidR="00093EEB" w:rsidRPr="00C6667B" w:rsidRDefault="00AF0963" w:rsidP="006B305C">
            <w:pPr>
              <w:pStyle w:val="Title1"/>
            </w:pPr>
            <w:bookmarkStart w:id="8" w:name="lt_pId012"/>
            <w:bookmarkStart w:id="9" w:name="dtitle1" w:colFirst="0" w:colLast="0"/>
            <w:bookmarkEnd w:id="7"/>
            <w:r w:rsidRPr="00C6667B">
              <w:rPr>
                <w:rFonts w:asciiTheme="minorHAnsi" w:hAnsiTheme="minorHAnsi"/>
              </w:rPr>
              <w:t>Informe resumido de los trabajos del grupo asesor de los estados miembros sobre el proyecto de sede de la unión</w:t>
            </w:r>
            <w:bookmarkEnd w:id="8"/>
          </w:p>
        </w:tc>
      </w:tr>
    </w:tbl>
    <w:p w:rsidR="00626521" w:rsidRPr="00C6667B" w:rsidRDefault="00AF0963" w:rsidP="006F68AD">
      <w:pPr>
        <w:pStyle w:val="Normalaftertitle"/>
        <w:spacing w:before="360"/>
      </w:pPr>
      <w:bookmarkStart w:id="10" w:name="lt_pId014"/>
      <w:bookmarkEnd w:id="9"/>
      <w:r w:rsidRPr="00C6667B">
        <w:t xml:space="preserve">Tengo el honor de transmitir a los Estados Miembros del Consejo el Informe resumido de los trabajos del </w:t>
      </w:r>
      <w:r w:rsidRPr="00C6667B">
        <w:rPr>
          <w:b/>
          <w:bCs/>
        </w:rPr>
        <w:t>Grupo Asesor de los Estados Miembros (GAEM</w:t>
      </w:r>
      <w:r w:rsidR="00626521" w:rsidRPr="00C6667B">
        <w:rPr>
          <w:b/>
          <w:bCs/>
        </w:rPr>
        <w:t>)</w:t>
      </w:r>
      <w:r w:rsidR="00626521" w:rsidRPr="00C6667B">
        <w:t>.</w:t>
      </w:r>
      <w:bookmarkEnd w:id="10"/>
    </w:p>
    <w:p w:rsidR="00626521" w:rsidRPr="00C6667B" w:rsidRDefault="00626521" w:rsidP="006B305C">
      <w:pPr>
        <w:spacing w:before="360"/>
        <w:jc w:val="both"/>
        <w:rPr>
          <w:rFonts w:asciiTheme="minorHAnsi" w:hAnsiTheme="minorHAnsi"/>
        </w:rPr>
      </w:pPr>
    </w:p>
    <w:p w:rsidR="00626521" w:rsidRPr="00C6667B" w:rsidRDefault="00626521" w:rsidP="00255D2F">
      <w:pPr>
        <w:tabs>
          <w:tab w:val="clear" w:pos="567"/>
          <w:tab w:val="clear" w:pos="1134"/>
          <w:tab w:val="clear" w:pos="1701"/>
          <w:tab w:val="clear" w:pos="2268"/>
          <w:tab w:val="clear" w:pos="2835"/>
          <w:tab w:val="left" w:pos="4962"/>
          <w:tab w:val="center" w:pos="7513"/>
        </w:tabs>
        <w:spacing w:before="360"/>
        <w:rPr>
          <w:rFonts w:asciiTheme="minorHAnsi" w:hAnsiTheme="minorHAnsi"/>
        </w:rPr>
      </w:pPr>
      <w:r w:rsidRPr="00C6667B">
        <w:rPr>
          <w:rFonts w:asciiTheme="minorHAnsi" w:hAnsiTheme="minorHAnsi"/>
        </w:rPr>
        <w:tab/>
      </w:r>
      <w:r w:rsidRPr="00C6667B">
        <w:rPr>
          <w:rFonts w:asciiTheme="minorHAnsi" w:hAnsiTheme="minorHAnsi"/>
        </w:rPr>
        <w:tab/>
      </w:r>
      <w:bookmarkStart w:id="11" w:name="lt_pId015"/>
      <w:r w:rsidRPr="00C6667B">
        <w:rPr>
          <w:rFonts w:asciiTheme="minorHAnsi" w:hAnsiTheme="minorHAnsi"/>
        </w:rPr>
        <w:t>Houlin ZHAO</w:t>
      </w:r>
      <w:bookmarkEnd w:id="11"/>
      <w:r w:rsidRPr="00C6667B">
        <w:rPr>
          <w:rFonts w:asciiTheme="minorHAnsi" w:hAnsiTheme="minorHAnsi"/>
        </w:rPr>
        <w:br/>
      </w:r>
      <w:r w:rsidRPr="00C6667B">
        <w:rPr>
          <w:rFonts w:asciiTheme="minorHAnsi" w:hAnsiTheme="minorHAnsi"/>
        </w:rPr>
        <w:tab/>
      </w:r>
      <w:r w:rsidRPr="00C6667B">
        <w:rPr>
          <w:rFonts w:asciiTheme="minorHAnsi" w:hAnsiTheme="minorHAnsi"/>
        </w:rPr>
        <w:tab/>
      </w:r>
      <w:bookmarkStart w:id="12" w:name="lt_pId016"/>
      <w:r w:rsidR="008E2AF3" w:rsidRPr="00C6667B">
        <w:rPr>
          <w:rFonts w:asciiTheme="minorHAnsi" w:hAnsiTheme="minorHAnsi"/>
        </w:rPr>
        <w:t xml:space="preserve">Secretario </w:t>
      </w:r>
      <w:r w:rsidRPr="00C6667B">
        <w:rPr>
          <w:rFonts w:asciiTheme="minorHAnsi" w:hAnsiTheme="minorHAnsi"/>
        </w:rPr>
        <w:t>General</w:t>
      </w:r>
      <w:bookmarkEnd w:id="12"/>
    </w:p>
    <w:p w:rsidR="00626521" w:rsidRPr="00C6667B" w:rsidRDefault="00626521" w:rsidP="006B305C">
      <w:pPr>
        <w:rPr>
          <w:rFonts w:asciiTheme="minorHAnsi" w:hAnsiTheme="minorHAnsi"/>
        </w:rPr>
      </w:pPr>
    </w:p>
    <w:p w:rsidR="00626521" w:rsidRPr="00C6667B" w:rsidRDefault="00626521" w:rsidP="006B305C">
      <w:pPr>
        <w:rPr>
          <w:rFonts w:asciiTheme="minorHAnsi" w:hAnsiTheme="minorHAnsi"/>
        </w:rPr>
      </w:pPr>
      <w:r w:rsidRPr="00C6667B">
        <w:rPr>
          <w:rFonts w:asciiTheme="minorHAnsi" w:hAnsiTheme="minorHAnsi"/>
        </w:rPr>
        <w:br w:type="page"/>
      </w:r>
    </w:p>
    <w:p w:rsidR="00093EEB" w:rsidRPr="00C6667B" w:rsidRDefault="00AF0963" w:rsidP="006B305C">
      <w:pPr>
        <w:pStyle w:val="Title1"/>
      </w:pPr>
      <w:bookmarkStart w:id="13" w:name="lt_pId017"/>
      <w:r w:rsidRPr="00C6667B">
        <w:lastRenderedPageBreak/>
        <w:t>informe resumido de los trabajos del grupo asesor de los estados miembros sobre el proyecto de sede de la unión</w:t>
      </w:r>
      <w:bookmarkEnd w:id="13"/>
    </w:p>
    <w:p w:rsidR="008E2AF3" w:rsidRPr="00C6667B" w:rsidRDefault="008E2AF3" w:rsidP="006B305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C6667B">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C6667B" w:rsidRDefault="00093EEB" w:rsidP="006B305C">
            <w:pPr>
              <w:pStyle w:val="Headingb"/>
            </w:pPr>
            <w:r w:rsidRPr="00C6667B">
              <w:t>Resumen</w:t>
            </w:r>
          </w:p>
          <w:p w:rsidR="00093EEB" w:rsidRPr="00C6667B" w:rsidRDefault="00AF0963" w:rsidP="006B305C">
            <w:bookmarkStart w:id="14" w:name="lt_pId020"/>
            <w:r w:rsidRPr="00C6667B">
              <w:rPr>
                <w:rFonts w:asciiTheme="minorHAnsi" w:hAnsiTheme="minorHAnsi"/>
              </w:rPr>
              <w:t>En este documento se presenta un Informe resumido de los trabajos del Grupo Asesor de los Estados Miembros sobre el proyecto de Sede de la Unión (GAEM</w:t>
            </w:r>
            <w:r w:rsidR="008E2AF3" w:rsidRPr="00C6667B">
              <w:rPr>
                <w:rFonts w:asciiTheme="minorHAnsi" w:hAnsiTheme="minorHAnsi"/>
              </w:rPr>
              <w:t>).</w:t>
            </w:r>
            <w:bookmarkEnd w:id="14"/>
          </w:p>
          <w:p w:rsidR="00093EEB" w:rsidRPr="00C6667B" w:rsidRDefault="00093EEB" w:rsidP="006B305C">
            <w:pPr>
              <w:pStyle w:val="Headingb"/>
            </w:pPr>
            <w:r w:rsidRPr="00C6667B">
              <w:t>Acción solicitada</w:t>
            </w:r>
          </w:p>
          <w:p w:rsidR="00093EEB" w:rsidRPr="00C6667B" w:rsidRDefault="00AF0963" w:rsidP="006B305C">
            <w:bookmarkStart w:id="15" w:name="lt_pId022"/>
            <w:r w:rsidRPr="00C6667B">
              <w:rPr>
                <w:rFonts w:asciiTheme="minorHAnsi" w:hAnsiTheme="minorHAnsi"/>
              </w:rPr>
              <w:t>Se invita al Consejo a</w:t>
            </w:r>
            <w:r w:rsidR="008E2AF3" w:rsidRPr="00C6667B">
              <w:rPr>
                <w:rFonts w:asciiTheme="minorHAnsi" w:hAnsiTheme="minorHAnsi"/>
              </w:rPr>
              <w:t xml:space="preserve"> </w:t>
            </w:r>
            <w:r w:rsidR="008E2AF3" w:rsidRPr="00C6667B">
              <w:rPr>
                <w:rFonts w:asciiTheme="minorHAnsi" w:hAnsiTheme="minorHAnsi"/>
                <w:b/>
                <w:bCs/>
              </w:rPr>
              <w:t>t</w:t>
            </w:r>
            <w:r w:rsidRPr="00C6667B">
              <w:rPr>
                <w:rFonts w:asciiTheme="minorHAnsi" w:hAnsiTheme="minorHAnsi"/>
                <w:b/>
                <w:bCs/>
              </w:rPr>
              <w:t>omar</w:t>
            </w:r>
            <w:r w:rsidR="008E2AF3" w:rsidRPr="00C6667B">
              <w:rPr>
                <w:rFonts w:asciiTheme="minorHAnsi" w:hAnsiTheme="minorHAnsi"/>
                <w:b/>
                <w:bCs/>
              </w:rPr>
              <w:t xml:space="preserve"> not</w:t>
            </w:r>
            <w:r w:rsidRPr="00C6667B">
              <w:rPr>
                <w:rFonts w:asciiTheme="minorHAnsi" w:hAnsiTheme="minorHAnsi"/>
                <w:b/>
                <w:bCs/>
              </w:rPr>
              <w:t>a</w:t>
            </w:r>
            <w:r w:rsidR="008E2AF3" w:rsidRPr="00C6667B">
              <w:rPr>
                <w:rFonts w:asciiTheme="minorHAnsi" w:hAnsiTheme="minorHAnsi"/>
              </w:rPr>
              <w:t xml:space="preserve"> </w:t>
            </w:r>
            <w:r w:rsidRPr="00C6667B">
              <w:rPr>
                <w:rFonts w:asciiTheme="minorHAnsi" w:hAnsiTheme="minorHAnsi"/>
              </w:rPr>
              <w:t>del Informe y a</w:t>
            </w:r>
            <w:r w:rsidR="008E2AF3" w:rsidRPr="00C6667B">
              <w:rPr>
                <w:rFonts w:asciiTheme="minorHAnsi" w:hAnsiTheme="minorHAnsi"/>
              </w:rPr>
              <w:t xml:space="preserve"> </w:t>
            </w:r>
            <w:r w:rsidRPr="00C6667B">
              <w:rPr>
                <w:rFonts w:asciiTheme="minorHAnsi" w:hAnsiTheme="minorHAnsi"/>
                <w:b/>
              </w:rPr>
              <w:t xml:space="preserve">facilitar las orientaciones </w:t>
            </w:r>
            <w:r w:rsidRPr="00C6667B">
              <w:rPr>
                <w:rFonts w:asciiTheme="minorHAnsi" w:hAnsiTheme="minorHAnsi"/>
                <w:bCs/>
              </w:rPr>
              <w:t>que considere pertinentes</w:t>
            </w:r>
            <w:r w:rsidR="008E2AF3" w:rsidRPr="00C6667B">
              <w:rPr>
                <w:rFonts w:asciiTheme="minorHAnsi" w:hAnsiTheme="minorHAnsi"/>
              </w:rPr>
              <w:t>.</w:t>
            </w:r>
            <w:bookmarkEnd w:id="15"/>
          </w:p>
          <w:p w:rsidR="00093EEB" w:rsidRPr="00C6667B" w:rsidRDefault="00093EEB" w:rsidP="006B305C">
            <w:pPr>
              <w:pStyle w:val="Table"/>
              <w:keepNext w:val="0"/>
              <w:spacing w:before="0" w:after="0"/>
              <w:rPr>
                <w:caps w:val="0"/>
                <w:sz w:val="22"/>
                <w:lang w:val="es-ES_tradnl"/>
              </w:rPr>
            </w:pPr>
            <w:r w:rsidRPr="00C6667B">
              <w:rPr>
                <w:caps w:val="0"/>
                <w:sz w:val="22"/>
                <w:lang w:val="es-ES_tradnl"/>
              </w:rPr>
              <w:t>____________</w:t>
            </w:r>
          </w:p>
          <w:p w:rsidR="00093EEB" w:rsidRPr="00C6667B" w:rsidRDefault="00093EEB" w:rsidP="006B305C">
            <w:pPr>
              <w:pStyle w:val="Headingb"/>
            </w:pPr>
            <w:r w:rsidRPr="00C6667B">
              <w:t>Referencia</w:t>
            </w:r>
          </w:p>
          <w:p w:rsidR="00093EEB" w:rsidRPr="00C6667B" w:rsidRDefault="003F7763" w:rsidP="006B305C">
            <w:pPr>
              <w:spacing w:after="120"/>
              <w:rPr>
                <w:i/>
                <w:iCs/>
              </w:rPr>
            </w:pPr>
            <w:hyperlink r:id="rId8" w:history="1">
              <w:bookmarkStart w:id="16" w:name="lt_pId025"/>
              <w:r w:rsidR="00AF0963" w:rsidRPr="00C6667B">
                <w:rPr>
                  <w:rStyle w:val="Hyperlink"/>
                  <w:rFonts w:asciiTheme="minorHAnsi" w:hAnsiTheme="minorHAnsi"/>
                  <w:i/>
                  <w:iCs/>
                </w:rPr>
                <w:t>Acuerdo 588 del Consejo</w:t>
              </w:r>
              <w:bookmarkEnd w:id="16"/>
            </w:hyperlink>
          </w:p>
        </w:tc>
      </w:tr>
    </w:tbl>
    <w:p w:rsidR="00E43110" w:rsidRPr="00C6667B" w:rsidRDefault="00E43110" w:rsidP="00A14915">
      <w:pPr>
        <w:pStyle w:val="Heading1"/>
      </w:pPr>
      <w:r w:rsidRPr="00C6667B">
        <w:t>1</w:t>
      </w:r>
      <w:r w:rsidRPr="00C6667B">
        <w:tab/>
        <w:t>Antecedentes</w:t>
      </w:r>
    </w:p>
    <w:p w:rsidR="00E43110" w:rsidRPr="00C6667B" w:rsidRDefault="00E43110" w:rsidP="006B305C">
      <w:pPr>
        <w:rPr>
          <w:szCs w:val="24"/>
        </w:rPr>
      </w:pPr>
      <w:r w:rsidRPr="00C6667B">
        <w:t>1.1</w:t>
      </w:r>
      <w:r w:rsidRPr="00C6667B">
        <w:tab/>
        <w:t xml:space="preserve">En la reunión del Consejo de 2016, en virtud de su </w:t>
      </w:r>
      <w:hyperlink r:id="rId9" w:history="1">
        <w:r w:rsidRPr="00C6667B">
          <w:rPr>
            <w:rStyle w:val="Hyperlink"/>
            <w:rFonts w:asciiTheme="minorHAnsi" w:hAnsiTheme="minorHAnsi"/>
          </w:rPr>
          <w:t>Acuerdo 588</w:t>
        </w:r>
      </w:hyperlink>
      <w:r w:rsidRPr="00C6667B">
        <w:t xml:space="preserve">, se decidió sustituir el edificio de Varembé por una nueva construcción (en adelante "Varembé-2") que integrara asimismo las oficinas e </w:t>
      </w:r>
      <w:r w:rsidRPr="00C6667B">
        <w:rPr>
          <w:cs/>
        </w:rPr>
        <w:t>‎</w:t>
      </w:r>
      <w:r w:rsidRPr="00C6667B">
        <w:t xml:space="preserve">instalaciones del edificio de la Torre, y que sirviera de complemento al edificio de Montbrillant, el cual se </w:t>
      </w:r>
      <w:r w:rsidRPr="00C6667B">
        <w:rPr>
          <w:cs/>
        </w:rPr>
        <w:t>‎</w:t>
      </w:r>
      <w:r w:rsidRPr="00C6667B">
        <w:t>mantendrá y rehabilitará</w:t>
      </w:r>
      <w:r w:rsidRPr="00C6667B">
        <w:rPr>
          <w:szCs w:val="24"/>
        </w:rPr>
        <w:t xml:space="preserve">. El Consejo constituyó el Grupo Asesor de los Estados Miembros (GAEM) sobre el proyecto de Sede con objeto de proporcionar asesoramiento independiente e imparcial sobre dicho proyecto al Consejo y al Secretario General. </w:t>
      </w:r>
    </w:p>
    <w:p w:rsidR="00A338AB" w:rsidRPr="00C6667B" w:rsidRDefault="00A338AB" w:rsidP="006B305C">
      <w:r w:rsidRPr="00C6667B">
        <w:t>1.2</w:t>
      </w:r>
      <w:r w:rsidRPr="00C6667B">
        <w:tab/>
      </w:r>
      <w:bookmarkStart w:id="17" w:name="lt_pId032"/>
      <w:r w:rsidR="00AF0963" w:rsidRPr="00C6667B">
        <w:t>El GAEM ha celebrado dos reuniones el 13 de diciembre de 2016 y el 11 de abril de 2017. El GAEM tiene previsto celebrar una reunión presencial con ocasión del bloque de reuniones de los GTC, que tendrá lugar del 11 al 22 de septiembre de 2017, cuya fecha se confirmará una vez acordado el programa de los GTC</w:t>
      </w:r>
      <w:bookmarkStart w:id="18" w:name="lt_pId033"/>
      <w:bookmarkEnd w:id="17"/>
      <w:r w:rsidRPr="00C6667B">
        <w:t>.</w:t>
      </w:r>
      <w:bookmarkEnd w:id="18"/>
    </w:p>
    <w:p w:rsidR="00A338AB" w:rsidRPr="00C6667B" w:rsidRDefault="00A338AB" w:rsidP="006B305C">
      <w:pPr>
        <w:pStyle w:val="Heading1"/>
      </w:pPr>
      <w:r w:rsidRPr="00C6667B">
        <w:t>2</w:t>
      </w:r>
      <w:r w:rsidRPr="00C6667B">
        <w:tab/>
      </w:r>
      <w:bookmarkStart w:id="19" w:name="lt_pId035"/>
      <w:r w:rsidR="00AF0963" w:rsidRPr="00C6667B">
        <w:t xml:space="preserve">Miembros, </w:t>
      </w:r>
      <w:r w:rsidR="00741D10" w:rsidRPr="00C6667B">
        <w:t>equipo directivo, mandato y procedimiento del GAEM</w:t>
      </w:r>
      <w:bookmarkEnd w:id="19"/>
    </w:p>
    <w:p w:rsidR="00A338AB" w:rsidRPr="00C6667B" w:rsidRDefault="00A338AB" w:rsidP="006B305C">
      <w:r w:rsidRPr="00C6667B">
        <w:t>2.1</w:t>
      </w:r>
      <w:r w:rsidRPr="00C6667B">
        <w:tab/>
      </w:r>
      <w:bookmarkStart w:id="20" w:name="lt_pId037"/>
      <w:r w:rsidR="00741D10" w:rsidRPr="00C6667B">
        <w:t>Los miembros del GAEM son designados previa coordinación regional y actúan a título personal</w:t>
      </w:r>
      <w:r w:rsidRPr="00C6667B">
        <w:t>.</w:t>
      </w:r>
      <w:bookmarkEnd w:id="20"/>
      <w:r w:rsidRPr="00C6667B">
        <w:t xml:space="preserve"> </w:t>
      </w:r>
      <w:bookmarkStart w:id="21" w:name="lt_pId038"/>
      <w:r w:rsidR="00741D10" w:rsidRPr="00C6667B">
        <w:t>En la actualidad, el GAEM está compuesto por los siguientes miembros</w:t>
      </w:r>
      <w:r w:rsidRPr="00C6667B">
        <w:t>:</w:t>
      </w:r>
      <w:bookmarkEnd w:id="21"/>
    </w:p>
    <w:p w:rsidR="00A338AB" w:rsidRPr="00C6667B" w:rsidRDefault="00FE7591" w:rsidP="0009703A">
      <w:pPr>
        <w:pStyle w:val="enumlev1"/>
      </w:pPr>
      <w:bookmarkStart w:id="22" w:name="lt_pId039"/>
      <w:r w:rsidRPr="00C6667B">
        <w:tab/>
      </w:r>
      <w:r w:rsidR="00741D10" w:rsidRPr="00C6667B">
        <w:t>S</w:t>
      </w:r>
      <w:r w:rsidR="00A338AB" w:rsidRPr="00C6667B">
        <w:t>r. Dietmar Plesse</w:t>
      </w:r>
      <w:bookmarkEnd w:id="22"/>
      <w:r w:rsidR="00A338AB" w:rsidRPr="00C6667B">
        <w:t xml:space="preserve"> </w:t>
      </w:r>
      <w:bookmarkStart w:id="23" w:name="lt_pId040"/>
      <w:r w:rsidR="00741D10" w:rsidRPr="00C6667B">
        <w:t>Europa Occidental</w:t>
      </w:r>
      <w:r w:rsidR="00A338AB" w:rsidRPr="00C6667B">
        <w:t>;</w:t>
      </w:r>
      <w:bookmarkEnd w:id="23"/>
      <w:r w:rsidR="00A338AB" w:rsidRPr="00C6667B">
        <w:t xml:space="preserve"> </w:t>
      </w:r>
    </w:p>
    <w:p w:rsidR="00A338AB" w:rsidRPr="00C6667B" w:rsidRDefault="00FE7591" w:rsidP="006B305C">
      <w:pPr>
        <w:pStyle w:val="enumlev1"/>
      </w:pPr>
      <w:bookmarkStart w:id="24" w:name="lt_pId041"/>
      <w:r w:rsidRPr="00C6667B">
        <w:tab/>
      </w:r>
      <w:r w:rsidR="00741D10" w:rsidRPr="00C6667B">
        <w:t>S</w:t>
      </w:r>
      <w:r w:rsidR="00A338AB" w:rsidRPr="00C6667B">
        <w:t>r. Hisazumi Shirae:</w:t>
      </w:r>
      <w:bookmarkEnd w:id="24"/>
      <w:r w:rsidR="00A338AB" w:rsidRPr="00C6667B">
        <w:t xml:space="preserve"> </w:t>
      </w:r>
      <w:bookmarkStart w:id="25" w:name="lt_pId042"/>
      <w:r w:rsidR="00A338AB" w:rsidRPr="00C6667B">
        <w:t xml:space="preserve">Asia </w:t>
      </w:r>
      <w:r w:rsidR="00741D10" w:rsidRPr="00C6667B">
        <w:t>y</w:t>
      </w:r>
      <w:r w:rsidR="00A338AB" w:rsidRPr="00C6667B">
        <w:t xml:space="preserve"> Australasia;</w:t>
      </w:r>
      <w:bookmarkEnd w:id="25"/>
      <w:r w:rsidR="00A338AB" w:rsidRPr="00C6667B">
        <w:t xml:space="preserve"> </w:t>
      </w:r>
    </w:p>
    <w:p w:rsidR="00A338AB" w:rsidRPr="00C6667B" w:rsidRDefault="00FE7591" w:rsidP="006B305C">
      <w:pPr>
        <w:pStyle w:val="enumlev1"/>
      </w:pPr>
      <w:bookmarkStart w:id="26" w:name="lt_pId043"/>
      <w:r w:rsidRPr="00C6667B">
        <w:tab/>
      </w:r>
      <w:r w:rsidR="00741D10" w:rsidRPr="00C6667B">
        <w:t>S</w:t>
      </w:r>
      <w:r w:rsidR="00A338AB" w:rsidRPr="00C6667B">
        <w:t>r. Andrey Zhivov:</w:t>
      </w:r>
      <w:bookmarkEnd w:id="26"/>
      <w:r w:rsidR="00A338AB" w:rsidRPr="00C6667B">
        <w:t xml:space="preserve"> </w:t>
      </w:r>
      <w:bookmarkStart w:id="27" w:name="lt_pId044"/>
      <w:r w:rsidR="00A338AB" w:rsidRPr="00C6667B">
        <w:t>E</w:t>
      </w:r>
      <w:r w:rsidR="00741D10" w:rsidRPr="00C6667B">
        <w:t>uropa Oriental y Asia Septentrional</w:t>
      </w:r>
      <w:r w:rsidR="00A338AB" w:rsidRPr="00C6667B">
        <w:t>;</w:t>
      </w:r>
      <w:bookmarkEnd w:id="27"/>
      <w:r w:rsidR="00A338AB" w:rsidRPr="00C6667B">
        <w:t xml:space="preserve"> </w:t>
      </w:r>
    </w:p>
    <w:p w:rsidR="00A338AB" w:rsidRPr="00C6667B" w:rsidRDefault="00FE7591" w:rsidP="006B305C">
      <w:pPr>
        <w:pStyle w:val="enumlev1"/>
        <w:rPr>
          <w:szCs w:val="24"/>
          <w:lang w:eastAsia="ja-JP"/>
        </w:rPr>
      </w:pPr>
      <w:bookmarkStart w:id="28" w:name="lt_pId045"/>
      <w:r w:rsidRPr="00C6667B">
        <w:rPr>
          <w:szCs w:val="24"/>
          <w:lang w:eastAsia="ja-JP"/>
        </w:rPr>
        <w:tab/>
      </w:r>
      <w:r w:rsidR="00741D10" w:rsidRPr="00C6667B">
        <w:rPr>
          <w:szCs w:val="24"/>
          <w:lang w:eastAsia="ja-JP"/>
        </w:rPr>
        <w:t>S</w:t>
      </w:r>
      <w:r w:rsidR="00A338AB" w:rsidRPr="00C6667B">
        <w:rPr>
          <w:szCs w:val="24"/>
          <w:lang w:eastAsia="ja-JP"/>
        </w:rPr>
        <w:t>r. Nasser Al Marzouqi:</w:t>
      </w:r>
      <w:bookmarkEnd w:id="28"/>
      <w:r w:rsidR="00A338AB" w:rsidRPr="00C6667B">
        <w:rPr>
          <w:szCs w:val="24"/>
          <w:lang w:eastAsia="ja-JP"/>
        </w:rPr>
        <w:t xml:space="preserve"> </w:t>
      </w:r>
      <w:bookmarkStart w:id="29" w:name="lt_pId046"/>
      <w:r w:rsidR="00741D10" w:rsidRPr="00C6667B">
        <w:rPr>
          <w:szCs w:val="24"/>
          <w:lang w:eastAsia="ja-JP"/>
        </w:rPr>
        <w:t>Estados Árabes</w:t>
      </w:r>
      <w:r w:rsidR="00A338AB" w:rsidRPr="00C6667B">
        <w:rPr>
          <w:szCs w:val="24"/>
          <w:lang w:eastAsia="ja-JP"/>
        </w:rPr>
        <w:t>;</w:t>
      </w:r>
      <w:bookmarkEnd w:id="29"/>
      <w:r w:rsidR="00A338AB" w:rsidRPr="00C6667B">
        <w:rPr>
          <w:szCs w:val="24"/>
          <w:lang w:eastAsia="ja-JP"/>
        </w:rPr>
        <w:t xml:space="preserve"> </w:t>
      </w:r>
    </w:p>
    <w:p w:rsidR="00A338AB" w:rsidRPr="00C6667B" w:rsidRDefault="00FE7591" w:rsidP="006B305C">
      <w:pPr>
        <w:pStyle w:val="enumlev1"/>
        <w:rPr>
          <w:szCs w:val="24"/>
          <w:lang w:eastAsia="ja-JP"/>
        </w:rPr>
      </w:pPr>
      <w:bookmarkStart w:id="30" w:name="lt_pId047"/>
      <w:r w:rsidRPr="00C6667B">
        <w:rPr>
          <w:szCs w:val="24"/>
          <w:lang w:eastAsia="ja-JP"/>
        </w:rPr>
        <w:tab/>
      </w:r>
      <w:r w:rsidR="00A338AB" w:rsidRPr="00C6667B">
        <w:rPr>
          <w:szCs w:val="24"/>
          <w:lang w:eastAsia="ja-JP"/>
        </w:rPr>
        <w:t>(vacan</w:t>
      </w:r>
      <w:r w:rsidR="00741D10" w:rsidRPr="00C6667B">
        <w:rPr>
          <w:szCs w:val="24"/>
          <w:lang w:eastAsia="ja-JP"/>
        </w:rPr>
        <w:t>te</w:t>
      </w:r>
      <w:r w:rsidR="00A338AB" w:rsidRPr="00C6667B">
        <w:rPr>
          <w:szCs w:val="24"/>
          <w:lang w:eastAsia="ja-JP"/>
        </w:rPr>
        <w:t>):</w:t>
      </w:r>
      <w:bookmarkEnd w:id="30"/>
      <w:r w:rsidR="00A338AB" w:rsidRPr="00C6667B">
        <w:rPr>
          <w:szCs w:val="24"/>
          <w:lang w:eastAsia="ja-JP"/>
        </w:rPr>
        <w:t xml:space="preserve"> </w:t>
      </w:r>
      <w:bookmarkStart w:id="31" w:name="lt_pId048"/>
      <w:r w:rsidR="00741D10" w:rsidRPr="00C6667B">
        <w:rPr>
          <w:szCs w:val="24"/>
          <w:lang w:eastAsia="ja-JP"/>
        </w:rPr>
        <w:t>Américas</w:t>
      </w:r>
      <w:r w:rsidR="00A338AB" w:rsidRPr="00C6667B">
        <w:rPr>
          <w:szCs w:val="24"/>
          <w:lang w:eastAsia="ja-JP"/>
        </w:rPr>
        <w:t>;</w:t>
      </w:r>
      <w:bookmarkEnd w:id="31"/>
    </w:p>
    <w:p w:rsidR="00A338AB" w:rsidRPr="00C6667B" w:rsidRDefault="00FE7591" w:rsidP="006B305C">
      <w:pPr>
        <w:pStyle w:val="enumlev1"/>
        <w:rPr>
          <w:szCs w:val="24"/>
          <w:lang w:eastAsia="ja-JP"/>
        </w:rPr>
      </w:pPr>
      <w:bookmarkStart w:id="32" w:name="lt_pId049"/>
      <w:r w:rsidRPr="00C6667B">
        <w:rPr>
          <w:szCs w:val="24"/>
          <w:lang w:eastAsia="ja-JP"/>
        </w:rPr>
        <w:tab/>
      </w:r>
      <w:r w:rsidR="00A338AB" w:rsidRPr="00C6667B">
        <w:rPr>
          <w:szCs w:val="24"/>
          <w:lang w:eastAsia="ja-JP"/>
        </w:rPr>
        <w:t>(vacan</w:t>
      </w:r>
      <w:r w:rsidR="00741D10" w:rsidRPr="00C6667B">
        <w:rPr>
          <w:szCs w:val="24"/>
          <w:lang w:eastAsia="ja-JP"/>
        </w:rPr>
        <w:t>te</w:t>
      </w:r>
      <w:r w:rsidR="00A338AB" w:rsidRPr="00C6667B">
        <w:rPr>
          <w:szCs w:val="24"/>
          <w:lang w:eastAsia="ja-JP"/>
        </w:rPr>
        <w:t>):</w:t>
      </w:r>
      <w:bookmarkEnd w:id="32"/>
      <w:r w:rsidR="00A338AB" w:rsidRPr="00C6667B">
        <w:rPr>
          <w:szCs w:val="24"/>
          <w:lang w:eastAsia="ja-JP"/>
        </w:rPr>
        <w:t xml:space="preserve"> </w:t>
      </w:r>
      <w:bookmarkStart w:id="33" w:name="lt_pId050"/>
      <w:r w:rsidR="00741D10" w:rsidRPr="00C6667B">
        <w:rPr>
          <w:szCs w:val="24"/>
          <w:lang w:eastAsia="ja-JP"/>
        </w:rPr>
        <w:t>Á</w:t>
      </w:r>
      <w:r w:rsidR="00A338AB" w:rsidRPr="00C6667B">
        <w:rPr>
          <w:szCs w:val="24"/>
          <w:lang w:eastAsia="ja-JP"/>
        </w:rPr>
        <w:t>frica.</w:t>
      </w:r>
      <w:bookmarkEnd w:id="33"/>
      <w:r w:rsidR="00A338AB" w:rsidRPr="00C6667B">
        <w:rPr>
          <w:szCs w:val="24"/>
          <w:lang w:eastAsia="ja-JP"/>
        </w:rPr>
        <w:t xml:space="preserve"> </w:t>
      </w:r>
    </w:p>
    <w:p w:rsidR="00A338AB" w:rsidRPr="00C6667B" w:rsidRDefault="00741D10" w:rsidP="006B305C">
      <w:bookmarkStart w:id="34" w:name="lt_pId051"/>
      <w:r w:rsidRPr="00C6667B">
        <w:t xml:space="preserve">A petición del miembro de la </w:t>
      </w:r>
      <w:r w:rsidR="00804B7A" w:rsidRPr="00C6667B">
        <w:t xml:space="preserve">Región </w:t>
      </w:r>
      <w:r w:rsidR="00A338AB" w:rsidRPr="00C6667B">
        <w:t xml:space="preserve">Asia </w:t>
      </w:r>
      <w:r w:rsidRPr="00C6667B">
        <w:t>y</w:t>
      </w:r>
      <w:r w:rsidR="00A338AB" w:rsidRPr="00C6667B">
        <w:t xml:space="preserve"> Australasia</w:t>
      </w:r>
      <w:r w:rsidRPr="00C6667B">
        <w:t>, en las reuniones del GAEM se contó con la presencia de dos observadores</w:t>
      </w:r>
      <w:r w:rsidR="00A338AB" w:rsidRPr="00C6667B">
        <w:t>:</w:t>
      </w:r>
      <w:bookmarkEnd w:id="34"/>
    </w:p>
    <w:p w:rsidR="00FE7591" w:rsidRPr="00C6667B" w:rsidRDefault="00FE7591" w:rsidP="006B305C">
      <w:pPr>
        <w:pStyle w:val="enumlev1"/>
        <w:rPr>
          <w:szCs w:val="24"/>
          <w:lang w:eastAsia="ja-JP"/>
        </w:rPr>
      </w:pPr>
      <w:bookmarkStart w:id="35" w:name="lt_pId052"/>
      <w:r w:rsidRPr="00C6667B">
        <w:rPr>
          <w:szCs w:val="24"/>
          <w:lang w:eastAsia="ja-JP"/>
        </w:rPr>
        <w:tab/>
      </w:r>
      <w:r w:rsidR="00741D10" w:rsidRPr="00C6667B">
        <w:rPr>
          <w:szCs w:val="24"/>
          <w:lang w:eastAsia="ja-JP"/>
        </w:rPr>
        <w:t>S</w:t>
      </w:r>
      <w:r w:rsidR="00A338AB" w:rsidRPr="00C6667B">
        <w:rPr>
          <w:szCs w:val="24"/>
          <w:lang w:eastAsia="ja-JP"/>
        </w:rPr>
        <w:t>r. Yoshiyuki Kato:</w:t>
      </w:r>
      <w:bookmarkEnd w:id="35"/>
      <w:r w:rsidR="00A338AB" w:rsidRPr="00C6667B">
        <w:rPr>
          <w:szCs w:val="24"/>
          <w:lang w:eastAsia="ja-JP"/>
        </w:rPr>
        <w:t xml:space="preserve"> </w:t>
      </w:r>
      <w:bookmarkStart w:id="36" w:name="lt_pId053"/>
      <w:r w:rsidR="00A338AB" w:rsidRPr="00C6667B">
        <w:rPr>
          <w:szCs w:val="24"/>
          <w:lang w:eastAsia="ja-JP"/>
        </w:rPr>
        <w:t>Jap</w:t>
      </w:r>
      <w:r w:rsidR="00741D10" w:rsidRPr="00C6667B">
        <w:rPr>
          <w:szCs w:val="24"/>
          <w:lang w:eastAsia="ja-JP"/>
        </w:rPr>
        <w:t>ó</w:t>
      </w:r>
      <w:r w:rsidR="00A338AB" w:rsidRPr="00C6667B">
        <w:rPr>
          <w:szCs w:val="24"/>
          <w:lang w:eastAsia="ja-JP"/>
        </w:rPr>
        <w:t>n;</w:t>
      </w:r>
      <w:bookmarkEnd w:id="36"/>
    </w:p>
    <w:p w:rsidR="00A338AB" w:rsidRPr="00C6667B" w:rsidRDefault="00FE7591" w:rsidP="006B305C">
      <w:pPr>
        <w:pStyle w:val="enumlev1"/>
        <w:rPr>
          <w:szCs w:val="24"/>
          <w:lang w:eastAsia="ja-JP"/>
        </w:rPr>
      </w:pPr>
      <w:bookmarkStart w:id="37" w:name="lt_pId054"/>
      <w:r w:rsidRPr="00C6667B">
        <w:rPr>
          <w:szCs w:val="24"/>
          <w:lang w:eastAsia="ja-JP"/>
        </w:rPr>
        <w:tab/>
      </w:r>
      <w:r w:rsidR="00741D10" w:rsidRPr="00C6667B">
        <w:rPr>
          <w:szCs w:val="24"/>
          <w:lang w:eastAsia="ja-JP"/>
        </w:rPr>
        <w:t>S</w:t>
      </w:r>
      <w:r w:rsidR="00A338AB" w:rsidRPr="00C6667B">
        <w:rPr>
          <w:szCs w:val="24"/>
          <w:lang w:eastAsia="ja-JP"/>
        </w:rPr>
        <w:t>r. Yoshihiro Juri, Jap</w:t>
      </w:r>
      <w:r w:rsidR="00741D10" w:rsidRPr="00C6667B">
        <w:rPr>
          <w:szCs w:val="24"/>
          <w:lang w:eastAsia="ja-JP"/>
        </w:rPr>
        <w:t>ó</w:t>
      </w:r>
      <w:r w:rsidR="00A338AB" w:rsidRPr="00C6667B">
        <w:rPr>
          <w:szCs w:val="24"/>
          <w:lang w:eastAsia="ja-JP"/>
        </w:rPr>
        <w:t>n</w:t>
      </w:r>
      <w:bookmarkEnd w:id="37"/>
      <w:r w:rsidR="0009703A" w:rsidRPr="00C6667B">
        <w:rPr>
          <w:szCs w:val="24"/>
          <w:lang w:eastAsia="ja-JP"/>
        </w:rPr>
        <w:t>.</w:t>
      </w:r>
    </w:p>
    <w:p w:rsidR="00A338AB" w:rsidRPr="00C6667B" w:rsidRDefault="00A338AB" w:rsidP="006B305C">
      <w:r w:rsidRPr="00C6667B">
        <w:lastRenderedPageBreak/>
        <w:t>2.2</w:t>
      </w:r>
      <w:r w:rsidRPr="00C6667B">
        <w:tab/>
      </w:r>
      <w:bookmarkStart w:id="38" w:name="lt_pId056"/>
      <w:r w:rsidR="00741D10" w:rsidRPr="00C6667B">
        <w:t>En la 2ª reunión del GAEM el Sr. Plesse fue elegido Presidente del GAEM por aclamación</w:t>
      </w:r>
      <w:r w:rsidRPr="00C6667B">
        <w:t>.</w:t>
      </w:r>
      <w:bookmarkEnd w:id="38"/>
    </w:p>
    <w:p w:rsidR="00A338AB" w:rsidRPr="00C6667B" w:rsidRDefault="00A338AB" w:rsidP="006B305C">
      <w:r w:rsidRPr="00C6667B">
        <w:t>2.3</w:t>
      </w:r>
      <w:r w:rsidRPr="00C6667B">
        <w:tab/>
      </w:r>
      <w:bookmarkStart w:id="39" w:name="lt_pId058"/>
      <w:r w:rsidR="00C84102" w:rsidRPr="00C6667B">
        <w:t>El mandato del GAEM, confirmado en su 2ª reunión, se presenta a título informativ</w:t>
      </w:r>
      <w:r w:rsidR="00926683" w:rsidRPr="00C6667B">
        <w:t>o</w:t>
      </w:r>
      <w:r w:rsidR="00C84102" w:rsidRPr="00C6667B">
        <w:t xml:space="preserve"> en el Anexo</w:t>
      </w:r>
      <w:r w:rsidRPr="00C6667B">
        <w:t xml:space="preserve"> 1.</w:t>
      </w:r>
      <w:bookmarkEnd w:id="39"/>
    </w:p>
    <w:p w:rsidR="00A338AB" w:rsidRPr="00C6667B" w:rsidRDefault="002C6BE4" w:rsidP="006B305C">
      <w:r w:rsidRPr="00C6667B">
        <w:t>2.4</w:t>
      </w:r>
      <w:r w:rsidR="00A338AB" w:rsidRPr="00C6667B">
        <w:tab/>
      </w:r>
      <w:bookmarkStart w:id="40" w:name="lt_pId060"/>
      <w:r w:rsidR="00C84102" w:rsidRPr="00C6667B">
        <w:t>De cada reunión del GAEM se elaborará un Informe resumido y se mantendrán al día la lista de acciones y el calendario actualizado. Los miembros del GAEM tienen a su disposición un sitio Sharepoint con todos los documentos</w:t>
      </w:r>
      <w:bookmarkStart w:id="41" w:name="lt_pId061"/>
      <w:bookmarkEnd w:id="40"/>
      <w:r w:rsidR="00A338AB" w:rsidRPr="00C6667B">
        <w:t>.</w:t>
      </w:r>
      <w:bookmarkEnd w:id="41"/>
    </w:p>
    <w:p w:rsidR="00A338AB" w:rsidRPr="00C6667B" w:rsidRDefault="00A338AB" w:rsidP="006B305C">
      <w:r w:rsidRPr="00C6667B">
        <w:t>2.5</w:t>
      </w:r>
      <w:r w:rsidRPr="00C6667B">
        <w:tab/>
      </w:r>
      <w:bookmarkStart w:id="42" w:name="lt_pId063"/>
      <w:r w:rsidR="00C84102" w:rsidRPr="00C6667B">
        <w:t xml:space="preserve">La </w:t>
      </w:r>
      <w:r w:rsidR="00385358" w:rsidRPr="00C6667B">
        <w:t xml:space="preserve">Secretaría </w:t>
      </w:r>
      <w:r w:rsidR="00C84102" w:rsidRPr="00C6667B">
        <w:t>ha preparado un formulario de declaración de intereses privados, financieros y de otro tipo, que se ha transmitido a los miembros y observadores del GAEM para su cumplimentación. La mayoría ya ha depositado sus formularios cumplimentados en la oficina del Secretario General</w:t>
      </w:r>
      <w:bookmarkStart w:id="43" w:name="lt_pId064"/>
      <w:bookmarkEnd w:id="42"/>
      <w:r w:rsidRPr="00C6667B">
        <w:t>.</w:t>
      </w:r>
      <w:bookmarkEnd w:id="43"/>
    </w:p>
    <w:p w:rsidR="00A338AB" w:rsidRPr="00C6667B" w:rsidRDefault="00A338AB" w:rsidP="006B305C">
      <w:pPr>
        <w:pStyle w:val="Heading1"/>
      </w:pPr>
      <w:r w:rsidRPr="00C6667B">
        <w:t>3</w:t>
      </w:r>
      <w:r w:rsidRPr="00C6667B">
        <w:tab/>
      </w:r>
      <w:bookmarkStart w:id="44" w:name="lt_pId066"/>
      <w:r w:rsidR="00C84102" w:rsidRPr="00C6667B">
        <w:t>Acciones y decisiones del GAEM</w:t>
      </w:r>
      <w:bookmarkEnd w:id="44"/>
    </w:p>
    <w:p w:rsidR="00A338AB" w:rsidRPr="00C6667B" w:rsidRDefault="00A338AB" w:rsidP="006B305C">
      <w:r w:rsidRPr="00C6667B">
        <w:t>3.1</w:t>
      </w:r>
      <w:r w:rsidRPr="00C6667B">
        <w:tab/>
      </w:r>
      <w:bookmarkStart w:id="45" w:name="lt_pId068"/>
      <w:r w:rsidR="00C84102" w:rsidRPr="00C6667B">
        <w:t>El GAEM ha examinado la constitución del proyecto, el (proyecto inicial de) plan de gestión de riesgos, los requisitos de la UIT para el edificio y el documento de la licitación</w:t>
      </w:r>
      <w:r w:rsidRPr="00C6667B">
        <w:t>.</w:t>
      </w:r>
      <w:bookmarkEnd w:id="45"/>
    </w:p>
    <w:p w:rsidR="00A338AB" w:rsidRPr="00C6667B" w:rsidRDefault="00A338AB" w:rsidP="006B305C">
      <w:r w:rsidRPr="00C6667B">
        <w:t>3.2</w:t>
      </w:r>
      <w:r w:rsidRPr="00C6667B">
        <w:tab/>
      </w:r>
      <w:bookmarkStart w:id="46" w:name="lt_pId070"/>
      <w:r w:rsidR="00C84102" w:rsidRPr="00C6667B">
        <w:t xml:space="preserve">el GAEM recomendó que el Jefe de la División de Compras forme parte de la </w:t>
      </w:r>
      <w:r w:rsidR="003F7763" w:rsidRPr="00C6667B">
        <w:t xml:space="preserve">Secretaría </w:t>
      </w:r>
      <w:r w:rsidR="00C84102" w:rsidRPr="00C6667B">
        <w:t>del Equipo de Gestión del Proyecto</w:t>
      </w:r>
      <w:r w:rsidRPr="00C6667B">
        <w:t>.</w:t>
      </w:r>
      <w:bookmarkEnd w:id="46"/>
    </w:p>
    <w:p w:rsidR="00A338AB" w:rsidRPr="00C6667B" w:rsidRDefault="00C84102" w:rsidP="006B305C">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
          <w:iCs/>
          <w:color w:val="000000" w:themeColor="text1"/>
          <w:szCs w:val="24"/>
        </w:rPr>
      </w:pPr>
      <w:bookmarkStart w:id="47" w:name="lt_pId071"/>
      <w:r w:rsidRPr="00C6667B">
        <w:rPr>
          <w:rFonts w:asciiTheme="minorHAnsi" w:hAnsiTheme="minorHAnsi"/>
          <w:i/>
          <w:iCs/>
          <w:color w:val="000000" w:themeColor="text1"/>
          <w:szCs w:val="24"/>
        </w:rPr>
        <w:t>Esta recomendación se ha aplicado</w:t>
      </w:r>
      <w:r w:rsidR="00092C2B" w:rsidRPr="00C6667B">
        <w:rPr>
          <w:rFonts w:asciiTheme="minorHAnsi" w:hAnsiTheme="minorHAnsi"/>
          <w:i/>
          <w:iCs/>
          <w:color w:val="000000" w:themeColor="text1"/>
          <w:szCs w:val="24"/>
        </w:rPr>
        <w:t>.</w:t>
      </w:r>
      <w:r w:rsidRPr="00C6667B">
        <w:rPr>
          <w:rFonts w:asciiTheme="minorHAnsi" w:hAnsiTheme="minorHAnsi"/>
          <w:i/>
          <w:iCs/>
          <w:color w:val="000000" w:themeColor="text1"/>
          <w:szCs w:val="24"/>
        </w:rPr>
        <w:t xml:space="preserve"> </w:t>
      </w:r>
      <w:r w:rsidR="00092C2B" w:rsidRPr="00C6667B">
        <w:rPr>
          <w:rFonts w:asciiTheme="minorHAnsi" w:hAnsiTheme="minorHAnsi"/>
          <w:i/>
          <w:iCs/>
          <w:color w:val="000000" w:themeColor="text1"/>
          <w:szCs w:val="24"/>
        </w:rPr>
        <w:t>L</w:t>
      </w:r>
      <w:r w:rsidRPr="00C6667B">
        <w:rPr>
          <w:rFonts w:asciiTheme="minorHAnsi" w:hAnsiTheme="minorHAnsi"/>
          <w:i/>
          <w:iCs/>
          <w:color w:val="000000" w:themeColor="text1"/>
          <w:szCs w:val="24"/>
        </w:rPr>
        <w:t>a Junta de Gestión (JG) está formada por el Vicesecretario General, el Asesor Jurídico y Jefe de la Unidad de Asuntos Jurídicos, el Jefe del Departamento de Gestión de Recursos Financieros, el Jefe del Departamento de Gestión de Recursos Humanos, el Jefe de la División de Compras y el Jefe de la División de Gestión de las Instalaciones</w:t>
      </w:r>
      <w:bookmarkStart w:id="48" w:name="lt_pId078"/>
      <w:bookmarkEnd w:id="47"/>
      <w:r w:rsidR="00A338AB" w:rsidRPr="00C6667B">
        <w:rPr>
          <w:rFonts w:asciiTheme="minorHAnsi" w:hAnsiTheme="minorHAnsi"/>
          <w:i/>
          <w:iCs/>
          <w:color w:val="000000" w:themeColor="text1"/>
          <w:szCs w:val="24"/>
        </w:rPr>
        <w:t>.</w:t>
      </w:r>
      <w:bookmarkEnd w:id="48"/>
      <w:r w:rsidR="00A338AB" w:rsidRPr="00C6667B">
        <w:rPr>
          <w:rFonts w:asciiTheme="minorHAnsi" w:hAnsiTheme="minorHAnsi"/>
          <w:i/>
          <w:iCs/>
          <w:color w:val="000000" w:themeColor="text1"/>
          <w:szCs w:val="24"/>
        </w:rPr>
        <w:t xml:space="preserve"> </w:t>
      </w:r>
    </w:p>
    <w:p w:rsidR="00A338AB" w:rsidRPr="00C6667B" w:rsidRDefault="00A338AB" w:rsidP="006B305C">
      <w:r w:rsidRPr="00C6667B">
        <w:t>3.3</w:t>
      </w:r>
      <w:r w:rsidRPr="00C6667B">
        <w:tab/>
      </w:r>
      <w:bookmarkStart w:id="49" w:name="lt_pId080"/>
      <w:r w:rsidR="00C84102" w:rsidRPr="00C6667B">
        <w:t xml:space="preserve">El GAEM insistió en que, para llevar a cabo un concurso internacional de arquitectura, se ha de garantizar la amplia publicación del mismo en el mercado internacional a través de los canales habituales </w:t>
      </w:r>
      <w:r w:rsidR="00092C2B" w:rsidRPr="00C6667B">
        <w:t>empleados para las licitaciones de las Naciones Unidas. Además, consider</w:t>
      </w:r>
      <w:r w:rsidR="00926683" w:rsidRPr="00C6667B">
        <w:t>ó</w:t>
      </w:r>
      <w:r w:rsidR="00092C2B" w:rsidRPr="00C6667B">
        <w:t xml:space="preserve"> necesario publicar el documento de licitación en inglés. El GAEM recomendó además que la UIT publicase un comunicado de prensa anunciando el concurso de arquitectura y pidiendo la presentación de candidaturas</w:t>
      </w:r>
      <w:bookmarkStart w:id="50" w:name="lt_pId081"/>
      <w:bookmarkEnd w:id="49"/>
      <w:r w:rsidRPr="00C6667B">
        <w:t>.</w:t>
      </w:r>
      <w:bookmarkEnd w:id="50"/>
    </w:p>
    <w:p w:rsidR="00A338AB" w:rsidRPr="00C6667B" w:rsidRDefault="00092C2B" w:rsidP="00C52124">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
          <w:iCs/>
          <w:color w:val="000000" w:themeColor="text1"/>
          <w:szCs w:val="24"/>
        </w:rPr>
      </w:pPr>
      <w:bookmarkStart w:id="51" w:name="lt_pId082"/>
      <w:r w:rsidRPr="00C6667B">
        <w:rPr>
          <w:rFonts w:asciiTheme="minorHAnsi" w:hAnsiTheme="minorHAnsi"/>
          <w:i/>
          <w:color w:val="000000" w:themeColor="text1"/>
          <w:shd w:val="clear" w:color="auto" w:fill="FFFFFF"/>
        </w:rPr>
        <w:t>Esta recomendación se ha aplicado. El concurso se ha publicado en el</w:t>
      </w:r>
      <w:bookmarkStart w:id="52" w:name="lt_pId083"/>
      <w:bookmarkEnd w:id="51"/>
      <w:r w:rsidR="00A338AB" w:rsidRPr="00C6667B">
        <w:rPr>
          <w:rFonts w:asciiTheme="minorHAnsi" w:hAnsiTheme="minorHAnsi"/>
          <w:i/>
          <w:color w:val="000000" w:themeColor="text1"/>
          <w:shd w:val="clear" w:color="auto" w:fill="FFFFFF"/>
        </w:rPr>
        <w:t xml:space="preserve"> </w:t>
      </w:r>
      <w:r w:rsidRPr="00C6667B">
        <w:rPr>
          <w:rFonts w:asciiTheme="minorHAnsi" w:hAnsiTheme="minorHAnsi"/>
          <w:i/>
          <w:color w:val="000000" w:themeColor="text1"/>
          <w:shd w:val="clear" w:color="auto" w:fill="FFFFFF"/>
        </w:rPr>
        <w:t>Portal mundial de proveedores de las Naciones Unidas, en el</w:t>
      </w:r>
      <w:r w:rsidR="00A338AB" w:rsidRPr="00C6667B">
        <w:rPr>
          <w:rFonts w:asciiTheme="minorHAnsi" w:hAnsiTheme="minorHAnsi"/>
          <w:i/>
          <w:color w:val="000000" w:themeColor="text1"/>
          <w:shd w:val="clear" w:color="auto" w:fill="FFFFFF"/>
        </w:rPr>
        <w:t xml:space="preserve"> </w:t>
      </w:r>
      <w:hyperlink r:id="rId10" w:history="1">
        <w:r w:rsidRPr="00C6667B">
          <w:rPr>
            <w:rStyle w:val="Hyperlink"/>
            <w:rFonts w:asciiTheme="minorHAnsi" w:hAnsiTheme="minorHAnsi"/>
            <w:i/>
            <w:shd w:val="clear" w:color="auto" w:fill="FFFFFF"/>
          </w:rPr>
          <w:t>sitio web de la UIT</w:t>
        </w:r>
      </w:hyperlink>
      <w:r w:rsidR="00A338AB" w:rsidRPr="00C6667B">
        <w:rPr>
          <w:rFonts w:asciiTheme="minorHAnsi" w:hAnsiTheme="minorHAnsi"/>
          <w:i/>
          <w:color w:val="000000" w:themeColor="text1"/>
          <w:shd w:val="clear" w:color="auto" w:fill="FFFFFF"/>
        </w:rPr>
        <w:t xml:space="preserve"> </w:t>
      </w:r>
      <w:r w:rsidRPr="00C6667B">
        <w:rPr>
          <w:rFonts w:asciiTheme="minorHAnsi" w:hAnsiTheme="minorHAnsi"/>
          <w:i/>
          <w:color w:val="000000" w:themeColor="text1"/>
          <w:shd w:val="clear" w:color="auto" w:fill="FFFFFF"/>
        </w:rPr>
        <w:t>y en</w:t>
      </w:r>
      <w:r w:rsidR="00C52124" w:rsidRPr="00C6667B">
        <w:rPr>
          <w:rFonts w:asciiTheme="minorHAnsi" w:hAnsiTheme="minorHAnsi"/>
          <w:i/>
          <w:color w:val="000000" w:themeColor="text1"/>
          <w:shd w:val="clear" w:color="auto" w:fill="FFFFFF"/>
        </w:rPr>
        <w:t xml:space="preserve"> </w:t>
      </w:r>
      <w:r w:rsidR="00C52124" w:rsidRPr="00C6667B">
        <w:rPr>
          <w:rFonts w:asciiTheme="minorHAnsi" w:hAnsiTheme="minorHAnsi"/>
          <w:i/>
          <w:color w:val="000000" w:themeColor="text1"/>
          <w:shd w:val="clear" w:color="auto" w:fill="FFFFFF"/>
        </w:rPr>
        <w:t>el</w:t>
      </w:r>
      <w:r w:rsidRPr="00C6667B">
        <w:rPr>
          <w:rFonts w:asciiTheme="minorHAnsi" w:hAnsiTheme="minorHAnsi"/>
          <w:i/>
          <w:color w:val="000000" w:themeColor="text1"/>
          <w:shd w:val="clear" w:color="auto" w:fill="FFFFFF"/>
        </w:rPr>
        <w:t xml:space="preserve"> portal de licitaciones de proyectos de construcción de Suiza,</w:t>
      </w:r>
      <w:r w:rsidR="00A338AB" w:rsidRPr="00C6667B">
        <w:rPr>
          <w:rFonts w:asciiTheme="minorHAnsi" w:hAnsiTheme="minorHAnsi"/>
          <w:i/>
          <w:color w:val="000000" w:themeColor="text1"/>
          <w:shd w:val="clear" w:color="auto" w:fill="FFFFFF"/>
        </w:rPr>
        <w:t xml:space="preserve"> </w:t>
      </w:r>
      <w:hyperlink r:id="rId11" w:history="1">
        <w:r w:rsidR="00A338AB" w:rsidRPr="00C6667B">
          <w:rPr>
            <w:rStyle w:val="Hyperlink"/>
            <w:rFonts w:asciiTheme="minorHAnsi" w:hAnsiTheme="minorHAnsi"/>
            <w:i/>
            <w:shd w:val="clear" w:color="auto" w:fill="FFFFFF"/>
          </w:rPr>
          <w:t>SIMAP</w:t>
        </w:r>
      </w:hyperlink>
      <w:r w:rsidR="00A338AB" w:rsidRPr="00C6667B">
        <w:rPr>
          <w:rFonts w:asciiTheme="minorHAnsi" w:hAnsiTheme="minorHAnsi"/>
          <w:i/>
          <w:color w:val="000000" w:themeColor="text1"/>
          <w:shd w:val="clear" w:color="auto" w:fill="FFFFFF"/>
        </w:rPr>
        <w:t>.</w:t>
      </w:r>
      <w:bookmarkEnd w:id="52"/>
      <w:r w:rsidR="00A338AB" w:rsidRPr="00C6667B">
        <w:rPr>
          <w:rFonts w:asciiTheme="minorHAnsi" w:hAnsiTheme="minorHAnsi"/>
          <w:i/>
          <w:color w:val="000000" w:themeColor="text1"/>
          <w:shd w:val="clear" w:color="auto" w:fill="FFFFFF"/>
        </w:rPr>
        <w:t xml:space="preserve"> </w:t>
      </w:r>
      <w:bookmarkStart w:id="53" w:name="lt_pId084"/>
      <w:r w:rsidRPr="00C6667B">
        <w:rPr>
          <w:rFonts w:asciiTheme="minorHAnsi" w:hAnsiTheme="minorHAnsi"/>
          <w:i/>
          <w:color w:val="000000" w:themeColor="text1"/>
          <w:shd w:val="clear" w:color="auto" w:fill="FFFFFF"/>
        </w:rPr>
        <w:t>La UIT publicó un</w:t>
      </w:r>
      <w:r w:rsidR="00A338AB" w:rsidRPr="00C6667B">
        <w:rPr>
          <w:rFonts w:asciiTheme="minorHAnsi" w:hAnsiTheme="minorHAnsi"/>
          <w:i/>
          <w:color w:val="000000" w:themeColor="text1"/>
          <w:shd w:val="clear" w:color="auto" w:fill="FFFFFF"/>
        </w:rPr>
        <w:t xml:space="preserve"> </w:t>
      </w:r>
      <w:hyperlink r:id="rId12" w:history="1">
        <w:r w:rsidRPr="00C6667B">
          <w:rPr>
            <w:rStyle w:val="Hyperlink"/>
            <w:rFonts w:asciiTheme="minorHAnsi" w:hAnsiTheme="minorHAnsi"/>
            <w:i/>
            <w:shd w:val="clear" w:color="auto" w:fill="FFFFFF"/>
          </w:rPr>
          <w:t>comunicado de prensa</w:t>
        </w:r>
      </w:hyperlink>
      <w:r w:rsidR="00A338AB" w:rsidRPr="00C6667B">
        <w:rPr>
          <w:rFonts w:asciiTheme="minorHAnsi" w:hAnsiTheme="minorHAnsi"/>
          <w:i/>
          <w:color w:val="000000" w:themeColor="text1"/>
          <w:shd w:val="clear" w:color="auto" w:fill="FFFFFF"/>
        </w:rPr>
        <w:t xml:space="preserve"> </w:t>
      </w:r>
      <w:r w:rsidRPr="00C6667B">
        <w:rPr>
          <w:rFonts w:asciiTheme="minorHAnsi" w:hAnsiTheme="minorHAnsi"/>
          <w:i/>
          <w:color w:val="000000" w:themeColor="text1"/>
          <w:shd w:val="clear" w:color="auto" w:fill="FFFFFF"/>
        </w:rPr>
        <w:t>el 13 de abril de 2017 y envió a las Misiones una carta</w:t>
      </w:r>
      <w:r w:rsidR="00A338AB" w:rsidRPr="00C6667B">
        <w:rPr>
          <w:rFonts w:asciiTheme="minorHAnsi" w:hAnsiTheme="minorHAnsi"/>
          <w:i/>
          <w:color w:val="000000" w:themeColor="text1"/>
          <w:shd w:val="clear" w:color="auto" w:fill="FFFFFF"/>
        </w:rPr>
        <w:t xml:space="preserve"> (</w:t>
      </w:r>
      <w:hyperlink r:id="rId13" w:history="1">
        <w:r w:rsidR="00A338AB" w:rsidRPr="00C6667B">
          <w:rPr>
            <w:rStyle w:val="Hyperlink"/>
            <w:rFonts w:asciiTheme="minorHAnsi" w:hAnsiTheme="minorHAnsi"/>
            <w:i/>
            <w:shd w:val="clear" w:color="auto" w:fill="FFFFFF"/>
          </w:rPr>
          <w:t>CL17/13</w:t>
        </w:r>
      </w:hyperlink>
      <w:r w:rsidR="00A338AB" w:rsidRPr="00C6667B">
        <w:rPr>
          <w:rFonts w:asciiTheme="minorHAnsi" w:hAnsiTheme="minorHAnsi"/>
          <w:i/>
          <w:color w:val="000000" w:themeColor="text1"/>
          <w:shd w:val="clear" w:color="auto" w:fill="FFFFFF"/>
        </w:rPr>
        <w:t>)</w:t>
      </w:r>
      <w:r w:rsidR="00A338AB" w:rsidRPr="00C6667B">
        <w:t xml:space="preserve"> </w:t>
      </w:r>
      <w:r w:rsidRPr="00C6667B">
        <w:rPr>
          <w:rFonts w:asciiTheme="minorHAnsi" w:hAnsiTheme="minorHAnsi"/>
          <w:i/>
          <w:color w:val="000000" w:themeColor="text1"/>
          <w:shd w:val="clear" w:color="auto" w:fill="FFFFFF"/>
        </w:rPr>
        <w:t>el 10 de abril de</w:t>
      </w:r>
      <w:r w:rsidR="00A338AB" w:rsidRPr="00C6667B">
        <w:rPr>
          <w:rFonts w:asciiTheme="minorHAnsi" w:hAnsiTheme="minorHAnsi"/>
          <w:i/>
          <w:color w:val="000000" w:themeColor="text1"/>
          <w:shd w:val="clear" w:color="auto" w:fill="FFFFFF"/>
        </w:rPr>
        <w:t xml:space="preserve"> 2017.</w:t>
      </w:r>
      <w:bookmarkEnd w:id="53"/>
      <w:r w:rsidR="00A338AB" w:rsidRPr="00C6667B">
        <w:rPr>
          <w:rFonts w:asciiTheme="minorHAnsi" w:hAnsiTheme="minorHAnsi"/>
          <w:i/>
          <w:color w:val="000000" w:themeColor="text1"/>
          <w:shd w:val="clear" w:color="auto" w:fill="FFFFFF"/>
        </w:rPr>
        <w:t xml:space="preserve"> </w:t>
      </w:r>
      <w:bookmarkStart w:id="54" w:name="lt_pId085"/>
      <w:r w:rsidRPr="00C6667B">
        <w:rPr>
          <w:rFonts w:asciiTheme="minorHAnsi" w:hAnsiTheme="minorHAnsi"/>
          <w:i/>
          <w:color w:val="000000" w:themeColor="text1"/>
          <w:shd w:val="clear" w:color="auto" w:fill="FFFFFF"/>
        </w:rPr>
        <w:t>El documento inicial del concurso (en inglés y francés) puede descargarse gratuitamente en inglés y francés desde el sitio web de la UIT, el sitio web del UNGM y (tras la inscripción como ofertante) el sitio web del SIMAP</w:t>
      </w:r>
      <w:r w:rsidR="00A338AB" w:rsidRPr="00C6667B">
        <w:rPr>
          <w:rFonts w:asciiTheme="minorHAnsi" w:hAnsiTheme="minorHAnsi"/>
          <w:i/>
          <w:color w:val="000000" w:themeColor="text1"/>
          <w:shd w:val="clear" w:color="auto" w:fill="FFFFFF"/>
        </w:rPr>
        <w:t>.</w:t>
      </w:r>
      <w:bookmarkEnd w:id="54"/>
      <w:r w:rsidR="00A338AB" w:rsidRPr="00C6667B">
        <w:rPr>
          <w:rFonts w:asciiTheme="minorHAnsi" w:hAnsiTheme="minorHAnsi"/>
          <w:i/>
          <w:iCs/>
          <w:color w:val="000000" w:themeColor="text1"/>
          <w:szCs w:val="24"/>
        </w:rPr>
        <w:t xml:space="preserve"> </w:t>
      </w:r>
      <w:bookmarkStart w:id="55" w:name="lt_pId086"/>
      <w:r w:rsidRPr="00C6667B">
        <w:rPr>
          <w:rFonts w:asciiTheme="minorHAnsi" w:hAnsiTheme="minorHAnsi"/>
          <w:i/>
          <w:iCs/>
          <w:color w:val="000000" w:themeColor="text1"/>
          <w:szCs w:val="24"/>
        </w:rPr>
        <w:t>La UIT ha traducido al inglés el registro de datos de información del concurso del sitio del SIMAP en francés, que ya está disponible para su descarga. El documento inicial del concurso en inglés también puede descargarse desde menús en inglés únicamente</w:t>
      </w:r>
      <w:bookmarkStart w:id="56" w:name="lt_pId087"/>
      <w:bookmarkEnd w:id="55"/>
      <w:r w:rsidR="00A338AB" w:rsidRPr="00C6667B">
        <w:rPr>
          <w:rFonts w:asciiTheme="minorHAnsi" w:hAnsiTheme="minorHAnsi"/>
          <w:i/>
          <w:color w:val="000000" w:themeColor="text1"/>
          <w:shd w:val="clear" w:color="auto" w:fill="FFFFFF"/>
        </w:rPr>
        <w:t>.</w:t>
      </w:r>
      <w:bookmarkEnd w:id="56"/>
    </w:p>
    <w:p w:rsidR="00A338AB" w:rsidRPr="00C6667B" w:rsidRDefault="00A338AB" w:rsidP="006B305C">
      <w:r w:rsidRPr="00C6667B">
        <w:t>3.4</w:t>
      </w:r>
      <w:r w:rsidRPr="00C6667B">
        <w:tab/>
      </w:r>
      <w:bookmarkStart w:id="57" w:name="lt_pId089"/>
      <w:r w:rsidR="00092C2B" w:rsidRPr="00C6667B">
        <w:t xml:space="preserve">El GAEM también recomendó que la </w:t>
      </w:r>
      <w:r w:rsidR="005D23F9" w:rsidRPr="00C6667B">
        <w:t xml:space="preserve">Secretaría </w:t>
      </w:r>
      <w:r w:rsidR="00092C2B" w:rsidRPr="00C6667B">
        <w:t>estudiase y, de ser posible, concediese una ampliación de los plazos de presentaci</w:t>
      </w:r>
      <w:r w:rsidR="002D5FF6" w:rsidRPr="00C6667B">
        <w:t>ón de preguntas y de inscripción de una semana para compensar la tardanza en la publicación de la versión en inglés del documento del concurso y las instrucciones del portal</w:t>
      </w:r>
      <w:r w:rsidRPr="00C6667B">
        <w:t>.</w:t>
      </w:r>
      <w:bookmarkEnd w:id="57"/>
    </w:p>
    <w:p w:rsidR="00A338AB" w:rsidRPr="00C6667B" w:rsidRDefault="002D5FF6" w:rsidP="006B305C">
      <w:pPr>
        <w:pStyle w:val="Normalaftertitle"/>
        <w:tabs>
          <w:tab w:val="clear" w:pos="567"/>
          <w:tab w:val="clear" w:pos="1134"/>
          <w:tab w:val="clear" w:pos="1701"/>
          <w:tab w:val="clear" w:pos="2268"/>
          <w:tab w:val="clear" w:pos="2835"/>
        </w:tabs>
        <w:snapToGrid w:val="0"/>
        <w:spacing w:before="120" w:after="120"/>
        <w:jc w:val="both"/>
      </w:pPr>
      <w:bookmarkStart w:id="58" w:name="lt_pId090"/>
      <w:r w:rsidRPr="00C6667B">
        <w:rPr>
          <w:rFonts w:asciiTheme="minorHAnsi" w:hAnsiTheme="minorHAnsi"/>
          <w:i/>
          <w:color w:val="000000" w:themeColor="text1"/>
          <w:shd w:val="clear" w:color="auto" w:fill="FFFFFF"/>
        </w:rPr>
        <w:t xml:space="preserve">La </w:t>
      </w:r>
      <w:r w:rsidR="002E1C42" w:rsidRPr="00C6667B">
        <w:rPr>
          <w:rFonts w:asciiTheme="minorHAnsi" w:hAnsiTheme="minorHAnsi"/>
          <w:i/>
          <w:color w:val="000000" w:themeColor="text1"/>
          <w:shd w:val="clear" w:color="auto" w:fill="FFFFFF"/>
        </w:rPr>
        <w:t xml:space="preserve">Secretaría </w:t>
      </w:r>
      <w:r w:rsidRPr="00C6667B">
        <w:rPr>
          <w:rFonts w:asciiTheme="minorHAnsi" w:hAnsiTheme="minorHAnsi"/>
          <w:i/>
          <w:color w:val="000000" w:themeColor="text1"/>
          <w:shd w:val="clear" w:color="auto" w:fill="FFFFFF"/>
        </w:rPr>
        <w:t>celebró consultas con la</w:t>
      </w:r>
      <w:r w:rsidR="00A338AB" w:rsidRPr="00C6667B">
        <w:rPr>
          <w:rFonts w:asciiTheme="minorHAnsi" w:hAnsiTheme="minorHAnsi"/>
          <w:i/>
          <w:color w:val="000000" w:themeColor="text1"/>
          <w:shd w:val="clear" w:color="auto" w:fill="FFFFFF"/>
        </w:rPr>
        <w:t xml:space="preserve"> FIPOI, </w:t>
      </w:r>
      <w:r w:rsidRPr="00C6667B">
        <w:rPr>
          <w:rFonts w:asciiTheme="minorHAnsi" w:hAnsiTheme="minorHAnsi"/>
          <w:i/>
          <w:color w:val="000000" w:themeColor="text1"/>
          <w:shd w:val="clear" w:color="auto" w:fill="FFFFFF"/>
        </w:rPr>
        <w:t>el coordinador y el abogado del coordinador. El abogado externo y la Unidad de Asuntos Jurídicos opinan que ese proceder supondría un serio riesgo jurídico</w:t>
      </w:r>
      <w:bookmarkStart w:id="59" w:name="lt_pId091"/>
      <w:bookmarkEnd w:id="58"/>
      <w:r w:rsidR="00A338AB" w:rsidRPr="00C6667B">
        <w:rPr>
          <w:i/>
          <w:iCs/>
          <w:color w:val="000000"/>
        </w:rPr>
        <w:t>.</w:t>
      </w:r>
      <w:bookmarkEnd w:id="59"/>
    </w:p>
    <w:p w:rsidR="00A338AB" w:rsidRPr="00C6667B" w:rsidRDefault="00A338AB" w:rsidP="006B305C">
      <w:r w:rsidRPr="00C6667B">
        <w:lastRenderedPageBreak/>
        <w:t>3.5</w:t>
      </w:r>
      <w:r w:rsidRPr="00C6667B">
        <w:tab/>
      </w:r>
      <w:bookmarkStart w:id="60" w:name="lt_pId093"/>
      <w:r w:rsidR="002F63C1" w:rsidRPr="00C6667B">
        <w:t xml:space="preserve">Se comunicó al GAEM la propuesta del CAIG de considerar la posibilidad de contratar, previo concurso, a una empresa profesional de gestión de proyectos con experiencia en grandes proyectos de construcción, capaz de auditar y revisar los controles de gobernanza y gestión previstos en fases clave a lo largo de la construcción. El GAEM consideró que no era necesario por el momento, dada la amplitud de la gobernanza prevista por el Consejo, pero recomendó que se nombrase a un experto externo con experiencia en la gestión de grandes proyectos de construcción como asesor de la Junta de Gestión (según prevé el Acuerdo del Consejo). La </w:t>
      </w:r>
      <w:r w:rsidR="00AE74D8" w:rsidRPr="00C6667B">
        <w:t xml:space="preserve">Secretaría </w:t>
      </w:r>
      <w:r w:rsidR="002F63C1" w:rsidRPr="00C6667B">
        <w:t>ofrecerá un contrato temporal vinculado al proyecto para un consultor en arquitectura técnica/ingeniería civil que preste apoyo a la Junta de Gestión y entre en funciones en el tercer trimestre de 2017. El puesto se financiará a cargo del proyecto</w:t>
      </w:r>
      <w:bookmarkStart w:id="61" w:name="lt_pId095"/>
      <w:bookmarkEnd w:id="60"/>
      <w:r w:rsidRPr="00C6667B">
        <w:t>.</w:t>
      </w:r>
      <w:bookmarkEnd w:id="61"/>
      <w:r w:rsidRPr="00C6667B">
        <w:t xml:space="preserve"> </w:t>
      </w:r>
    </w:p>
    <w:p w:rsidR="00A338AB" w:rsidRPr="00C6667B" w:rsidRDefault="00A338AB" w:rsidP="006B305C">
      <w:r w:rsidRPr="00C6667B">
        <w:t>3.6</w:t>
      </w:r>
      <w:r w:rsidRPr="00C6667B">
        <w:tab/>
      </w:r>
      <w:bookmarkStart w:id="62" w:name="lt_pId097"/>
      <w:r w:rsidR="002F63C1" w:rsidRPr="00C6667B">
        <w:t>El GAEM solicitó que se publiquen los intercambios de pregu</w:t>
      </w:r>
      <w:r w:rsidR="00926683" w:rsidRPr="00C6667B">
        <w:t>n</w:t>
      </w:r>
      <w:r w:rsidR="002F63C1" w:rsidRPr="00C6667B">
        <w:t xml:space="preserve">tas y respuestas en los sitios del UNGM y de la UIT. La </w:t>
      </w:r>
      <w:r w:rsidR="00CD057C" w:rsidRPr="00C6667B">
        <w:t xml:space="preserve">Secretaría </w:t>
      </w:r>
      <w:r w:rsidR="002F63C1" w:rsidRPr="00C6667B">
        <w:t>así lo hará</w:t>
      </w:r>
      <w:bookmarkStart w:id="63" w:name="lt_pId098"/>
      <w:bookmarkEnd w:id="62"/>
      <w:r w:rsidRPr="00C6667B">
        <w:t>.</w:t>
      </w:r>
      <w:bookmarkEnd w:id="63"/>
    </w:p>
    <w:p w:rsidR="00A338AB" w:rsidRPr="00C6667B" w:rsidRDefault="00A338AB" w:rsidP="006B305C">
      <w:r w:rsidRPr="00C6667B">
        <w:br w:type="page"/>
      </w:r>
    </w:p>
    <w:p w:rsidR="002B0A3A" w:rsidRPr="00C6667B" w:rsidRDefault="00696E3B" w:rsidP="006B305C">
      <w:pPr>
        <w:pStyle w:val="AnnexNo"/>
      </w:pPr>
      <w:r w:rsidRPr="00C6667B">
        <w:lastRenderedPageBreak/>
        <w:t>ANEXO 1</w:t>
      </w:r>
    </w:p>
    <w:p w:rsidR="002B0A3A" w:rsidRPr="00C6667B" w:rsidRDefault="002F7810" w:rsidP="00576B9B">
      <w:pPr>
        <w:pStyle w:val="Annextitle"/>
        <w:rPr>
          <w:b w:val="0"/>
          <w:bCs/>
          <w:szCs w:val="28"/>
          <w:lang w:eastAsia="ja-JP"/>
        </w:rPr>
      </w:pPr>
      <w:r w:rsidRPr="00C6667B">
        <w:t xml:space="preserve">PROYECTO DE SEDE DE LA </w:t>
      </w:r>
      <w:r w:rsidR="002B0A3A" w:rsidRPr="00C6667B">
        <w:t>UIT</w:t>
      </w:r>
      <w:r w:rsidR="00576B9B" w:rsidRPr="00C6667B">
        <w:br/>
      </w:r>
      <w:r w:rsidR="0052270E" w:rsidRPr="00C6667B">
        <w:t xml:space="preserve">Mandato del </w:t>
      </w:r>
      <w:r w:rsidR="002B0A3A" w:rsidRPr="00C6667B">
        <w:rPr>
          <w:bCs/>
          <w:szCs w:val="28"/>
          <w:lang w:eastAsia="ja-JP"/>
        </w:rPr>
        <w:t>Grupo Asesor de los Estados Miembros</w:t>
      </w:r>
      <w:r w:rsidR="00983115" w:rsidRPr="00C6667B">
        <w:rPr>
          <w:bCs/>
          <w:szCs w:val="28"/>
          <w:lang w:eastAsia="ja-JP"/>
        </w:rPr>
        <w:t xml:space="preserve"> (GAEM)</w:t>
      </w:r>
    </w:p>
    <w:p w:rsidR="002B0A3A" w:rsidRPr="00C6667B" w:rsidRDefault="002B0A3A" w:rsidP="006B305C">
      <w:pPr>
        <w:tabs>
          <w:tab w:val="left" w:pos="794"/>
          <w:tab w:val="left" w:pos="1191"/>
          <w:tab w:val="left" w:pos="1588"/>
          <w:tab w:val="left" w:pos="1985"/>
        </w:tabs>
        <w:jc w:val="center"/>
        <w:rPr>
          <w:bCs/>
          <w:color w:val="000000" w:themeColor="text1"/>
        </w:rPr>
      </w:pPr>
      <w:bookmarkStart w:id="64" w:name="lt_pId102"/>
      <w:r w:rsidRPr="00C6667B">
        <w:rPr>
          <w:bCs/>
          <w:color w:val="000000" w:themeColor="text1"/>
        </w:rPr>
        <w:t>(a</w:t>
      </w:r>
      <w:r w:rsidR="002F63C1" w:rsidRPr="00C6667B">
        <w:rPr>
          <w:bCs/>
          <w:color w:val="000000" w:themeColor="text1"/>
        </w:rPr>
        <w:t>cordado en la 2ª reunión del GAEM, 11 de abril de 2017</w:t>
      </w:r>
      <w:r w:rsidRPr="00C6667B">
        <w:rPr>
          <w:bCs/>
          <w:color w:val="000000" w:themeColor="text1"/>
        </w:rPr>
        <w:t>)</w:t>
      </w:r>
      <w:bookmarkEnd w:id="64"/>
    </w:p>
    <w:p w:rsidR="002B0A3A" w:rsidRPr="00C6667B" w:rsidRDefault="00514FC8" w:rsidP="006B305C">
      <w:pPr>
        <w:pStyle w:val="Heading1"/>
      </w:pPr>
      <w:r w:rsidRPr="00C6667B">
        <w:t>1</w:t>
      </w:r>
      <w:r w:rsidRPr="00C6667B">
        <w:tab/>
      </w:r>
      <w:r w:rsidR="002B0A3A" w:rsidRPr="00C6667B">
        <w:t>Antecedentes</w:t>
      </w:r>
    </w:p>
    <w:p w:rsidR="002B0A3A" w:rsidRPr="00C6667B" w:rsidRDefault="00B73D37" w:rsidP="006B305C">
      <w:r w:rsidRPr="00C6667B">
        <w:t>1.1</w:t>
      </w:r>
      <w:r w:rsidRPr="00C6667B">
        <w:tab/>
      </w:r>
      <w:r w:rsidR="002B0A3A" w:rsidRPr="00C6667B">
        <w:t>La reunión ordinaria de 2016 del Consejo de la UIT determinó en su Acuerdo 588 sobre las instalaciones de</w:t>
      </w:r>
      <w:r w:rsidR="000D4904" w:rsidRPr="00C6667B">
        <w:t xml:space="preserve"> </w:t>
      </w:r>
      <w:r w:rsidR="002B0A3A" w:rsidRPr="00C6667B">
        <w:t>la Sede, entre otras cosas, establecer un órgano asesor de los Estados Miembros encargado de prestar</w:t>
      </w:r>
      <w:r w:rsidR="000D4904" w:rsidRPr="00C6667B">
        <w:t xml:space="preserve"> </w:t>
      </w:r>
      <w:r w:rsidR="002B0A3A" w:rsidRPr="00C6667B">
        <w:t>asesoramiento independiente e imparcial al Consejo y al Secretario General.</w:t>
      </w:r>
    </w:p>
    <w:p w:rsidR="002B0A3A" w:rsidRPr="00C6667B" w:rsidRDefault="00E7428D" w:rsidP="006B305C">
      <w:r w:rsidRPr="00C6667B">
        <w:t>1.2</w:t>
      </w:r>
      <w:r w:rsidRPr="00C6667B">
        <w:tab/>
      </w:r>
      <w:r w:rsidR="002B0A3A" w:rsidRPr="00C6667B">
        <w:t xml:space="preserve">La reunión de 2016 del Consejo aprobó el Documento </w:t>
      </w:r>
      <w:hyperlink r:id="rId14" w:history="1">
        <w:r w:rsidR="00C042BF" w:rsidRPr="00C6667B">
          <w:rPr>
            <w:rStyle w:val="Hyperlink"/>
          </w:rPr>
          <w:t>C16/1</w:t>
        </w:r>
        <w:r w:rsidR="00C042BF" w:rsidRPr="00C6667B">
          <w:rPr>
            <w:rStyle w:val="Hyperlink"/>
          </w:rPr>
          <w:t>0</w:t>
        </w:r>
        <w:r w:rsidR="00C042BF" w:rsidRPr="00C6667B">
          <w:rPr>
            <w:rStyle w:val="Hyperlink"/>
          </w:rPr>
          <w:t>7(</w:t>
        </w:r>
        <w:r w:rsidR="002B0A3A" w:rsidRPr="00C6667B">
          <w:rPr>
            <w:rStyle w:val="Hyperlink"/>
          </w:rPr>
          <w:t>Rev.1</w:t>
        </w:r>
        <w:r w:rsidR="00C042BF" w:rsidRPr="00C6667B">
          <w:rPr>
            <w:rStyle w:val="Hyperlink"/>
          </w:rPr>
          <w:t>)</w:t>
        </w:r>
      </w:hyperlink>
      <w:r w:rsidR="002B0A3A" w:rsidRPr="00C6667B">
        <w:t>, Propuesta de estructura de</w:t>
      </w:r>
      <w:r w:rsidR="00062E82" w:rsidRPr="00C6667B">
        <w:t xml:space="preserve"> </w:t>
      </w:r>
      <w:r w:rsidR="002B0A3A" w:rsidRPr="00C6667B">
        <w:t>gobernanza para el proyecto de Sede de la UIT, con cambios de los nombres de los grupos de gobernanza</w:t>
      </w:r>
      <w:r w:rsidR="00062E82" w:rsidRPr="00C6667B">
        <w:t xml:space="preserve"> </w:t>
      </w:r>
      <w:r w:rsidR="002B0A3A" w:rsidRPr="00C6667B">
        <w:t>propuestos.</w:t>
      </w:r>
    </w:p>
    <w:p w:rsidR="002B0A3A" w:rsidRPr="00C6667B" w:rsidRDefault="003D5418" w:rsidP="00ED0B85">
      <w:r w:rsidRPr="00C6667B">
        <w:t>1.3</w:t>
      </w:r>
      <w:r w:rsidRPr="00C6667B">
        <w:tab/>
      </w:r>
      <w:r w:rsidR="002B0A3A" w:rsidRPr="00C6667B">
        <w:t xml:space="preserve">Se propone bautizar </w:t>
      </w:r>
      <w:r w:rsidR="00ED0B85" w:rsidRPr="00C6667B">
        <w:t>e</w:t>
      </w:r>
      <w:r w:rsidR="002B0A3A" w:rsidRPr="00C6667B">
        <w:t>l grupo asesor de los Estados Miembros sobre el proyecto de Sede de la UIT "Grupo</w:t>
      </w:r>
      <w:r w:rsidR="00983115" w:rsidRPr="00C6667B">
        <w:t xml:space="preserve"> </w:t>
      </w:r>
      <w:r w:rsidR="002B0A3A" w:rsidRPr="00C6667B">
        <w:t>Asesor de los Estados Miembros (GAEM)</w:t>
      </w:r>
      <w:r w:rsidR="00B12339" w:rsidRPr="00C6667B">
        <w:t>"</w:t>
      </w:r>
      <w:r w:rsidR="002B0A3A" w:rsidRPr="00C6667B">
        <w:t>.</w:t>
      </w:r>
    </w:p>
    <w:p w:rsidR="002B0A3A" w:rsidRPr="00C6667B" w:rsidRDefault="002B0A3A" w:rsidP="006B305C">
      <w:pPr>
        <w:pStyle w:val="Heading1"/>
      </w:pPr>
      <w:r w:rsidRPr="00C6667B">
        <w:t>2</w:t>
      </w:r>
      <w:r w:rsidR="00430145" w:rsidRPr="00C6667B">
        <w:tab/>
      </w:r>
      <w:r w:rsidRPr="00C6667B">
        <w:t>Finalidad del GAEM</w:t>
      </w:r>
    </w:p>
    <w:p w:rsidR="002B0A3A" w:rsidRPr="00C6667B" w:rsidRDefault="002B0A3A" w:rsidP="006B305C">
      <w:r w:rsidRPr="00C6667B">
        <w:t>De conformidad con las orientaciones sobre prácticas idóneas de la Dependencia Común de Inspección de</w:t>
      </w:r>
      <w:r w:rsidR="005E1D0E" w:rsidRPr="00C6667B">
        <w:t xml:space="preserve"> </w:t>
      </w:r>
      <w:r w:rsidRPr="00C6667B">
        <w:t>las Naciones Unidas, y a petición de los Estados Miembros, el GAEM ayudará a garantizar que:</w:t>
      </w:r>
    </w:p>
    <w:p w:rsidR="00E53217" w:rsidRPr="00C6667B" w:rsidRDefault="00E53217" w:rsidP="00E53217">
      <w:pPr>
        <w:pStyle w:val="enumlev1"/>
        <w:pBdr>
          <w:top w:val="single" w:sz="4" w:space="1" w:color="auto"/>
          <w:left w:val="single" w:sz="4" w:space="4" w:color="auto"/>
          <w:bottom w:val="single" w:sz="4" w:space="1" w:color="auto"/>
          <w:right w:val="single" w:sz="4" w:space="4" w:color="auto"/>
        </w:pBdr>
      </w:pPr>
      <w:r w:rsidRPr="00C6667B">
        <w:t>•</w:t>
      </w:r>
      <w:r w:rsidRPr="00C6667B">
        <w:tab/>
      </w:r>
      <w:r w:rsidRPr="00C6667B">
        <w:t>los Estados Miembros de la UIT ejercen una función de supervisión y control con respecto al proyecto de Sede de la UIT;</w:t>
      </w:r>
    </w:p>
    <w:p w:rsidR="00E53217" w:rsidRPr="00C6667B" w:rsidRDefault="00E53217" w:rsidP="00E53217">
      <w:pPr>
        <w:pStyle w:val="enumlev1"/>
        <w:pBdr>
          <w:top w:val="single" w:sz="4" w:space="1" w:color="auto"/>
          <w:left w:val="single" w:sz="4" w:space="4" w:color="auto"/>
          <w:bottom w:val="single" w:sz="4" w:space="1" w:color="auto"/>
          <w:right w:val="single" w:sz="4" w:space="4" w:color="auto"/>
        </w:pBdr>
      </w:pPr>
      <w:r w:rsidRPr="00C6667B">
        <w:t>•</w:t>
      </w:r>
      <w:r w:rsidRPr="00C6667B">
        <w:tab/>
      </w:r>
      <w:r w:rsidRPr="00C6667B">
        <w:t>el concepto y la ejecución del Proyecto atienden las necesidades y los objetivos de los Estados Miembros y los de la Unión.</w:t>
      </w:r>
    </w:p>
    <w:p w:rsidR="002B0A3A" w:rsidRPr="00C6667B" w:rsidRDefault="00753853" w:rsidP="006B305C">
      <w:pPr>
        <w:pStyle w:val="Heading1"/>
      </w:pPr>
      <w:r w:rsidRPr="00C6667B">
        <w:t>3</w:t>
      </w:r>
      <w:r w:rsidRPr="00C6667B">
        <w:tab/>
      </w:r>
      <w:r w:rsidR="002B0A3A" w:rsidRPr="00C6667B">
        <w:t>Función del GAEM</w:t>
      </w:r>
    </w:p>
    <w:p w:rsidR="002B0A3A" w:rsidRPr="00C6667B" w:rsidRDefault="00FF556B" w:rsidP="006B305C">
      <w:r w:rsidRPr="00C6667B">
        <w:t>3.1</w:t>
      </w:r>
      <w:r w:rsidRPr="00C6667B">
        <w:tab/>
      </w:r>
      <w:r w:rsidR="002B0A3A" w:rsidRPr="00C6667B">
        <w:t>El GAEM ha sido creado a fin de que los Estados Miembros tengan la oportunidad de que sus intereses estén</w:t>
      </w:r>
      <w:r w:rsidRPr="00C6667B">
        <w:t xml:space="preserve"> </w:t>
      </w:r>
      <w:r w:rsidR="002B0A3A" w:rsidRPr="00C6667B">
        <w:t>representados en el proyecto de Sede de la UIT de manera precisa, integradora y estructurada. Garantizará</w:t>
      </w:r>
      <w:r w:rsidR="00BA4853" w:rsidRPr="00C6667B">
        <w:t xml:space="preserve"> </w:t>
      </w:r>
      <w:r w:rsidR="002B0A3A" w:rsidRPr="00C6667B">
        <w:t>un proceso abierto, transparente y representativo de los intereses de todos los Estados Miembros de la</w:t>
      </w:r>
      <w:r w:rsidR="00BA4853" w:rsidRPr="00C6667B">
        <w:t xml:space="preserve"> </w:t>
      </w:r>
      <w:r w:rsidR="002B0A3A" w:rsidRPr="00C6667B">
        <w:t>Unión.</w:t>
      </w:r>
    </w:p>
    <w:p w:rsidR="002B0A3A" w:rsidRPr="00C6667B" w:rsidRDefault="007925EF" w:rsidP="006B305C">
      <w:r w:rsidRPr="00C6667B">
        <w:t>3.2</w:t>
      </w:r>
      <w:r w:rsidRPr="00C6667B">
        <w:tab/>
      </w:r>
      <w:r w:rsidR="002B0A3A" w:rsidRPr="00C6667B">
        <w:t>El GAEM formulará recomendaciones y ofrecerá asesoramiento general sobre los aspectos principales del</w:t>
      </w:r>
      <w:r w:rsidRPr="00C6667B">
        <w:t xml:space="preserve"> </w:t>
      </w:r>
      <w:r w:rsidR="002B0A3A" w:rsidRPr="00C6667B">
        <w:t>proyecto al Consejo y a la Secretaría General.</w:t>
      </w:r>
    </w:p>
    <w:p w:rsidR="002B0A3A" w:rsidRPr="00C6667B" w:rsidRDefault="007925EF" w:rsidP="006B305C">
      <w:r w:rsidRPr="00C6667B">
        <w:t>3.3</w:t>
      </w:r>
      <w:r w:rsidRPr="00C6667B">
        <w:tab/>
      </w:r>
      <w:r w:rsidR="002B0A3A" w:rsidRPr="00C6667B">
        <w:t>Los insumos serán transmitidos por el GAEM al equipo de gestión de proyecto de la UIT durante todos los</w:t>
      </w:r>
      <w:r w:rsidRPr="00C6667B">
        <w:t xml:space="preserve"> </w:t>
      </w:r>
      <w:r w:rsidR="002B0A3A" w:rsidRPr="00C6667B">
        <w:t>procesos de planificación y ejecución en forma de información, comentarios y recomendaciones que serán</w:t>
      </w:r>
      <w:r w:rsidRPr="00C6667B">
        <w:t xml:space="preserve"> </w:t>
      </w:r>
      <w:r w:rsidR="002B0A3A" w:rsidRPr="00C6667B">
        <w:t>examinados por el equipo de gestión de proyecto al desarrollar y aplicar el proyecto. Además, el GAEM será</w:t>
      </w:r>
      <w:r w:rsidRPr="00C6667B">
        <w:t xml:space="preserve"> </w:t>
      </w:r>
      <w:r w:rsidR="002B0A3A" w:rsidRPr="00C6667B">
        <w:t>esencial para asesorar al equipo de gestión de proyecto sobre los asuntos que precisan una mayor</w:t>
      </w:r>
      <w:r w:rsidRPr="00C6667B">
        <w:t xml:space="preserve"> </w:t>
      </w:r>
      <w:r w:rsidR="002B0A3A" w:rsidRPr="00C6667B">
        <w:t>participación de los Estados Miembros, en particular en lo que respecta a cuestiones que tienen</w:t>
      </w:r>
      <w:r w:rsidRPr="00C6667B">
        <w:t xml:space="preserve"> </w:t>
      </w:r>
      <w:r w:rsidR="002B0A3A" w:rsidRPr="00C6667B">
        <w:t>consecuencias significativas en el presupuesto y el calendario del proyecto.</w:t>
      </w:r>
    </w:p>
    <w:p w:rsidR="009307E2" w:rsidRPr="00C6667B" w:rsidRDefault="009307E2" w:rsidP="006B305C">
      <w:r w:rsidRPr="00C6667B">
        <w:lastRenderedPageBreak/>
        <w:t>3.4</w:t>
      </w:r>
      <w:r w:rsidRPr="00C6667B">
        <w:tab/>
      </w:r>
      <w:r w:rsidR="002B0A3A" w:rsidRPr="00C6667B">
        <w:t>El GAEM es un órgano asesor y, por consiguiente, no puede tomar decisiones. El Secretario General es el</w:t>
      </w:r>
      <w:r w:rsidRPr="00C6667B">
        <w:t xml:space="preserve"> </w:t>
      </w:r>
      <w:r w:rsidR="002B0A3A" w:rsidRPr="00C6667B">
        <w:t>único responsable de tomar decisiones y rea</w:t>
      </w:r>
      <w:r w:rsidRPr="00C6667B">
        <w:t>lizar proyectos, según el caso.</w:t>
      </w:r>
    </w:p>
    <w:p w:rsidR="002B0A3A" w:rsidRPr="00C6667B" w:rsidRDefault="009307E2" w:rsidP="006B305C">
      <w:pPr>
        <w:pStyle w:val="Heading1"/>
      </w:pPr>
      <w:r w:rsidRPr="00C6667B">
        <w:t>4</w:t>
      </w:r>
      <w:r w:rsidRPr="00C6667B">
        <w:tab/>
      </w:r>
      <w:r w:rsidR="002B0A3A" w:rsidRPr="00C6667B">
        <w:t>Responsabilidades del GAEM</w:t>
      </w:r>
    </w:p>
    <w:p w:rsidR="002B0A3A" w:rsidRPr="00C6667B" w:rsidRDefault="00535091" w:rsidP="006B305C">
      <w:pPr>
        <w:pStyle w:val="enumlev1"/>
      </w:pPr>
      <w:r w:rsidRPr="00C6667B">
        <w:t>•</w:t>
      </w:r>
      <w:r w:rsidRPr="00C6667B">
        <w:tab/>
      </w:r>
      <w:r w:rsidR="002B0A3A" w:rsidRPr="00C6667B">
        <w:t>Organizar sus propias reuniones y reunirse, según el caso, con el equipo de gestión de proyecto,</w:t>
      </w:r>
      <w:r w:rsidRPr="00C6667B">
        <w:t xml:space="preserve"> </w:t>
      </w:r>
      <w:r w:rsidR="002B0A3A" w:rsidRPr="00C6667B">
        <w:t>para controlar y supervisar las distintas etapas de los procesos de diseño, construcción y</w:t>
      </w:r>
      <w:r w:rsidRPr="00C6667B">
        <w:t xml:space="preserve"> </w:t>
      </w:r>
      <w:r w:rsidR="002B0A3A" w:rsidRPr="00C6667B">
        <w:t>renovación.</w:t>
      </w:r>
    </w:p>
    <w:p w:rsidR="002B0A3A" w:rsidRPr="00C6667B" w:rsidRDefault="00535091" w:rsidP="006B305C">
      <w:pPr>
        <w:pStyle w:val="enumlev1"/>
      </w:pPr>
      <w:r w:rsidRPr="00C6667B">
        <w:t>•</w:t>
      </w:r>
      <w:r w:rsidRPr="00C6667B">
        <w:tab/>
      </w:r>
      <w:r w:rsidR="002B0A3A" w:rsidRPr="00C6667B">
        <w:t>Ofrecer asesoramiento y recomendaciones de carácter general, según proceda, sobre la</w:t>
      </w:r>
      <w:r w:rsidRPr="00C6667B">
        <w:t xml:space="preserve"> </w:t>
      </w:r>
      <w:r w:rsidR="002B0A3A" w:rsidRPr="00C6667B">
        <w:t>realización del proyecto, con objeto de garantizar el respeto del plazo y de las provisiones</w:t>
      </w:r>
      <w:r w:rsidRPr="00C6667B">
        <w:t xml:space="preserve"> </w:t>
      </w:r>
      <w:r w:rsidR="002B0A3A" w:rsidRPr="00C6667B">
        <w:t>presupuestarias.</w:t>
      </w:r>
    </w:p>
    <w:p w:rsidR="002B0A3A" w:rsidRPr="00C6667B" w:rsidRDefault="00535091" w:rsidP="006B305C">
      <w:pPr>
        <w:pStyle w:val="enumlev1"/>
      </w:pPr>
      <w:r w:rsidRPr="00C6667B">
        <w:t>•</w:t>
      </w:r>
      <w:r w:rsidRPr="00C6667B">
        <w:tab/>
      </w:r>
      <w:r w:rsidR="002B0A3A" w:rsidRPr="00C6667B">
        <w:t>Asesorar al equipo de gestión de proyecto sobre las mejores posibilidades de aumentar la</w:t>
      </w:r>
      <w:r w:rsidRPr="00C6667B">
        <w:t xml:space="preserve"> </w:t>
      </w:r>
      <w:r w:rsidR="002B0A3A" w:rsidRPr="00C6667B">
        <w:t>participación de los Estados Miembros y la comunicación de información esencial sobre el</w:t>
      </w:r>
      <w:r w:rsidRPr="00C6667B">
        <w:t xml:space="preserve"> </w:t>
      </w:r>
      <w:r w:rsidR="002B0A3A" w:rsidRPr="00C6667B">
        <w:t>proyecto.</w:t>
      </w:r>
    </w:p>
    <w:p w:rsidR="002B0A3A" w:rsidRPr="00C6667B" w:rsidRDefault="00535091" w:rsidP="006B305C">
      <w:pPr>
        <w:pStyle w:val="enumlev1"/>
      </w:pPr>
      <w:r w:rsidRPr="00C6667B">
        <w:t>•</w:t>
      </w:r>
      <w:r w:rsidRPr="00C6667B">
        <w:tab/>
      </w:r>
      <w:r w:rsidR="002B0A3A" w:rsidRPr="00C6667B">
        <w:t>Velar por que los miembros del GAEM se coordinen con otros Estados Miembros de sus</w:t>
      </w:r>
      <w:r w:rsidRPr="00C6667B">
        <w:t xml:space="preserve"> </w:t>
      </w:r>
      <w:r w:rsidR="002B0A3A" w:rsidRPr="00C6667B">
        <w:t>respectivas regiones y se aseguren de que sus intereses están bien representados.</w:t>
      </w:r>
    </w:p>
    <w:p w:rsidR="002B0A3A" w:rsidRPr="00C6667B" w:rsidRDefault="002B0A3A" w:rsidP="006B305C">
      <w:pPr>
        <w:pStyle w:val="Heading1"/>
      </w:pPr>
      <w:r w:rsidRPr="00C6667B">
        <w:t>5</w:t>
      </w:r>
      <w:r w:rsidR="00E34CED" w:rsidRPr="00C6667B">
        <w:tab/>
      </w:r>
      <w:r w:rsidRPr="00C6667B">
        <w:t>Miembros</w:t>
      </w:r>
    </w:p>
    <w:p w:rsidR="002B0A3A" w:rsidRPr="00C6667B" w:rsidRDefault="00816149" w:rsidP="006B305C">
      <w:r w:rsidRPr="00C6667B">
        <w:t>5.1</w:t>
      </w:r>
      <w:r w:rsidRPr="00C6667B">
        <w:tab/>
      </w:r>
      <w:r w:rsidR="002B0A3A" w:rsidRPr="00C6667B">
        <w:t xml:space="preserve">Los miembros del GAEM son expertos representantes de un Estado Miembro de cada </w:t>
      </w:r>
      <w:r w:rsidR="004110AA" w:rsidRPr="00C6667B">
        <w:t xml:space="preserve">región </w:t>
      </w:r>
      <w:r w:rsidR="002B0A3A" w:rsidRPr="00C6667B">
        <w:t xml:space="preserve">de la UIT. </w:t>
      </w:r>
      <w:r w:rsidR="002F63C1" w:rsidRPr="00C6667B">
        <w:t xml:space="preserve">Las regiones podrán proponer además un representante suplente. </w:t>
      </w:r>
      <w:r w:rsidR="002B0A3A" w:rsidRPr="00C6667B">
        <w:t>El</w:t>
      </w:r>
      <w:r w:rsidRPr="00C6667B">
        <w:t xml:space="preserve"> </w:t>
      </w:r>
      <w:r w:rsidR="002B0A3A" w:rsidRPr="00C6667B">
        <w:t>nombramiento de los representantes propuestos será confirmado por el Secretario General.</w:t>
      </w:r>
    </w:p>
    <w:p w:rsidR="002B0A3A" w:rsidRPr="00C6667B" w:rsidRDefault="00151C90" w:rsidP="006B305C">
      <w:r w:rsidRPr="00C6667B">
        <w:t>5.2</w:t>
      </w:r>
      <w:r w:rsidRPr="00C6667B">
        <w:tab/>
      </w:r>
      <w:r w:rsidR="002B0A3A" w:rsidRPr="00C6667B">
        <w:t xml:space="preserve">La Secretaría de la UIT proporcionará apoyo, incluida la </w:t>
      </w:r>
      <w:r w:rsidR="003F7763" w:rsidRPr="00C6667B">
        <w:t xml:space="preserve">Secretaría </w:t>
      </w:r>
      <w:r w:rsidR="002B0A3A" w:rsidRPr="00C6667B">
        <w:t>del GAEM.</w:t>
      </w:r>
      <w:bookmarkStart w:id="65" w:name="_GoBack"/>
      <w:bookmarkEnd w:id="65"/>
    </w:p>
    <w:p w:rsidR="002B0A3A" w:rsidRPr="00C6667B" w:rsidRDefault="00143801" w:rsidP="006B305C">
      <w:r w:rsidRPr="00C6667B">
        <w:t>5.3</w:t>
      </w:r>
      <w:r w:rsidRPr="00C6667B">
        <w:tab/>
      </w:r>
      <w:r w:rsidR="002B0A3A" w:rsidRPr="00C6667B">
        <w:t>Los miembros ejercerán sus funciones a título personal. Si un miembro se retira del GAEM, o no puede</w:t>
      </w:r>
      <w:r w:rsidR="00126254" w:rsidRPr="00C6667B">
        <w:t xml:space="preserve"> </w:t>
      </w:r>
      <w:r w:rsidR="002B0A3A" w:rsidRPr="00C6667B">
        <w:t xml:space="preserve">seguir participando en él, </w:t>
      </w:r>
      <w:r w:rsidR="002F63C1" w:rsidRPr="00C6667B">
        <w:t>el miembro suplente ocupará su lugar y se nombrará a un nuevo miembro suplente de esa región a su debido tiempo</w:t>
      </w:r>
      <w:r w:rsidR="002B0A3A" w:rsidRPr="00C6667B">
        <w:t>.</w:t>
      </w:r>
    </w:p>
    <w:p w:rsidR="00E4113D" w:rsidRPr="00C6667B" w:rsidRDefault="00E4113D" w:rsidP="006B305C">
      <w:r w:rsidRPr="00C6667B">
        <w:t>5.4</w:t>
      </w:r>
      <w:r w:rsidRPr="00C6667B">
        <w:tab/>
      </w:r>
      <w:r w:rsidR="002F63C1" w:rsidRPr="00C6667B">
        <w:t xml:space="preserve">Los miembros podrán invitar a sus asistentes personales y expertos técnicos a las reuniones del GAEM, a las que asistirán ateniéndose a </w:t>
      </w:r>
      <w:r w:rsidR="00926683" w:rsidRPr="00C6667B">
        <w:t>una estricta obligación de confidencialidad en lo que respecta a todos los asuntos tratados por el GAEM</w:t>
      </w:r>
      <w:r w:rsidRPr="00C6667B">
        <w:t>.</w:t>
      </w:r>
    </w:p>
    <w:p w:rsidR="00F13705" w:rsidRPr="00C6667B" w:rsidRDefault="00E31EFD" w:rsidP="006B305C">
      <w:r w:rsidRPr="00C6667B">
        <w:t>5.5</w:t>
      </w:r>
      <w:r w:rsidRPr="00C6667B">
        <w:tab/>
        <w:t>El equilibrio de género se tendrá debidamente en cuenta.</w:t>
      </w:r>
    </w:p>
    <w:p w:rsidR="002B0A3A" w:rsidRPr="00C6667B" w:rsidRDefault="00F40B60" w:rsidP="006B305C">
      <w:pPr>
        <w:pStyle w:val="Heading1"/>
      </w:pPr>
      <w:r w:rsidRPr="00C6667B">
        <w:t>6</w:t>
      </w:r>
      <w:r w:rsidRPr="00C6667B">
        <w:tab/>
      </w:r>
      <w:r w:rsidR="002B0A3A" w:rsidRPr="00C6667B">
        <w:t>Condiciones de participación</w:t>
      </w:r>
    </w:p>
    <w:p w:rsidR="002B0A3A" w:rsidRPr="00C6667B" w:rsidRDefault="00B54723" w:rsidP="006B305C">
      <w:r w:rsidRPr="00C6667B">
        <w:t>6.1</w:t>
      </w:r>
      <w:r w:rsidRPr="00C6667B">
        <w:tab/>
      </w:r>
      <w:r w:rsidR="002B0A3A" w:rsidRPr="00C6667B">
        <w:t>Los miembros del GAEM serán nombrados para un mandato de por lo menos dos años. La eficacia puede</w:t>
      </w:r>
      <w:r w:rsidRPr="00C6667B">
        <w:t xml:space="preserve"> </w:t>
      </w:r>
      <w:r w:rsidR="002B0A3A" w:rsidRPr="00C6667B">
        <w:t>maximizarse si los miembros tienen los conocimientos necesarios para proyectos de construcción en gran</w:t>
      </w:r>
      <w:r w:rsidRPr="00C6667B">
        <w:t xml:space="preserve"> </w:t>
      </w:r>
      <w:r w:rsidR="002B0A3A" w:rsidRPr="00C6667B">
        <w:t>escala. Los miembros no recibirán dietas ni remuneración alguna de la UIT, de los contratistas que participan</w:t>
      </w:r>
      <w:r w:rsidRPr="00C6667B">
        <w:t xml:space="preserve"> </w:t>
      </w:r>
      <w:r w:rsidR="002B0A3A" w:rsidRPr="00C6667B">
        <w:t>en el proyecto ni de cualquier otra persona o entidad que esté relacionada con sus funciones en el GAEM.</w:t>
      </w:r>
    </w:p>
    <w:p w:rsidR="002B0A3A" w:rsidRPr="00C6667B" w:rsidRDefault="008D2EDA" w:rsidP="006B305C">
      <w:r w:rsidRPr="00C6667B">
        <w:t>6.2</w:t>
      </w:r>
      <w:r w:rsidRPr="00C6667B">
        <w:tab/>
      </w:r>
      <w:r w:rsidR="002B0A3A" w:rsidRPr="00C6667B">
        <w:t>Antes de que el Secretario General confirme su nombramiento como miembros del GAEM, los participantes</w:t>
      </w:r>
      <w:r w:rsidRPr="00C6667B">
        <w:t xml:space="preserve"> </w:t>
      </w:r>
      <w:r w:rsidR="002B0A3A" w:rsidRPr="00C6667B">
        <w:t>deberán rellenar un formulario de declaración de intereses de la UIT</w:t>
      </w:r>
      <w:r w:rsidR="00926683" w:rsidRPr="00C6667B">
        <w:t xml:space="preserve"> (que examinará el Secretario General, pudiendo consultar, si procede, con el Presidente del Consejo)</w:t>
      </w:r>
      <w:r w:rsidR="002B0A3A" w:rsidRPr="00C6667B">
        <w:t>.</w:t>
      </w:r>
    </w:p>
    <w:p w:rsidR="002B0A3A" w:rsidRPr="00C6667B" w:rsidRDefault="002B0A3A" w:rsidP="006B305C">
      <w:pPr>
        <w:pStyle w:val="Heading1"/>
      </w:pPr>
      <w:r w:rsidRPr="00C6667B">
        <w:lastRenderedPageBreak/>
        <w:t>7</w:t>
      </w:r>
      <w:r w:rsidR="00094338" w:rsidRPr="00C6667B">
        <w:tab/>
      </w:r>
      <w:r w:rsidRPr="00C6667B">
        <w:t>Método de trabajo</w:t>
      </w:r>
    </w:p>
    <w:p w:rsidR="002B0A3A" w:rsidRPr="00C6667B" w:rsidRDefault="00665D90" w:rsidP="006B305C">
      <w:pPr>
        <w:pStyle w:val="enumlev1"/>
      </w:pPr>
      <w:r w:rsidRPr="00C6667B">
        <w:t>•</w:t>
      </w:r>
      <w:r w:rsidRPr="00C6667B">
        <w:tab/>
      </w:r>
      <w:r w:rsidR="002B0A3A" w:rsidRPr="00C6667B">
        <w:t>El Presidente del GAEM será elegido entre sus miembros para un mandato de dos años.</w:t>
      </w:r>
    </w:p>
    <w:p w:rsidR="0040590A" w:rsidRPr="00C6667B" w:rsidRDefault="0040590A" w:rsidP="006B305C">
      <w:pPr>
        <w:pStyle w:val="enumlev1"/>
      </w:pPr>
      <w:r w:rsidRPr="00C6667B">
        <w:t>•</w:t>
      </w:r>
      <w:r w:rsidRPr="00C6667B">
        <w:tab/>
      </w:r>
      <w:r w:rsidR="00926683" w:rsidRPr="00C6667B">
        <w:t>Los miembros suplentes de las regiones podrán asistir a la reunión como observadores no participantes y también deberán rellenar el formulario de declaración de intereses privados, financieros y de otro tipo de la UIT</w:t>
      </w:r>
      <w:r w:rsidRPr="00C6667B">
        <w:rPr>
          <w:rFonts w:cs="TimesNewRoman"/>
          <w:color w:val="000000"/>
        </w:rPr>
        <w:t>.</w:t>
      </w:r>
    </w:p>
    <w:p w:rsidR="002B0A3A" w:rsidRPr="00C6667B" w:rsidRDefault="0018617C" w:rsidP="006B305C">
      <w:pPr>
        <w:pStyle w:val="enumlev1"/>
      </w:pPr>
      <w:r w:rsidRPr="00C6667B">
        <w:t>•</w:t>
      </w:r>
      <w:r w:rsidRPr="00C6667B">
        <w:tab/>
      </w:r>
      <w:r w:rsidR="002B0A3A" w:rsidRPr="00C6667B">
        <w:t>Se celebrarán por lo menos dos reuniones al año, o según lo acuerde el GAEM teniendo en cuenta</w:t>
      </w:r>
      <w:r w:rsidR="0038014C" w:rsidRPr="00C6667B">
        <w:t xml:space="preserve"> </w:t>
      </w:r>
      <w:r w:rsidR="002B0A3A" w:rsidRPr="00C6667B">
        <w:t>las necesidades del proyecto. Las reuniones podrán ser virtuales o presenciales en Ginebra. Se</w:t>
      </w:r>
      <w:r w:rsidR="00CD6F61" w:rsidRPr="00C6667B">
        <w:t xml:space="preserve"> </w:t>
      </w:r>
      <w:r w:rsidR="002B0A3A" w:rsidRPr="00C6667B">
        <w:t>podrá participar a distancia.</w:t>
      </w:r>
    </w:p>
    <w:p w:rsidR="002B0A3A" w:rsidRPr="00C6667B" w:rsidRDefault="00DA2A81" w:rsidP="006B305C">
      <w:pPr>
        <w:pStyle w:val="enumlev1"/>
      </w:pPr>
      <w:r w:rsidRPr="00C6667B">
        <w:t>•</w:t>
      </w:r>
      <w:r w:rsidRPr="00C6667B">
        <w:tab/>
      </w:r>
      <w:r w:rsidR="002B0A3A" w:rsidRPr="00C6667B">
        <w:t>El Presidente del GAEM o el Secretario General podrán invitar a otros observadores o expertos</w:t>
      </w:r>
      <w:r w:rsidR="00314673" w:rsidRPr="00C6667B">
        <w:t xml:space="preserve"> </w:t>
      </w:r>
      <w:r w:rsidR="002B0A3A" w:rsidRPr="00C6667B">
        <w:t>téc</w:t>
      </w:r>
      <w:r w:rsidR="002B4866" w:rsidRPr="00C6667B">
        <w:t xml:space="preserve">nicos a las reuniones del GAEM, </w:t>
      </w:r>
      <w:r w:rsidR="00926683" w:rsidRPr="00C6667B">
        <w:t>que también deberán rellenar el formulario de declaración de intereses privados, financieros y de otro tipo de la UIT</w:t>
      </w:r>
      <w:r w:rsidR="002B4866" w:rsidRPr="00C6667B">
        <w:t>.</w:t>
      </w:r>
    </w:p>
    <w:p w:rsidR="002B0A3A" w:rsidRPr="00C6667B" w:rsidRDefault="00624E38" w:rsidP="006B305C">
      <w:pPr>
        <w:pStyle w:val="enumlev1"/>
      </w:pPr>
      <w:r w:rsidRPr="00C6667B">
        <w:t>•</w:t>
      </w:r>
      <w:r w:rsidRPr="00C6667B">
        <w:tab/>
      </w:r>
      <w:r w:rsidR="002B0A3A" w:rsidRPr="00C6667B">
        <w:t>El GAEM tratará de formular recomendaciones y ofrecer asesoramiento a partir de un consenso. Si</w:t>
      </w:r>
      <w:r w:rsidR="00A64DFC" w:rsidRPr="00C6667B">
        <w:t xml:space="preserve"> </w:t>
      </w:r>
      <w:r w:rsidR="002B0A3A" w:rsidRPr="00C6667B">
        <w:t>no se obtiene un consenso sobre un punto determinado, se señalará una opinión mayoritaria o</w:t>
      </w:r>
      <w:r w:rsidR="00A64DFC" w:rsidRPr="00C6667B">
        <w:t xml:space="preserve"> </w:t>
      </w:r>
      <w:r w:rsidR="002B0A3A" w:rsidRPr="00C6667B">
        <w:t>minoritaria en los informes del GAEM</w:t>
      </w:r>
      <w:r w:rsidR="00495260" w:rsidRPr="00C6667B">
        <w:t>.</w:t>
      </w:r>
    </w:p>
    <w:p w:rsidR="002B0A3A" w:rsidRPr="00C6667B" w:rsidRDefault="00F0425A" w:rsidP="006B305C">
      <w:pPr>
        <w:pStyle w:val="enumlev1"/>
      </w:pPr>
      <w:r w:rsidRPr="00C6667B">
        <w:t>•</w:t>
      </w:r>
      <w:r w:rsidRPr="00C6667B">
        <w:tab/>
      </w:r>
      <w:r w:rsidR="002B0A3A" w:rsidRPr="00C6667B">
        <w:t>Las reuniones tendrán lugar en inglés.</w:t>
      </w:r>
    </w:p>
    <w:p w:rsidR="00726872" w:rsidRPr="00C6667B" w:rsidRDefault="00535577" w:rsidP="006B305C">
      <w:pPr>
        <w:pStyle w:val="enumlev1"/>
      </w:pPr>
      <w:r w:rsidRPr="00C6667B">
        <w:t>•</w:t>
      </w:r>
      <w:r w:rsidRPr="00C6667B">
        <w:tab/>
      </w:r>
      <w:r w:rsidR="002B0A3A" w:rsidRPr="00C6667B">
        <w:t>La Secretaría preparará un resumen escrito de los debates y comentarios de cada reunión y lo</w:t>
      </w:r>
      <w:r w:rsidRPr="00C6667B">
        <w:t xml:space="preserve"> </w:t>
      </w:r>
      <w:r w:rsidR="002B0A3A" w:rsidRPr="00C6667B">
        <w:t>someterá a la aprobación del GAEM. El Secretario General pondrá a la disposición del Consejo el</w:t>
      </w:r>
      <w:r w:rsidRPr="00C6667B">
        <w:t xml:space="preserve"> </w:t>
      </w:r>
      <w:r w:rsidR="002B0A3A" w:rsidRPr="00C6667B">
        <w:t>informe resumido de las recomendaciones y el asesoramiento fruto de cada reunión del GAEM.</w:t>
      </w:r>
    </w:p>
    <w:p w:rsidR="00B22E87" w:rsidRPr="00C6667B" w:rsidRDefault="00B22E87" w:rsidP="006B305C">
      <w:pPr>
        <w:pStyle w:val="Reasons"/>
      </w:pPr>
    </w:p>
    <w:p w:rsidR="00B22E87" w:rsidRPr="00C6667B" w:rsidRDefault="00B22E87" w:rsidP="006B305C">
      <w:pPr>
        <w:jc w:val="center"/>
      </w:pPr>
      <w:r w:rsidRPr="00C6667B">
        <w:t>______________</w:t>
      </w:r>
    </w:p>
    <w:p w:rsidR="00B22E87" w:rsidRPr="00C6667B" w:rsidRDefault="00B22E87" w:rsidP="006B305C">
      <w:pPr>
        <w:pStyle w:val="enumlev1"/>
      </w:pPr>
    </w:p>
    <w:sectPr w:rsidR="00B22E87" w:rsidRPr="00C6667B"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A38" w:rsidRDefault="00B45A38">
      <w:r>
        <w:separator/>
      </w:r>
    </w:p>
  </w:endnote>
  <w:endnote w:type="continuationSeparator" w:id="0">
    <w:p w:rsidR="00B45A38" w:rsidRDefault="00B4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79" w:rsidRPr="006B305C" w:rsidRDefault="00F43E79" w:rsidP="00F43E79">
    <w:pPr>
      <w:pStyle w:val="Footer"/>
      <w:rPr>
        <w:lang w:val="fr-CH"/>
      </w:rPr>
    </w:pPr>
    <w:r>
      <w:fldChar w:fldCharType="begin"/>
    </w:r>
    <w:r w:rsidRPr="006B305C">
      <w:rPr>
        <w:lang w:val="fr-CH"/>
      </w:rPr>
      <w:instrText xml:space="preserve"> FILENAME \p \* MERGEFORMAT </w:instrText>
    </w:r>
    <w:r>
      <w:fldChar w:fldCharType="separate"/>
    </w:r>
    <w:r w:rsidR="0009703A">
      <w:rPr>
        <w:lang w:val="fr-CH"/>
      </w:rPr>
      <w:t>P:\ESP\SG\CONSEIL\C17\000\099S.docx</w:t>
    </w:r>
    <w:r>
      <w:rPr>
        <w:lang w:val="en-US"/>
      </w:rPr>
      <w:fldChar w:fldCharType="end"/>
    </w:r>
    <w:r w:rsidRPr="006B305C">
      <w:rPr>
        <w:lang w:val="fr-CH"/>
      </w:rPr>
      <w:t xml:space="preserve"> (417507)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26683" w:rsidRDefault="00760F1C">
    <w:pPr>
      <w:spacing w:after="120"/>
      <w:jc w:val="center"/>
      <w:rPr>
        <w:lang w:val="en-US"/>
      </w:rPr>
    </w:pPr>
    <w:r w:rsidRPr="00926683">
      <w:rPr>
        <w:lang w:val="en-US"/>
      </w:rPr>
      <w:t xml:space="preserve">• </w:t>
    </w:r>
    <w:hyperlink r:id="rId1" w:history="1">
      <w:r w:rsidRPr="00926683">
        <w:rPr>
          <w:rStyle w:val="Hyperlink"/>
          <w:lang w:val="en-US"/>
        </w:rPr>
        <w:t>http://www.itu.int/council</w:t>
      </w:r>
    </w:hyperlink>
    <w:r w:rsidRPr="00926683">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A38" w:rsidRDefault="00B45A38">
      <w:r>
        <w:t>____________________</w:t>
      </w:r>
    </w:p>
  </w:footnote>
  <w:footnote w:type="continuationSeparator" w:id="0">
    <w:p w:rsidR="00B45A38" w:rsidRDefault="00B45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F7763">
      <w:rPr>
        <w:noProof/>
      </w:rPr>
      <w:t>7</w:t>
    </w:r>
    <w:r>
      <w:rPr>
        <w:noProof/>
      </w:rPr>
      <w:fldChar w:fldCharType="end"/>
    </w:r>
  </w:p>
  <w:p w:rsidR="00760F1C" w:rsidRDefault="00760F1C" w:rsidP="00B8298E">
    <w:pPr>
      <w:pStyle w:val="Header"/>
    </w:pPr>
    <w:r>
      <w:t>C</w:t>
    </w:r>
    <w:r w:rsidR="007F350B">
      <w:t>1</w:t>
    </w:r>
    <w:r w:rsidR="00B8298E">
      <w:t>7</w:t>
    </w:r>
    <w:r w:rsidR="008E2AF3">
      <w:t>/99</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7ED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9A32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B22B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6A05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A8BC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0C7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727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1A0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1A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6496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38"/>
    <w:rsid w:val="000260B1"/>
    <w:rsid w:val="00062E82"/>
    <w:rsid w:val="00074F70"/>
    <w:rsid w:val="00092C2B"/>
    <w:rsid w:val="00093EEB"/>
    <w:rsid w:val="00094338"/>
    <w:rsid w:val="0009703A"/>
    <w:rsid w:val="000B0D00"/>
    <w:rsid w:val="000B576A"/>
    <w:rsid w:val="000B7C15"/>
    <w:rsid w:val="000D1D0F"/>
    <w:rsid w:val="000D4904"/>
    <w:rsid w:val="000F5290"/>
    <w:rsid w:val="0010165C"/>
    <w:rsid w:val="00126254"/>
    <w:rsid w:val="00143801"/>
    <w:rsid w:val="00146BFB"/>
    <w:rsid w:val="001479BE"/>
    <w:rsid w:val="00151C90"/>
    <w:rsid w:val="00152154"/>
    <w:rsid w:val="00161BEB"/>
    <w:rsid w:val="0016713C"/>
    <w:rsid w:val="00177F2F"/>
    <w:rsid w:val="001836A0"/>
    <w:rsid w:val="0018617C"/>
    <w:rsid w:val="001B5988"/>
    <w:rsid w:val="001F14A2"/>
    <w:rsid w:val="00206FC1"/>
    <w:rsid w:val="00255D2F"/>
    <w:rsid w:val="002801AA"/>
    <w:rsid w:val="002B0A3A"/>
    <w:rsid w:val="002B4866"/>
    <w:rsid w:val="002B7539"/>
    <w:rsid w:val="002B7D9E"/>
    <w:rsid w:val="002C4676"/>
    <w:rsid w:val="002C6BE4"/>
    <w:rsid w:val="002C70B0"/>
    <w:rsid w:val="002D5FF6"/>
    <w:rsid w:val="002E1C42"/>
    <w:rsid w:val="002F3CC4"/>
    <w:rsid w:val="002F63C1"/>
    <w:rsid w:val="002F7810"/>
    <w:rsid w:val="00314673"/>
    <w:rsid w:val="003515C0"/>
    <w:rsid w:val="003732C6"/>
    <w:rsid w:val="0038014C"/>
    <w:rsid w:val="00385358"/>
    <w:rsid w:val="003D5418"/>
    <w:rsid w:val="003F7763"/>
    <w:rsid w:val="0040590A"/>
    <w:rsid w:val="004110AA"/>
    <w:rsid w:val="00430145"/>
    <w:rsid w:val="00495260"/>
    <w:rsid w:val="004A2475"/>
    <w:rsid w:val="004B6671"/>
    <w:rsid w:val="004C411D"/>
    <w:rsid w:val="005028DB"/>
    <w:rsid w:val="00513630"/>
    <w:rsid w:val="00514FC8"/>
    <w:rsid w:val="0052270E"/>
    <w:rsid w:val="00523382"/>
    <w:rsid w:val="00535091"/>
    <w:rsid w:val="00535577"/>
    <w:rsid w:val="00540178"/>
    <w:rsid w:val="00560125"/>
    <w:rsid w:val="00560847"/>
    <w:rsid w:val="00565E17"/>
    <w:rsid w:val="00576B9B"/>
    <w:rsid w:val="00585553"/>
    <w:rsid w:val="005B34D9"/>
    <w:rsid w:val="005D0CCF"/>
    <w:rsid w:val="005D23F9"/>
    <w:rsid w:val="005E1D0E"/>
    <w:rsid w:val="005F410F"/>
    <w:rsid w:val="0060149A"/>
    <w:rsid w:val="00601924"/>
    <w:rsid w:val="00603BB6"/>
    <w:rsid w:val="00624E38"/>
    <w:rsid w:val="00626521"/>
    <w:rsid w:val="006447EA"/>
    <w:rsid w:val="0064731F"/>
    <w:rsid w:val="006528A2"/>
    <w:rsid w:val="00665D90"/>
    <w:rsid w:val="006710F6"/>
    <w:rsid w:val="00696E3B"/>
    <w:rsid w:val="006B305C"/>
    <w:rsid w:val="006C1B56"/>
    <w:rsid w:val="006D4761"/>
    <w:rsid w:val="006F27C0"/>
    <w:rsid w:val="006F68AD"/>
    <w:rsid w:val="00725531"/>
    <w:rsid w:val="00726872"/>
    <w:rsid w:val="00741D10"/>
    <w:rsid w:val="00753853"/>
    <w:rsid w:val="00760F1C"/>
    <w:rsid w:val="007622E6"/>
    <w:rsid w:val="007657F0"/>
    <w:rsid w:val="0077252D"/>
    <w:rsid w:val="0078015A"/>
    <w:rsid w:val="00787187"/>
    <w:rsid w:val="007925EF"/>
    <w:rsid w:val="007E5DD3"/>
    <w:rsid w:val="007F350B"/>
    <w:rsid w:val="00804B7A"/>
    <w:rsid w:val="00816149"/>
    <w:rsid w:val="00820BE4"/>
    <w:rsid w:val="008451E8"/>
    <w:rsid w:val="008D2EDA"/>
    <w:rsid w:val="008E2AF3"/>
    <w:rsid w:val="009060F0"/>
    <w:rsid w:val="00913B9C"/>
    <w:rsid w:val="00926683"/>
    <w:rsid w:val="009307E2"/>
    <w:rsid w:val="0095054F"/>
    <w:rsid w:val="00956E77"/>
    <w:rsid w:val="00983115"/>
    <w:rsid w:val="009C4D42"/>
    <w:rsid w:val="00A14915"/>
    <w:rsid w:val="00A338AB"/>
    <w:rsid w:val="00A64DFC"/>
    <w:rsid w:val="00AA390C"/>
    <w:rsid w:val="00AE74D8"/>
    <w:rsid w:val="00AF0963"/>
    <w:rsid w:val="00B0200A"/>
    <w:rsid w:val="00B12339"/>
    <w:rsid w:val="00B22E87"/>
    <w:rsid w:val="00B443C7"/>
    <w:rsid w:val="00B45A38"/>
    <w:rsid w:val="00B54723"/>
    <w:rsid w:val="00B574DB"/>
    <w:rsid w:val="00B73D37"/>
    <w:rsid w:val="00B826C2"/>
    <w:rsid w:val="00B8298E"/>
    <w:rsid w:val="00B868D7"/>
    <w:rsid w:val="00BA4853"/>
    <w:rsid w:val="00BB1D89"/>
    <w:rsid w:val="00BD0723"/>
    <w:rsid w:val="00BD2518"/>
    <w:rsid w:val="00BF1D1C"/>
    <w:rsid w:val="00BF6D87"/>
    <w:rsid w:val="00C042BF"/>
    <w:rsid w:val="00C20C59"/>
    <w:rsid w:val="00C34739"/>
    <w:rsid w:val="00C450F1"/>
    <w:rsid w:val="00C52124"/>
    <w:rsid w:val="00C55B1F"/>
    <w:rsid w:val="00C6667B"/>
    <w:rsid w:val="00C84102"/>
    <w:rsid w:val="00CD057C"/>
    <w:rsid w:val="00CD6F61"/>
    <w:rsid w:val="00CF1A67"/>
    <w:rsid w:val="00D2750E"/>
    <w:rsid w:val="00D62446"/>
    <w:rsid w:val="00D64B89"/>
    <w:rsid w:val="00DA2A81"/>
    <w:rsid w:val="00DA36DD"/>
    <w:rsid w:val="00DA4EA2"/>
    <w:rsid w:val="00DC3D3E"/>
    <w:rsid w:val="00DC5B6D"/>
    <w:rsid w:val="00DE2C90"/>
    <w:rsid w:val="00DE3B24"/>
    <w:rsid w:val="00DE59AC"/>
    <w:rsid w:val="00E06947"/>
    <w:rsid w:val="00E17176"/>
    <w:rsid w:val="00E31EFD"/>
    <w:rsid w:val="00E34CED"/>
    <w:rsid w:val="00E3592D"/>
    <w:rsid w:val="00E4113D"/>
    <w:rsid w:val="00E43110"/>
    <w:rsid w:val="00E53217"/>
    <w:rsid w:val="00E64D90"/>
    <w:rsid w:val="00E7428D"/>
    <w:rsid w:val="00E92DE8"/>
    <w:rsid w:val="00E96505"/>
    <w:rsid w:val="00EB1212"/>
    <w:rsid w:val="00ED0B85"/>
    <w:rsid w:val="00ED4A73"/>
    <w:rsid w:val="00ED65AB"/>
    <w:rsid w:val="00F0425A"/>
    <w:rsid w:val="00F12850"/>
    <w:rsid w:val="00F12BF4"/>
    <w:rsid w:val="00F13705"/>
    <w:rsid w:val="00F33BF4"/>
    <w:rsid w:val="00F360F9"/>
    <w:rsid w:val="00F40B60"/>
    <w:rsid w:val="00F43E79"/>
    <w:rsid w:val="00F56741"/>
    <w:rsid w:val="00F7105E"/>
    <w:rsid w:val="00F75F57"/>
    <w:rsid w:val="00F82FEE"/>
    <w:rsid w:val="00F954A2"/>
    <w:rsid w:val="00FE7591"/>
    <w:rsid w:val="00FF11BD"/>
    <w:rsid w:val="00FF3906"/>
    <w:rsid w:val="00FF55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7168D8E-BFBB-4AFB-AE4B-1C0929B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semiHidden/>
    <w:unhideWhenUsed/>
    <w:rsid w:val="00C34739"/>
    <w:rPr>
      <w:sz w:val="16"/>
      <w:szCs w:val="16"/>
    </w:rPr>
  </w:style>
  <w:style w:type="paragraph" w:styleId="CommentText">
    <w:name w:val="annotation text"/>
    <w:basedOn w:val="Normal"/>
    <w:link w:val="CommentTextChar"/>
    <w:semiHidden/>
    <w:unhideWhenUsed/>
    <w:rsid w:val="00C34739"/>
    <w:rPr>
      <w:sz w:val="20"/>
    </w:rPr>
  </w:style>
  <w:style w:type="character" w:customStyle="1" w:styleId="CommentTextChar">
    <w:name w:val="Comment Text Char"/>
    <w:basedOn w:val="DefaultParagraphFont"/>
    <w:link w:val="CommentText"/>
    <w:semiHidden/>
    <w:rsid w:val="00C34739"/>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C34739"/>
    <w:rPr>
      <w:b/>
      <w:bCs/>
    </w:rPr>
  </w:style>
  <w:style w:type="character" w:customStyle="1" w:styleId="CommentSubjectChar">
    <w:name w:val="Comment Subject Char"/>
    <w:basedOn w:val="CommentTextChar"/>
    <w:link w:val="CommentSubject"/>
    <w:semiHidden/>
    <w:rsid w:val="00C34739"/>
    <w:rPr>
      <w:rFonts w:ascii="Calibri" w:hAnsi="Calibri"/>
      <w:b/>
      <w:bCs/>
      <w:lang w:val="es-ES_tradnl" w:eastAsia="en-US"/>
    </w:rPr>
  </w:style>
  <w:style w:type="paragraph" w:styleId="Revision">
    <w:name w:val="Revision"/>
    <w:hidden/>
    <w:uiPriority w:val="99"/>
    <w:semiHidden/>
    <w:rsid w:val="00C34739"/>
    <w:rPr>
      <w:rFonts w:ascii="Calibri" w:hAnsi="Calibri"/>
      <w:sz w:val="24"/>
      <w:lang w:val="es-ES_tradnl" w:eastAsia="en-US"/>
    </w:rPr>
  </w:style>
  <w:style w:type="paragraph" w:styleId="BalloonText">
    <w:name w:val="Balloon Text"/>
    <w:basedOn w:val="Normal"/>
    <w:link w:val="BalloonTextChar"/>
    <w:semiHidden/>
    <w:unhideWhenUsed/>
    <w:rsid w:val="00C347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34739"/>
    <w:rPr>
      <w:rFonts w:ascii="Segoe UI" w:hAnsi="Segoe UI" w:cs="Segoe UI"/>
      <w:sz w:val="18"/>
      <w:szCs w:val="18"/>
      <w:lang w:val="es-ES_tradnl" w:eastAsia="en-US"/>
    </w:rPr>
  </w:style>
  <w:style w:type="paragraph" w:customStyle="1" w:styleId="Heading">
    <w:name w:val="Heading"/>
    <w:basedOn w:val="Heading1"/>
    <w:rsid w:val="00A14915"/>
    <w:rPr>
      <w:rFonts w:asciiTheme="minorHAnsi" w:hAnsiTheme="minorHAnsi"/>
      <w:bCs/>
    </w:rPr>
  </w:style>
  <w:style w:type="character" w:customStyle="1" w:styleId="enumlev1Char">
    <w:name w:val="enumlev1 Char"/>
    <w:basedOn w:val="DefaultParagraphFont"/>
    <w:link w:val="enumlev1"/>
    <w:rsid w:val="00E53217"/>
    <w:rPr>
      <w:rFonts w:ascii="Calibri" w:hAnsi="Calibri"/>
      <w:sz w:val="24"/>
      <w:lang w:val="es-ES_tradnl" w:eastAsia="en-US"/>
    </w:rPr>
  </w:style>
  <w:style w:type="character" w:customStyle="1" w:styleId="Heading1Char">
    <w:name w:val="Heading 1 Char"/>
    <w:basedOn w:val="DefaultParagraphFont"/>
    <w:link w:val="Heading1"/>
    <w:rsid w:val="00E53217"/>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6-CL-C-0124/en" TargetMode="External"/><Relationship Id="rId13" Type="http://schemas.openxmlformats.org/officeDocument/2006/relationships/hyperlink" Target="https://www.itu.int/md/S17-SG-CIR-0013/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en/mediacentre/Pages/2017-PR16.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map.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Pages/hq-competition.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16-CL-C-0124/en" TargetMode="External"/><Relationship Id="rId14" Type="http://schemas.openxmlformats.org/officeDocument/2006/relationships/hyperlink" Target="https://www.itu.int/md/S16-CL-C-0107/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23</TotalTime>
  <Pages>7</Pages>
  <Words>2134</Words>
  <Characters>11355</Characters>
  <Application>Microsoft Office Word</Application>
  <DocSecurity>0</DocSecurity>
  <Lines>94</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13463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Ricardo Sáez Grau</dc:creator>
  <cp:keywords>C2010, C10</cp:keywords>
  <dc:description>Documento C17/-S  Para: _x000d_Fecha del documento: enero de 2017_x000d_Registrado por ITU51009317 a 15:32:38 el 06/04/2017</dc:description>
  <cp:lastModifiedBy>Ricardo Sáez Grau</cp:lastModifiedBy>
  <cp:revision>50</cp:revision>
  <cp:lastPrinted>2017-05-12T14:11:00Z</cp:lastPrinted>
  <dcterms:created xsi:type="dcterms:W3CDTF">2017-05-12T14:03:00Z</dcterms:created>
  <dcterms:modified xsi:type="dcterms:W3CDTF">2017-05-12T14:34:00Z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