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224A5" w:rsidTr="00AE5DA1">
        <w:trPr>
          <w:cantSplit/>
        </w:trPr>
        <w:tc>
          <w:tcPr>
            <w:tcW w:w="6911" w:type="dxa"/>
          </w:tcPr>
          <w:p w:rsidR="00BC7BC0" w:rsidRPr="000224A5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bookmarkStart w:id="0" w:name="_GoBack"/>
            <w:bookmarkEnd w:id="0"/>
            <w:r w:rsidRPr="000224A5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0224A5">
              <w:rPr>
                <w:b/>
                <w:smallCaps/>
                <w:sz w:val="28"/>
                <w:szCs w:val="28"/>
              </w:rPr>
              <w:t>1</w:t>
            </w:r>
            <w:r w:rsidR="004F250D" w:rsidRPr="000224A5">
              <w:rPr>
                <w:b/>
                <w:smallCaps/>
                <w:sz w:val="28"/>
                <w:szCs w:val="28"/>
              </w:rPr>
              <w:t>7</w:t>
            </w:r>
            <w:r w:rsidRPr="000224A5">
              <w:rPr>
                <w:b/>
                <w:smallCaps/>
                <w:sz w:val="24"/>
                <w:szCs w:val="24"/>
              </w:rPr>
              <w:br/>
            </w:r>
            <w:r w:rsidR="00225368" w:rsidRPr="000224A5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0224A5">
              <w:rPr>
                <w:b/>
                <w:bCs/>
                <w:szCs w:val="22"/>
              </w:rPr>
              <w:t xml:space="preserve">, </w:t>
            </w:r>
            <w:r w:rsidR="004F250D" w:rsidRPr="000224A5">
              <w:rPr>
                <w:b/>
                <w:bCs/>
                <w:szCs w:val="22"/>
              </w:rPr>
              <w:t>15–</w:t>
            </w:r>
            <w:r w:rsidR="009324B7" w:rsidRPr="000224A5">
              <w:rPr>
                <w:b/>
                <w:bCs/>
                <w:szCs w:val="22"/>
              </w:rPr>
              <w:t>25</w:t>
            </w:r>
            <w:r w:rsidR="00CD2009" w:rsidRPr="000224A5">
              <w:rPr>
                <w:b/>
                <w:bCs/>
              </w:rPr>
              <w:t xml:space="preserve"> мая </w:t>
            </w:r>
            <w:r w:rsidR="00225368" w:rsidRPr="000224A5">
              <w:rPr>
                <w:b/>
                <w:bCs/>
              </w:rPr>
              <w:t>201</w:t>
            </w:r>
            <w:r w:rsidR="004F250D" w:rsidRPr="000224A5">
              <w:rPr>
                <w:b/>
                <w:bCs/>
              </w:rPr>
              <w:t>7</w:t>
            </w:r>
            <w:r w:rsidR="00225368" w:rsidRPr="000224A5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0224A5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0224A5">
              <w:rPr>
                <w:noProof/>
                <w:lang w:val="en-US" w:eastAsia="zh-CN"/>
              </w:rPr>
              <w:drawing>
                <wp:inline distT="0" distB="0" distL="0" distR="0" wp14:anchorId="5A3BB0E0" wp14:editId="3EFD652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224A5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0224A5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224A5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0224A5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224A5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224A5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0224A5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224A5" w:rsidRDefault="00BC7BC0" w:rsidP="00C258B0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0224A5">
              <w:rPr>
                <w:b/>
                <w:bCs/>
                <w:szCs w:val="22"/>
              </w:rPr>
              <w:t>Пункт повестки дня:</w:t>
            </w:r>
            <w:r w:rsidR="009B09BA" w:rsidRPr="000224A5">
              <w:rPr>
                <w:rFonts w:asciiTheme="minorHAnsi" w:hAnsiTheme="minorHAnsi"/>
                <w:b/>
              </w:rPr>
              <w:t xml:space="preserve"> PL 1.8</w:t>
            </w:r>
          </w:p>
        </w:tc>
        <w:tc>
          <w:tcPr>
            <w:tcW w:w="3120" w:type="dxa"/>
          </w:tcPr>
          <w:p w:rsidR="00BC7BC0" w:rsidRPr="000224A5" w:rsidRDefault="00BC7BC0" w:rsidP="009B09BA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0224A5">
              <w:rPr>
                <w:b/>
                <w:bCs/>
                <w:szCs w:val="22"/>
              </w:rPr>
              <w:t>Документ C</w:t>
            </w:r>
            <w:r w:rsidR="003F099E" w:rsidRPr="000224A5">
              <w:rPr>
                <w:b/>
                <w:bCs/>
                <w:szCs w:val="22"/>
              </w:rPr>
              <w:t>1</w:t>
            </w:r>
            <w:r w:rsidR="004F250D" w:rsidRPr="000224A5">
              <w:rPr>
                <w:b/>
                <w:bCs/>
                <w:szCs w:val="22"/>
              </w:rPr>
              <w:t>7</w:t>
            </w:r>
            <w:r w:rsidRPr="000224A5">
              <w:rPr>
                <w:b/>
                <w:bCs/>
                <w:szCs w:val="22"/>
              </w:rPr>
              <w:t>/</w:t>
            </w:r>
            <w:r w:rsidR="009B09BA" w:rsidRPr="000224A5">
              <w:rPr>
                <w:b/>
                <w:bCs/>
                <w:szCs w:val="22"/>
              </w:rPr>
              <w:t>99</w:t>
            </w:r>
            <w:r w:rsidRPr="000224A5">
              <w:rPr>
                <w:b/>
                <w:bCs/>
                <w:szCs w:val="22"/>
              </w:rPr>
              <w:t>-R</w:t>
            </w:r>
          </w:p>
        </w:tc>
      </w:tr>
      <w:tr w:rsidR="00BC7BC0" w:rsidRPr="000224A5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0224A5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0224A5" w:rsidRDefault="009B09BA" w:rsidP="009B09B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224A5">
              <w:rPr>
                <w:b/>
                <w:bCs/>
                <w:szCs w:val="22"/>
              </w:rPr>
              <w:t>30</w:t>
            </w:r>
            <w:r w:rsidR="008E4FD8" w:rsidRPr="000224A5">
              <w:rPr>
                <w:b/>
                <w:bCs/>
                <w:szCs w:val="22"/>
              </w:rPr>
              <w:t xml:space="preserve"> </w:t>
            </w:r>
            <w:r w:rsidRPr="000224A5">
              <w:rPr>
                <w:b/>
                <w:bCs/>
                <w:szCs w:val="22"/>
              </w:rPr>
              <w:t>апреля</w:t>
            </w:r>
            <w:r w:rsidR="00BC7BC0" w:rsidRPr="000224A5">
              <w:rPr>
                <w:b/>
                <w:bCs/>
                <w:szCs w:val="22"/>
              </w:rPr>
              <w:t xml:space="preserve"> 20</w:t>
            </w:r>
            <w:r w:rsidR="003F099E" w:rsidRPr="000224A5">
              <w:rPr>
                <w:b/>
                <w:bCs/>
                <w:szCs w:val="22"/>
              </w:rPr>
              <w:t>1</w:t>
            </w:r>
            <w:r w:rsidR="008B3EA4" w:rsidRPr="000224A5">
              <w:rPr>
                <w:b/>
                <w:bCs/>
                <w:szCs w:val="22"/>
              </w:rPr>
              <w:t>7</w:t>
            </w:r>
            <w:r w:rsidR="00BC7BC0" w:rsidRPr="000224A5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0224A5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0224A5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0224A5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224A5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0224A5" w:rsidTr="00AE5DA1">
        <w:trPr>
          <w:cantSplit/>
        </w:trPr>
        <w:tc>
          <w:tcPr>
            <w:tcW w:w="10031" w:type="dxa"/>
            <w:gridSpan w:val="2"/>
          </w:tcPr>
          <w:p w:rsidR="00BC7BC0" w:rsidRPr="000224A5" w:rsidRDefault="0030024A" w:rsidP="00AE5DA1">
            <w:pPr>
              <w:pStyle w:val="Source"/>
              <w:rPr>
                <w:szCs w:val="22"/>
              </w:rPr>
            </w:pPr>
            <w:bookmarkStart w:id="2" w:name="dtitle2" w:colFirst="0" w:colLast="0"/>
            <w:r w:rsidRPr="000224A5">
              <w:t>Записка</w:t>
            </w:r>
            <w:r w:rsidR="00BC7BC0" w:rsidRPr="000224A5">
              <w:t xml:space="preserve"> Генерального секретаря</w:t>
            </w:r>
          </w:p>
        </w:tc>
      </w:tr>
      <w:tr w:rsidR="00BC7BC0" w:rsidRPr="000224A5" w:rsidTr="00AE5DA1">
        <w:trPr>
          <w:cantSplit/>
        </w:trPr>
        <w:tc>
          <w:tcPr>
            <w:tcW w:w="10031" w:type="dxa"/>
            <w:gridSpan w:val="2"/>
          </w:tcPr>
          <w:p w:rsidR="00BC7BC0" w:rsidRPr="000224A5" w:rsidRDefault="00974C2C" w:rsidP="00C258B0">
            <w:pPr>
              <w:pStyle w:val="Title1"/>
            </w:pPr>
            <w:bookmarkStart w:id="3" w:name="lt_pId012"/>
            <w:bookmarkStart w:id="4" w:name="dtitle3" w:colFirst="0" w:colLast="0"/>
            <w:bookmarkEnd w:id="2"/>
            <w:r w:rsidRPr="000224A5">
              <w:t>КРАТКИЙ</w:t>
            </w:r>
            <w:r w:rsidR="006C6921" w:rsidRPr="000224A5">
              <w:t xml:space="preserve"> ОТЧЕТ О РАБОТЕ КОНСУЛЬТАТИВ</w:t>
            </w:r>
            <w:r w:rsidR="00973355" w:rsidRPr="000224A5">
              <w:t>НОЙ ГРУППЫ ГОСУДАРСТВ-ЧЛЕНОВ ПО </w:t>
            </w:r>
            <w:r w:rsidR="006C6921" w:rsidRPr="000224A5">
              <w:t>ПРОЕКТУ</w:t>
            </w:r>
            <w:r w:rsidRPr="000224A5">
              <w:t>, связанному с</w:t>
            </w:r>
            <w:r w:rsidR="006C6921" w:rsidRPr="000224A5">
              <w:t xml:space="preserve"> ПОМЕЩЕНИ</w:t>
            </w:r>
            <w:r w:rsidRPr="000224A5">
              <w:t xml:space="preserve">ями </w:t>
            </w:r>
            <w:r w:rsidR="006C6921" w:rsidRPr="000224A5">
              <w:t>ШТАБ-КВАРТИРЫ СОЮЗА</w:t>
            </w:r>
            <w:bookmarkEnd w:id="3"/>
          </w:p>
        </w:tc>
      </w:tr>
    </w:tbl>
    <w:p w:rsidR="009B09BA" w:rsidRPr="000224A5" w:rsidRDefault="006C6921" w:rsidP="00973355">
      <w:pPr>
        <w:pStyle w:val="Normalaftertitle"/>
        <w:spacing w:before="960"/>
      </w:pPr>
      <w:bookmarkStart w:id="5" w:name="lt_pId014"/>
      <w:bookmarkEnd w:id="4"/>
      <w:r w:rsidRPr="000224A5">
        <w:t xml:space="preserve">Имею честь представить Государствам-Членам Совета </w:t>
      </w:r>
      <w:r w:rsidR="00974C2C" w:rsidRPr="000224A5">
        <w:t xml:space="preserve">краткий </w:t>
      </w:r>
      <w:r w:rsidRPr="000224A5">
        <w:t xml:space="preserve">отчет о работе </w:t>
      </w:r>
      <w:r w:rsidRPr="000224A5">
        <w:rPr>
          <w:b/>
          <w:bCs/>
        </w:rPr>
        <w:t>Консультативной группы Государств-Членов (КГГЧ)</w:t>
      </w:r>
      <w:r w:rsidR="009B09BA" w:rsidRPr="000224A5">
        <w:t>.</w:t>
      </w:r>
      <w:bookmarkEnd w:id="5"/>
    </w:p>
    <w:p w:rsidR="009B09BA" w:rsidRPr="000224A5" w:rsidRDefault="009B09BA" w:rsidP="006C692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/>
          <w:szCs w:val="22"/>
        </w:rPr>
      </w:pPr>
      <w:bookmarkStart w:id="6" w:name="lt_pId015"/>
      <w:r w:rsidRPr="000224A5">
        <w:rPr>
          <w:rFonts w:asciiTheme="minorHAnsi" w:hAnsiTheme="minorHAnsi"/>
          <w:szCs w:val="22"/>
          <w:lang w:eastAsia="ja-JP"/>
        </w:rPr>
        <w:tab/>
      </w:r>
      <w:r w:rsidR="006C6921" w:rsidRPr="000224A5">
        <w:rPr>
          <w:rFonts w:asciiTheme="minorHAnsi" w:hAnsiTheme="minorHAnsi"/>
          <w:szCs w:val="22"/>
          <w:lang w:eastAsia="ja-JP"/>
        </w:rPr>
        <w:t>Хоулинь ЧЖАО</w:t>
      </w:r>
      <w:bookmarkStart w:id="7" w:name="lt_pId016"/>
      <w:bookmarkEnd w:id="6"/>
      <w:r w:rsidR="006C6921" w:rsidRPr="000224A5">
        <w:rPr>
          <w:rFonts w:asciiTheme="minorHAnsi" w:hAnsiTheme="minorHAnsi"/>
          <w:szCs w:val="22"/>
        </w:rPr>
        <w:br/>
      </w:r>
      <w:r w:rsidR="006C6921" w:rsidRPr="000224A5">
        <w:rPr>
          <w:rFonts w:asciiTheme="minorHAnsi" w:hAnsiTheme="minorHAnsi"/>
          <w:szCs w:val="22"/>
        </w:rPr>
        <w:tab/>
        <w:t>Генеральный секретарь</w:t>
      </w:r>
      <w:bookmarkEnd w:id="7"/>
    </w:p>
    <w:p w:rsidR="009B09BA" w:rsidRPr="000224A5" w:rsidRDefault="009B09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224A5">
        <w:br w:type="page"/>
      </w:r>
    </w:p>
    <w:p w:rsidR="002D2F57" w:rsidRPr="000224A5" w:rsidRDefault="00974C2C" w:rsidP="003A24E2">
      <w:pPr>
        <w:pStyle w:val="Title1"/>
      </w:pPr>
      <w:r w:rsidRPr="000224A5">
        <w:lastRenderedPageBreak/>
        <w:t>КРАТКИЙ</w:t>
      </w:r>
      <w:r w:rsidR="00E10CCA" w:rsidRPr="000224A5">
        <w:t xml:space="preserve"> ОТЧЕТ О РАБОТЕ КОНСУЛЬТАТИВ</w:t>
      </w:r>
      <w:r w:rsidR="005B653F" w:rsidRPr="000224A5">
        <w:t>НОЙ ГРУППЫ ГОСУДАРСТВ-ЧЛЕНОВ ПО </w:t>
      </w:r>
      <w:r w:rsidR="00E10CCA" w:rsidRPr="000224A5">
        <w:t>ПРОЕКТУ</w:t>
      </w:r>
      <w:r w:rsidRPr="000224A5">
        <w:t>, СВЯЗАННОМУ С</w:t>
      </w:r>
      <w:r w:rsidR="00E10CCA" w:rsidRPr="000224A5">
        <w:t xml:space="preserve"> ПОМЕЩЕНИ</w:t>
      </w:r>
      <w:r w:rsidRPr="000224A5">
        <w:t>ЯМИ</w:t>
      </w:r>
      <w:r w:rsidR="00E10CCA" w:rsidRPr="000224A5">
        <w:t xml:space="preserve"> ШТАБ-КВАРТИРЫ СОЮЗА</w:t>
      </w:r>
    </w:p>
    <w:p w:rsidR="009B09BA" w:rsidRPr="000224A5" w:rsidRDefault="009B09BA" w:rsidP="009B09B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224A5" w:rsidTr="00D74F9E">
        <w:trPr>
          <w:trHeight w:val="25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0224A5" w:rsidRDefault="002D2F57" w:rsidP="00B27578">
            <w:pPr>
              <w:pStyle w:val="Headingb"/>
            </w:pPr>
            <w:r w:rsidRPr="000224A5">
              <w:t>Резюме</w:t>
            </w:r>
          </w:p>
          <w:p w:rsidR="008E4FD8" w:rsidRPr="000224A5" w:rsidRDefault="00E10CCA" w:rsidP="003A24E2">
            <w:pPr>
              <w:rPr>
                <w:lang w:eastAsia="zh-CN"/>
              </w:rPr>
            </w:pPr>
            <w:bookmarkStart w:id="8" w:name="lt_pId020"/>
            <w:r w:rsidRPr="000224A5">
              <w:t xml:space="preserve">В настоящем документе содержится </w:t>
            </w:r>
            <w:r w:rsidR="00974C2C" w:rsidRPr="000224A5">
              <w:t>краткий</w:t>
            </w:r>
            <w:r w:rsidRPr="000224A5">
              <w:t xml:space="preserve"> отчет о работе Консультативной группы Государств-Членов по проекту</w:t>
            </w:r>
            <w:r w:rsidR="00974C2C" w:rsidRPr="000224A5">
              <w:t>, связанному с</w:t>
            </w:r>
            <w:r w:rsidRPr="000224A5">
              <w:t xml:space="preserve"> помещени</w:t>
            </w:r>
            <w:r w:rsidR="00974C2C" w:rsidRPr="000224A5">
              <w:t>ями</w:t>
            </w:r>
            <w:r w:rsidRPr="000224A5">
              <w:t xml:space="preserve"> штаб-квартиры Союза (КГГЧ)</w:t>
            </w:r>
            <w:r w:rsidR="009B09BA" w:rsidRPr="000224A5">
              <w:t>.</w:t>
            </w:r>
            <w:bookmarkEnd w:id="8"/>
          </w:p>
          <w:p w:rsidR="008E4FD8" w:rsidRPr="000224A5" w:rsidRDefault="008E4FD8" w:rsidP="008E4FD8">
            <w:pPr>
              <w:pStyle w:val="Headingb"/>
            </w:pPr>
            <w:r w:rsidRPr="000224A5">
              <w:t>Необходимые действия</w:t>
            </w:r>
          </w:p>
          <w:p w:rsidR="008E4FD8" w:rsidRPr="000224A5" w:rsidRDefault="00E10CCA" w:rsidP="003A24E2">
            <w:bookmarkStart w:id="9" w:name="lt_pId022"/>
            <w:r w:rsidRPr="000224A5">
              <w:t>Совету предлагается</w:t>
            </w:r>
            <w:r w:rsidR="009B09BA" w:rsidRPr="000224A5">
              <w:t xml:space="preserve"> </w:t>
            </w:r>
            <w:r w:rsidRPr="000224A5">
              <w:rPr>
                <w:b/>
              </w:rPr>
              <w:t>принять к сведению</w:t>
            </w:r>
            <w:r w:rsidRPr="000224A5">
              <w:t xml:space="preserve"> отчет и</w:t>
            </w:r>
            <w:r w:rsidR="009B09BA" w:rsidRPr="000224A5">
              <w:t xml:space="preserve"> </w:t>
            </w:r>
            <w:r w:rsidRPr="000224A5">
              <w:rPr>
                <w:b/>
                <w:bCs/>
              </w:rPr>
              <w:t>представить любые</w:t>
            </w:r>
            <w:r w:rsidRPr="000224A5">
              <w:t xml:space="preserve"> </w:t>
            </w:r>
            <w:r w:rsidRPr="000224A5">
              <w:rPr>
                <w:b/>
                <w:bCs/>
              </w:rPr>
              <w:t>дополнительные руководящие указания</w:t>
            </w:r>
            <w:r w:rsidR="00974C2C" w:rsidRPr="000224A5">
              <w:t>,</w:t>
            </w:r>
            <w:r w:rsidR="009B09BA" w:rsidRPr="000224A5">
              <w:t xml:space="preserve"> </w:t>
            </w:r>
            <w:r w:rsidRPr="000224A5">
              <w:t>в случае необходимости</w:t>
            </w:r>
            <w:r w:rsidR="009B09BA" w:rsidRPr="000224A5">
              <w:t>.</w:t>
            </w:r>
            <w:bookmarkEnd w:id="9"/>
          </w:p>
          <w:p w:rsidR="008E4FD8" w:rsidRPr="000224A5" w:rsidRDefault="008E4FD8" w:rsidP="008E4FD8">
            <w:pPr>
              <w:jc w:val="center"/>
              <w:rPr>
                <w:caps/>
              </w:rPr>
            </w:pPr>
            <w:r w:rsidRPr="000224A5">
              <w:t>____________</w:t>
            </w:r>
          </w:p>
          <w:p w:rsidR="008E4FD8" w:rsidRPr="000224A5" w:rsidRDefault="008E4FD8" w:rsidP="008E4FD8">
            <w:pPr>
              <w:pStyle w:val="Headingb"/>
            </w:pPr>
            <w:r w:rsidRPr="000224A5">
              <w:t>Справочные материалы</w:t>
            </w:r>
          </w:p>
          <w:p w:rsidR="002D2F57" w:rsidRPr="000224A5" w:rsidRDefault="004B4B3D" w:rsidP="00974C2C">
            <w:pPr>
              <w:spacing w:after="120"/>
            </w:pPr>
            <w:hyperlink r:id="rId9" w:history="1">
              <w:bookmarkStart w:id="10" w:name="lt_pId025"/>
              <w:r w:rsidR="00974C2C" w:rsidRPr="000224A5">
                <w:rPr>
                  <w:rStyle w:val="Hyperlink"/>
                  <w:rFonts w:asciiTheme="minorHAnsi" w:hAnsiTheme="minorHAnsi"/>
                  <w:i/>
                  <w:iCs/>
                </w:rPr>
                <w:t>Решение</w:t>
              </w:r>
              <w:r w:rsidR="009B09BA" w:rsidRPr="000224A5">
                <w:rPr>
                  <w:rStyle w:val="Hyperlink"/>
                  <w:rFonts w:asciiTheme="minorHAnsi" w:hAnsiTheme="minorHAnsi"/>
                  <w:i/>
                  <w:iCs/>
                </w:rPr>
                <w:t xml:space="preserve"> 588</w:t>
              </w:r>
              <w:bookmarkEnd w:id="10"/>
            </w:hyperlink>
            <w:r w:rsidR="00974C2C" w:rsidRPr="000224A5">
              <w:rPr>
                <w:rStyle w:val="Hyperlink"/>
                <w:rFonts w:asciiTheme="minorHAnsi" w:hAnsiTheme="minorHAnsi"/>
                <w:i/>
                <w:iCs/>
              </w:rPr>
              <w:t xml:space="preserve"> Совета</w:t>
            </w:r>
          </w:p>
        </w:tc>
      </w:tr>
    </w:tbl>
    <w:p w:rsidR="009B09BA" w:rsidRPr="000224A5" w:rsidRDefault="009B09BA" w:rsidP="009B09BA">
      <w:pPr>
        <w:pStyle w:val="Heading1"/>
      </w:pPr>
      <w:r w:rsidRPr="000224A5">
        <w:t>1</w:t>
      </w:r>
      <w:r w:rsidRPr="000224A5">
        <w:tab/>
        <w:t>Базовая информация</w:t>
      </w:r>
    </w:p>
    <w:p w:rsidR="009B09BA" w:rsidRPr="000224A5" w:rsidRDefault="009B09BA" w:rsidP="008D2F46">
      <w:r w:rsidRPr="000224A5">
        <w:t>1.1</w:t>
      </w:r>
      <w:r w:rsidRPr="000224A5">
        <w:tab/>
        <w:t xml:space="preserve">В своем </w:t>
      </w:r>
      <w:hyperlink r:id="rId10" w:history="1">
        <w:r w:rsidRPr="000224A5">
          <w:rPr>
            <w:rStyle w:val="Hyperlink"/>
            <w:rFonts w:asciiTheme="minorHAnsi" w:hAnsiTheme="minorHAnsi"/>
            <w:szCs w:val="22"/>
          </w:rPr>
          <w:t>Решении 588</w:t>
        </w:r>
      </w:hyperlink>
      <w:r w:rsidRPr="000224A5">
        <w:t xml:space="preserve"> Совет 2016 года решил заменить здание "Варембе" новым строением (далее именуемым "Варембе-2"), которое также будет включать служебные и функциональные помещения здания "Башня", и дополнить здание "Монбрийан", которое будет сохранено и переоборудовано. Совет учредил Консультативную группу Государств-Членов по проекту, связанному с помещениями </w:t>
      </w:r>
      <w:r w:rsidR="00C258B0" w:rsidRPr="000224A5">
        <w:t>штаб-квартир</w:t>
      </w:r>
      <w:r w:rsidR="008D2F46" w:rsidRPr="000224A5">
        <w:t>ы</w:t>
      </w:r>
      <w:r w:rsidR="00C258B0" w:rsidRPr="000224A5">
        <w:t xml:space="preserve"> </w:t>
      </w:r>
      <w:r w:rsidRPr="000224A5">
        <w:t xml:space="preserve">(КГГЧ), для представления Совету и Генеральному секретарю независимых и беспристрастных рекомендаций по проекту. </w:t>
      </w:r>
    </w:p>
    <w:p w:rsidR="009B09BA" w:rsidRPr="000224A5" w:rsidRDefault="009B09BA" w:rsidP="002D7406">
      <w:r w:rsidRPr="000224A5">
        <w:t>1.2</w:t>
      </w:r>
      <w:r w:rsidRPr="000224A5">
        <w:tab/>
      </w:r>
      <w:bookmarkStart w:id="11" w:name="lt_pId032"/>
      <w:r w:rsidR="00E42EB3" w:rsidRPr="000224A5">
        <w:t>КГГЧ провела два собрания</w:t>
      </w:r>
      <w:r w:rsidRPr="000224A5">
        <w:t xml:space="preserve">, 13 </w:t>
      </w:r>
      <w:r w:rsidR="00E42EB3" w:rsidRPr="000224A5">
        <w:t>декабря</w:t>
      </w:r>
      <w:r w:rsidRPr="000224A5">
        <w:t xml:space="preserve"> 2016</w:t>
      </w:r>
      <w:r w:rsidR="00E42EB3" w:rsidRPr="000224A5">
        <w:t xml:space="preserve"> года и</w:t>
      </w:r>
      <w:r w:rsidRPr="000224A5">
        <w:t xml:space="preserve"> 11</w:t>
      </w:r>
      <w:r w:rsidR="00E42EB3" w:rsidRPr="000224A5">
        <w:t xml:space="preserve"> апреля</w:t>
      </w:r>
      <w:r w:rsidRPr="000224A5">
        <w:t xml:space="preserve"> 2017</w:t>
      </w:r>
      <w:r w:rsidR="00E42EB3" w:rsidRPr="000224A5">
        <w:t xml:space="preserve"> года</w:t>
      </w:r>
      <w:r w:rsidRPr="000224A5">
        <w:t>.</w:t>
      </w:r>
      <w:bookmarkEnd w:id="11"/>
      <w:r w:rsidRPr="000224A5">
        <w:t xml:space="preserve"> </w:t>
      </w:r>
      <w:bookmarkStart w:id="12" w:name="lt_pId033"/>
      <w:r w:rsidR="00E42EB3" w:rsidRPr="000224A5">
        <w:t>КГГЧ планирует провести свое следующее собрание в качестве очного собрания вместе с блоком собраний РГС, которые планируется провести</w:t>
      </w:r>
      <w:r w:rsidRPr="000224A5">
        <w:t xml:space="preserve"> 11</w:t>
      </w:r>
      <w:r w:rsidR="002D7406" w:rsidRPr="000224A5">
        <w:t>−</w:t>
      </w:r>
      <w:r w:rsidRPr="000224A5">
        <w:t xml:space="preserve">22 </w:t>
      </w:r>
      <w:r w:rsidR="00E42EB3" w:rsidRPr="000224A5">
        <w:t>сентября</w:t>
      </w:r>
      <w:r w:rsidRPr="000224A5">
        <w:t xml:space="preserve"> 2017</w:t>
      </w:r>
      <w:r w:rsidR="00E42EB3" w:rsidRPr="000224A5">
        <w:t xml:space="preserve"> года</w:t>
      </w:r>
      <w:r w:rsidRPr="000224A5">
        <w:t xml:space="preserve">, </w:t>
      </w:r>
      <w:r w:rsidR="00E42EB3" w:rsidRPr="000224A5">
        <w:t>однако эти сроки должны быть подтверждены после того, как будет согласована программа работы РГС</w:t>
      </w:r>
      <w:r w:rsidRPr="000224A5">
        <w:t>.</w:t>
      </w:r>
      <w:bookmarkEnd w:id="12"/>
      <w:r w:rsidRPr="000224A5">
        <w:t xml:space="preserve"> </w:t>
      </w:r>
    </w:p>
    <w:p w:rsidR="009B09BA" w:rsidRPr="000224A5" w:rsidRDefault="009B09BA" w:rsidP="00974C2C">
      <w:pPr>
        <w:pStyle w:val="Heading1"/>
      </w:pPr>
      <w:r w:rsidRPr="000224A5">
        <w:t>2</w:t>
      </w:r>
      <w:r w:rsidRPr="000224A5">
        <w:tab/>
      </w:r>
      <w:bookmarkStart w:id="13" w:name="lt_pId035"/>
      <w:r w:rsidR="00E42EB3" w:rsidRPr="000224A5">
        <w:t>Члены, должностные лица, круг ведения и процедура работы КГГ</w:t>
      </w:r>
      <w:bookmarkEnd w:id="13"/>
      <w:r w:rsidR="00974C2C" w:rsidRPr="000224A5">
        <w:t>Ч</w:t>
      </w:r>
    </w:p>
    <w:p w:rsidR="009B09BA" w:rsidRPr="000224A5" w:rsidRDefault="009B09BA" w:rsidP="00974C2C">
      <w:pPr>
        <w:rPr>
          <w:rFonts w:asciiTheme="minorHAnsi" w:hAnsiTheme="minorHAnsi"/>
          <w:color w:val="000000" w:themeColor="text1"/>
        </w:rPr>
      </w:pPr>
      <w:r w:rsidRPr="000224A5">
        <w:rPr>
          <w:rFonts w:asciiTheme="minorHAnsi" w:hAnsiTheme="minorHAnsi"/>
          <w:color w:val="000000" w:themeColor="text1"/>
        </w:rPr>
        <w:t>2.1</w:t>
      </w:r>
      <w:r w:rsidRPr="000224A5">
        <w:rPr>
          <w:rFonts w:asciiTheme="minorHAnsi" w:hAnsiTheme="minorHAnsi"/>
          <w:color w:val="000000" w:themeColor="text1"/>
        </w:rPr>
        <w:tab/>
      </w:r>
      <w:bookmarkStart w:id="14" w:name="lt_pId037"/>
      <w:r w:rsidR="00E42EB3" w:rsidRPr="000224A5">
        <w:rPr>
          <w:rFonts w:asciiTheme="minorHAnsi" w:hAnsiTheme="minorHAnsi"/>
          <w:color w:val="000000" w:themeColor="text1"/>
        </w:rPr>
        <w:t xml:space="preserve">Выдвижение членов КГГЧ координируется на региональном уровне, причем они </w:t>
      </w:r>
      <w:r w:rsidR="00974C2C" w:rsidRPr="000224A5">
        <w:rPr>
          <w:rFonts w:asciiTheme="minorHAnsi" w:hAnsiTheme="minorHAnsi"/>
          <w:color w:val="000000" w:themeColor="text1"/>
        </w:rPr>
        <w:t>действу</w:t>
      </w:r>
      <w:r w:rsidR="00E42EB3" w:rsidRPr="000224A5">
        <w:rPr>
          <w:rFonts w:asciiTheme="minorHAnsi" w:hAnsiTheme="minorHAnsi"/>
          <w:color w:val="000000" w:themeColor="text1"/>
        </w:rPr>
        <w:t>ют в личном качестве</w:t>
      </w:r>
      <w:r w:rsidRPr="000224A5">
        <w:rPr>
          <w:rFonts w:asciiTheme="minorHAnsi" w:hAnsiTheme="minorHAnsi"/>
          <w:color w:val="000000" w:themeColor="text1"/>
        </w:rPr>
        <w:t>.</w:t>
      </w:r>
      <w:bookmarkEnd w:id="14"/>
      <w:r w:rsidRPr="000224A5">
        <w:rPr>
          <w:rFonts w:asciiTheme="minorHAnsi" w:hAnsiTheme="minorHAnsi"/>
          <w:color w:val="000000" w:themeColor="text1"/>
        </w:rPr>
        <w:t xml:space="preserve"> </w:t>
      </w:r>
      <w:bookmarkStart w:id="15" w:name="lt_pId038"/>
      <w:r w:rsidR="00E42EB3" w:rsidRPr="000224A5">
        <w:rPr>
          <w:rFonts w:asciiTheme="minorHAnsi" w:hAnsiTheme="minorHAnsi"/>
          <w:color w:val="000000" w:themeColor="text1"/>
        </w:rPr>
        <w:t>В настоящее время членами КГГЧ являются</w:t>
      </w:r>
      <w:r w:rsidRPr="000224A5">
        <w:rPr>
          <w:rFonts w:asciiTheme="minorHAnsi" w:hAnsiTheme="minorHAnsi"/>
          <w:color w:val="000000" w:themeColor="text1"/>
        </w:rPr>
        <w:t>:</w:t>
      </w:r>
      <w:bookmarkEnd w:id="15"/>
    </w:p>
    <w:p w:rsidR="009B09BA" w:rsidRPr="000224A5" w:rsidRDefault="009B09BA" w:rsidP="003A24E2">
      <w:pPr>
        <w:pStyle w:val="enumlev1"/>
      </w:pPr>
      <w:bookmarkStart w:id="16" w:name="lt_pId039"/>
      <w:r w:rsidRPr="000224A5">
        <w:tab/>
      </w:r>
      <w:r w:rsidR="00E42EB3" w:rsidRPr="000224A5">
        <w:t>г-н Дитмар Плессе</w:t>
      </w:r>
      <w:r w:rsidRPr="000224A5">
        <w:t>:</w:t>
      </w:r>
      <w:bookmarkEnd w:id="16"/>
      <w:r w:rsidRPr="000224A5">
        <w:t xml:space="preserve"> </w:t>
      </w:r>
      <w:bookmarkStart w:id="17" w:name="lt_pId040"/>
      <w:r w:rsidR="00E42EB3" w:rsidRPr="000224A5">
        <w:t>Западная Европа</w:t>
      </w:r>
      <w:r w:rsidRPr="000224A5">
        <w:t>;</w:t>
      </w:r>
      <w:bookmarkEnd w:id="17"/>
    </w:p>
    <w:p w:rsidR="009B09BA" w:rsidRPr="000224A5" w:rsidRDefault="009B09BA" w:rsidP="003A24E2">
      <w:pPr>
        <w:pStyle w:val="enumlev1"/>
      </w:pPr>
      <w:bookmarkStart w:id="18" w:name="lt_pId041"/>
      <w:r w:rsidRPr="000224A5">
        <w:tab/>
      </w:r>
      <w:r w:rsidR="00E42EB3" w:rsidRPr="000224A5">
        <w:t>г-н Хизацуми Ширае</w:t>
      </w:r>
      <w:r w:rsidRPr="000224A5">
        <w:t>:</w:t>
      </w:r>
      <w:bookmarkEnd w:id="18"/>
      <w:r w:rsidRPr="000224A5">
        <w:t xml:space="preserve"> </w:t>
      </w:r>
      <w:bookmarkStart w:id="19" w:name="lt_pId042"/>
      <w:r w:rsidR="00E42EB3" w:rsidRPr="000224A5">
        <w:t>Азия и Австралазия</w:t>
      </w:r>
      <w:r w:rsidRPr="000224A5">
        <w:t>;</w:t>
      </w:r>
      <w:bookmarkEnd w:id="19"/>
    </w:p>
    <w:p w:rsidR="009B09BA" w:rsidRPr="000224A5" w:rsidRDefault="009B09BA" w:rsidP="003A24E2">
      <w:pPr>
        <w:pStyle w:val="enumlev1"/>
      </w:pPr>
      <w:bookmarkStart w:id="20" w:name="lt_pId043"/>
      <w:r w:rsidRPr="000224A5">
        <w:tab/>
      </w:r>
      <w:r w:rsidR="00057754" w:rsidRPr="000224A5">
        <w:t>г-н Андрей Живов</w:t>
      </w:r>
      <w:r w:rsidRPr="000224A5">
        <w:t>:</w:t>
      </w:r>
      <w:bookmarkEnd w:id="20"/>
      <w:r w:rsidRPr="000224A5">
        <w:t xml:space="preserve"> </w:t>
      </w:r>
      <w:bookmarkStart w:id="21" w:name="lt_pId044"/>
      <w:r w:rsidR="00057754" w:rsidRPr="000224A5">
        <w:t>Восточная Европа и Северная Азия</w:t>
      </w:r>
      <w:r w:rsidRPr="000224A5">
        <w:t>;</w:t>
      </w:r>
      <w:bookmarkEnd w:id="21"/>
    </w:p>
    <w:p w:rsidR="009B09BA" w:rsidRPr="000224A5" w:rsidRDefault="009B09BA" w:rsidP="003A24E2">
      <w:pPr>
        <w:pStyle w:val="enumlev1"/>
      </w:pPr>
      <w:bookmarkStart w:id="22" w:name="lt_pId045"/>
      <w:r w:rsidRPr="000224A5">
        <w:tab/>
      </w:r>
      <w:r w:rsidR="00057754" w:rsidRPr="000224A5">
        <w:t>г-н Нассер Аль Марзуки</w:t>
      </w:r>
      <w:r w:rsidRPr="000224A5">
        <w:t>:</w:t>
      </w:r>
      <w:bookmarkEnd w:id="22"/>
      <w:r w:rsidRPr="000224A5">
        <w:t xml:space="preserve"> </w:t>
      </w:r>
      <w:bookmarkStart w:id="23" w:name="lt_pId046"/>
      <w:r w:rsidR="00057754" w:rsidRPr="000224A5">
        <w:t>Арабские государства</w:t>
      </w:r>
      <w:r w:rsidRPr="000224A5">
        <w:t>;</w:t>
      </w:r>
      <w:bookmarkEnd w:id="23"/>
      <w:r w:rsidRPr="000224A5">
        <w:t xml:space="preserve"> </w:t>
      </w:r>
    </w:p>
    <w:p w:rsidR="009B09BA" w:rsidRPr="000224A5" w:rsidRDefault="009B09BA" w:rsidP="003A24E2">
      <w:pPr>
        <w:pStyle w:val="enumlev1"/>
      </w:pPr>
      <w:bookmarkStart w:id="24" w:name="lt_pId047"/>
      <w:r w:rsidRPr="000224A5">
        <w:tab/>
        <w:t>(</w:t>
      </w:r>
      <w:r w:rsidR="00057754" w:rsidRPr="000224A5">
        <w:t>вакантное место</w:t>
      </w:r>
      <w:r w:rsidRPr="000224A5">
        <w:t>):</w:t>
      </w:r>
      <w:bookmarkEnd w:id="24"/>
      <w:r w:rsidRPr="000224A5">
        <w:t xml:space="preserve"> </w:t>
      </w:r>
      <w:bookmarkStart w:id="25" w:name="lt_pId048"/>
      <w:r w:rsidR="00057754" w:rsidRPr="000224A5">
        <w:t>Северная и Южная Америка</w:t>
      </w:r>
      <w:r w:rsidRPr="000224A5">
        <w:t>;</w:t>
      </w:r>
      <w:bookmarkEnd w:id="25"/>
    </w:p>
    <w:p w:rsidR="009B09BA" w:rsidRPr="000224A5" w:rsidRDefault="009B09BA" w:rsidP="003A24E2">
      <w:pPr>
        <w:pStyle w:val="enumlev1"/>
      </w:pPr>
      <w:bookmarkStart w:id="26" w:name="lt_pId049"/>
      <w:r w:rsidRPr="000224A5">
        <w:tab/>
        <w:t>(</w:t>
      </w:r>
      <w:r w:rsidR="00057754" w:rsidRPr="000224A5">
        <w:t>вакантное место</w:t>
      </w:r>
      <w:r w:rsidRPr="000224A5">
        <w:t>):</w:t>
      </w:r>
      <w:bookmarkEnd w:id="26"/>
      <w:r w:rsidRPr="000224A5">
        <w:t xml:space="preserve"> </w:t>
      </w:r>
      <w:bookmarkStart w:id="27" w:name="lt_pId050"/>
      <w:r w:rsidR="00057754" w:rsidRPr="000224A5">
        <w:t>Африка</w:t>
      </w:r>
      <w:r w:rsidRPr="000224A5">
        <w:t>.</w:t>
      </w:r>
      <w:bookmarkEnd w:id="27"/>
    </w:p>
    <w:p w:rsidR="009B09BA" w:rsidRPr="000224A5" w:rsidRDefault="00057754" w:rsidP="00057754">
      <w:bookmarkStart w:id="28" w:name="lt_pId051"/>
      <w:r w:rsidRPr="000224A5">
        <w:t>По просьбе члена от региона Азии и Австралазии на собраниях КГГЧ присутствовали два наблюдателя</w:t>
      </w:r>
      <w:r w:rsidR="009B09BA" w:rsidRPr="000224A5">
        <w:t>:</w:t>
      </w:r>
      <w:bookmarkEnd w:id="28"/>
    </w:p>
    <w:p w:rsidR="009B09BA" w:rsidRPr="000224A5" w:rsidRDefault="009B09BA" w:rsidP="003A24E2">
      <w:pPr>
        <w:pStyle w:val="enumlev1"/>
      </w:pPr>
      <w:bookmarkStart w:id="29" w:name="lt_pId052"/>
      <w:r w:rsidRPr="000224A5">
        <w:tab/>
      </w:r>
      <w:r w:rsidR="00057754" w:rsidRPr="000224A5">
        <w:t>г-н Йо</w:t>
      </w:r>
      <w:r w:rsidR="00C258B0" w:rsidRPr="000224A5">
        <w:t>с</w:t>
      </w:r>
      <w:r w:rsidR="00057754" w:rsidRPr="000224A5">
        <w:t>иуки Като</w:t>
      </w:r>
      <w:r w:rsidRPr="000224A5">
        <w:t>:</w:t>
      </w:r>
      <w:bookmarkEnd w:id="29"/>
      <w:r w:rsidRPr="000224A5">
        <w:t xml:space="preserve"> </w:t>
      </w:r>
      <w:bookmarkStart w:id="30" w:name="lt_pId053"/>
      <w:r w:rsidR="00057754" w:rsidRPr="000224A5">
        <w:t>Япония</w:t>
      </w:r>
      <w:r w:rsidRPr="000224A5">
        <w:t>;</w:t>
      </w:r>
      <w:bookmarkEnd w:id="30"/>
    </w:p>
    <w:p w:rsidR="009B09BA" w:rsidRPr="000224A5" w:rsidRDefault="009B09BA" w:rsidP="003A24E2">
      <w:pPr>
        <w:pStyle w:val="enumlev1"/>
      </w:pPr>
      <w:bookmarkStart w:id="31" w:name="lt_pId054"/>
      <w:r w:rsidRPr="000224A5">
        <w:tab/>
      </w:r>
      <w:r w:rsidR="00057754" w:rsidRPr="000224A5">
        <w:t>г-н Йо</w:t>
      </w:r>
      <w:r w:rsidR="00C258B0" w:rsidRPr="000224A5">
        <w:t>с</w:t>
      </w:r>
      <w:r w:rsidR="00057754" w:rsidRPr="000224A5">
        <w:t>ихиро Жури</w:t>
      </w:r>
      <w:r w:rsidRPr="000224A5">
        <w:t xml:space="preserve">, </w:t>
      </w:r>
      <w:r w:rsidR="00057754" w:rsidRPr="000224A5">
        <w:t>Япония</w:t>
      </w:r>
      <w:bookmarkEnd w:id="31"/>
      <w:r w:rsidR="00057754" w:rsidRPr="000224A5">
        <w:t>.</w:t>
      </w:r>
    </w:p>
    <w:p w:rsidR="009B09BA" w:rsidRPr="000224A5" w:rsidRDefault="009B09BA" w:rsidP="00057754">
      <w:r w:rsidRPr="000224A5">
        <w:lastRenderedPageBreak/>
        <w:t>2.2</w:t>
      </w:r>
      <w:r w:rsidRPr="000224A5">
        <w:tab/>
      </w:r>
      <w:bookmarkStart w:id="32" w:name="lt_pId056"/>
      <w:r w:rsidR="00BB5377" w:rsidRPr="000224A5">
        <w:t>Н</w:t>
      </w:r>
      <w:r w:rsidR="00057754" w:rsidRPr="000224A5">
        <w:t>а втором собрании КГГЧ г-н Плессе был избран председателем КГГЧ путем аккламации</w:t>
      </w:r>
      <w:r w:rsidRPr="000224A5">
        <w:t>.</w:t>
      </w:r>
      <w:bookmarkEnd w:id="32"/>
      <w:r w:rsidRPr="000224A5">
        <w:t xml:space="preserve"> </w:t>
      </w:r>
    </w:p>
    <w:p w:rsidR="009B09BA" w:rsidRPr="000224A5" w:rsidRDefault="009B09BA" w:rsidP="003F1F69">
      <w:r w:rsidRPr="000224A5">
        <w:t>2.3</w:t>
      </w:r>
      <w:r w:rsidRPr="000224A5">
        <w:tab/>
      </w:r>
      <w:bookmarkStart w:id="33" w:name="lt_pId058"/>
      <w:r w:rsidR="003F1F69" w:rsidRPr="000224A5">
        <w:t>Круг ведения КГГЧ, подтвержденный на втором собрании КГГЧ</w:t>
      </w:r>
      <w:r w:rsidR="00974C2C" w:rsidRPr="000224A5">
        <w:t>,</w:t>
      </w:r>
      <w:r w:rsidR="003F1F69" w:rsidRPr="000224A5">
        <w:t xml:space="preserve"> представлен для информации в Приложении</w:t>
      </w:r>
      <w:r w:rsidRPr="000224A5">
        <w:t xml:space="preserve"> 1.</w:t>
      </w:r>
      <w:bookmarkEnd w:id="33"/>
      <w:r w:rsidRPr="000224A5">
        <w:t xml:space="preserve"> </w:t>
      </w:r>
    </w:p>
    <w:p w:rsidR="009B09BA" w:rsidRPr="000224A5" w:rsidRDefault="009B09BA" w:rsidP="00974C2C">
      <w:r w:rsidRPr="000224A5">
        <w:t>2.4.</w:t>
      </w:r>
      <w:r w:rsidRPr="000224A5">
        <w:tab/>
      </w:r>
      <w:bookmarkStart w:id="34" w:name="lt_pId060"/>
      <w:r w:rsidR="00974C2C" w:rsidRPr="000224A5">
        <w:t>Краткий</w:t>
      </w:r>
      <w:r w:rsidR="00583197" w:rsidRPr="000224A5">
        <w:t xml:space="preserve"> отчет будет составляться по каждому собранию КГГЧ с указанием списка решений и принятых мер и обновленного графика работы</w:t>
      </w:r>
      <w:r w:rsidRPr="000224A5">
        <w:t>.</w:t>
      </w:r>
      <w:bookmarkEnd w:id="34"/>
      <w:r w:rsidR="00583197" w:rsidRPr="000224A5">
        <w:t xml:space="preserve"> </w:t>
      </w:r>
      <w:bookmarkStart w:id="35" w:name="lt_pId061"/>
      <w:r w:rsidR="00583197" w:rsidRPr="000224A5">
        <w:t>Для членов КГГЧ ведется сайт сотрудничества, содержащий все документы</w:t>
      </w:r>
      <w:r w:rsidRPr="000224A5">
        <w:t>.</w:t>
      </w:r>
      <w:bookmarkEnd w:id="35"/>
      <w:r w:rsidRPr="000224A5">
        <w:t xml:space="preserve"> </w:t>
      </w:r>
    </w:p>
    <w:p w:rsidR="009B09BA" w:rsidRPr="000224A5" w:rsidRDefault="009B09BA" w:rsidP="008F484B">
      <w:r w:rsidRPr="000224A5">
        <w:t>2.5</w:t>
      </w:r>
      <w:r w:rsidRPr="000224A5">
        <w:tab/>
      </w:r>
      <w:bookmarkStart w:id="36" w:name="lt_pId063"/>
      <w:r w:rsidR="00583197" w:rsidRPr="000224A5">
        <w:t xml:space="preserve">Секретариатом подготовлена форма </w:t>
      </w:r>
      <w:r w:rsidR="00910127" w:rsidRPr="000224A5">
        <w:rPr>
          <w:color w:val="000000"/>
        </w:rPr>
        <w:t>Д</w:t>
      </w:r>
      <w:r w:rsidR="00583197" w:rsidRPr="000224A5">
        <w:rPr>
          <w:color w:val="000000"/>
        </w:rPr>
        <w:t xml:space="preserve">екларации и заявления о личных, финансовых и иных интересах, которую предлагается заполнить </w:t>
      </w:r>
      <w:r w:rsidR="008F484B" w:rsidRPr="000224A5">
        <w:rPr>
          <w:color w:val="000000"/>
        </w:rPr>
        <w:t>членам КГГЧ и наблюдателям</w:t>
      </w:r>
      <w:r w:rsidRPr="000224A5">
        <w:t>.</w:t>
      </w:r>
      <w:bookmarkEnd w:id="36"/>
      <w:r w:rsidRPr="000224A5">
        <w:t xml:space="preserve"> </w:t>
      </w:r>
      <w:bookmarkStart w:id="37" w:name="lt_pId064"/>
      <w:r w:rsidR="008F484B" w:rsidRPr="000224A5">
        <w:t>Большинство уже представили свои заполненные формы в канцелярию Генерального секретаря</w:t>
      </w:r>
      <w:r w:rsidRPr="000224A5">
        <w:t>.</w:t>
      </w:r>
      <w:bookmarkEnd w:id="37"/>
      <w:r w:rsidRPr="000224A5">
        <w:t xml:space="preserve"> </w:t>
      </w:r>
    </w:p>
    <w:p w:rsidR="009B09BA" w:rsidRPr="000224A5" w:rsidRDefault="009B09BA" w:rsidP="008F484B">
      <w:pPr>
        <w:pStyle w:val="Heading1"/>
      </w:pPr>
      <w:r w:rsidRPr="000224A5">
        <w:rPr>
          <w:bCs/>
        </w:rPr>
        <w:t>3</w:t>
      </w:r>
      <w:r w:rsidRPr="000224A5">
        <w:tab/>
      </w:r>
      <w:bookmarkStart w:id="38" w:name="lt_pId066"/>
      <w:r w:rsidR="008F484B" w:rsidRPr="000224A5">
        <w:t>Действия и решения КГГЧ</w:t>
      </w:r>
      <w:bookmarkEnd w:id="38"/>
    </w:p>
    <w:p w:rsidR="009B09BA" w:rsidRPr="000224A5" w:rsidRDefault="009B09BA" w:rsidP="00DD14C8">
      <w:r w:rsidRPr="000224A5">
        <w:t>3.1</w:t>
      </w:r>
      <w:r w:rsidRPr="000224A5">
        <w:tab/>
      </w:r>
      <w:bookmarkStart w:id="39" w:name="lt_pId068"/>
      <w:r w:rsidR="00DD14C8" w:rsidRPr="000224A5">
        <w:t>КГГЧ</w:t>
      </w:r>
      <w:r w:rsidRPr="000224A5">
        <w:t xml:space="preserve"> </w:t>
      </w:r>
      <w:r w:rsidR="00DD14C8" w:rsidRPr="000224A5">
        <w:t>рассмотрела проект устава</w:t>
      </w:r>
      <w:r w:rsidRPr="000224A5">
        <w:t>, (</w:t>
      </w:r>
      <w:r w:rsidR="00DD14C8" w:rsidRPr="000224A5">
        <w:t>первоначальный проект</w:t>
      </w:r>
      <w:r w:rsidRPr="000224A5">
        <w:t xml:space="preserve">) </w:t>
      </w:r>
      <w:r w:rsidR="00DD14C8" w:rsidRPr="000224A5">
        <w:t>плана управления рисками</w:t>
      </w:r>
      <w:r w:rsidRPr="000224A5">
        <w:t xml:space="preserve">, </w:t>
      </w:r>
      <w:r w:rsidR="00DD14C8" w:rsidRPr="000224A5">
        <w:t>требования МСЭ к зданию и опубликовала документ о конкурсе</w:t>
      </w:r>
      <w:r w:rsidRPr="000224A5">
        <w:t>.</w:t>
      </w:r>
      <w:bookmarkEnd w:id="39"/>
    </w:p>
    <w:p w:rsidR="009B09BA" w:rsidRPr="000224A5" w:rsidRDefault="009B09BA" w:rsidP="00BB5377">
      <w:pPr>
        <w:rPr>
          <w:iCs/>
        </w:rPr>
      </w:pPr>
      <w:r w:rsidRPr="000224A5">
        <w:t>3.2</w:t>
      </w:r>
      <w:r w:rsidRPr="000224A5">
        <w:tab/>
      </w:r>
      <w:bookmarkStart w:id="40" w:name="lt_pId070"/>
      <w:r w:rsidR="00DD14C8" w:rsidRPr="000224A5">
        <w:t>КГГЧ</w:t>
      </w:r>
      <w:r w:rsidRPr="000224A5">
        <w:t xml:space="preserve"> </w:t>
      </w:r>
      <w:r w:rsidR="00DD14C8" w:rsidRPr="000224A5">
        <w:t>рекомендовала, чтобы руководитель Отдела закупок стал членом секретариата</w:t>
      </w:r>
      <w:r w:rsidRPr="000224A5">
        <w:t xml:space="preserve"> </w:t>
      </w:r>
      <w:r w:rsidR="00BB5377" w:rsidRPr="000224A5">
        <w:rPr>
          <w:lang w:eastAsia="zh-CN"/>
        </w:rPr>
        <w:t>Группы руководства проектом</w:t>
      </w:r>
      <w:r w:rsidRPr="000224A5">
        <w:rPr>
          <w:iCs/>
        </w:rPr>
        <w:t>.</w:t>
      </w:r>
      <w:bookmarkEnd w:id="40"/>
    </w:p>
    <w:p w:rsidR="009B09BA" w:rsidRPr="000224A5" w:rsidRDefault="00DD14C8" w:rsidP="00BB5377">
      <w:pPr>
        <w:rPr>
          <w:i/>
          <w:iCs/>
        </w:rPr>
      </w:pPr>
      <w:bookmarkStart w:id="41" w:name="lt_pId071"/>
      <w:r w:rsidRPr="000224A5">
        <w:rPr>
          <w:i/>
          <w:iCs/>
        </w:rPr>
        <w:t>Эта рекомендация выполнена</w:t>
      </w:r>
      <w:r w:rsidR="009B09BA" w:rsidRPr="000224A5">
        <w:rPr>
          <w:i/>
          <w:iCs/>
        </w:rPr>
        <w:t>:</w:t>
      </w:r>
      <w:bookmarkEnd w:id="41"/>
      <w:r w:rsidR="009B09BA" w:rsidRPr="000224A5">
        <w:rPr>
          <w:i/>
          <w:iCs/>
        </w:rPr>
        <w:t xml:space="preserve"> </w:t>
      </w:r>
      <w:bookmarkStart w:id="42" w:name="lt_pId072"/>
      <w:r w:rsidRPr="000224A5">
        <w:rPr>
          <w:i/>
          <w:iCs/>
        </w:rPr>
        <w:t xml:space="preserve">в настоящее время в состав </w:t>
      </w:r>
      <w:r w:rsidR="00BB5377" w:rsidRPr="000224A5">
        <w:rPr>
          <w:i/>
          <w:iCs/>
          <w:lang w:eastAsia="zh-CN"/>
        </w:rPr>
        <w:t>Группы руководства проектом</w:t>
      </w:r>
      <w:r w:rsidRPr="000224A5">
        <w:rPr>
          <w:i/>
          <w:iCs/>
        </w:rPr>
        <w:t xml:space="preserve"> входят</w:t>
      </w:r>
      <w:r w:rsidR="009B09BA" w:rsidRPr="000224A5">
        <w:rPr>
          <w:i/>
          <w:iCs/>
        </w:rPr>
        <w:t>:</w:t>
      </w:r>
      <w:bookmarkEnd w:id="42"/>
      <w:r w:rsidR="009B09BA" w:rsidRPr="000224A5">
        <w:rPr>
          <w:i/>
          <w:iCs/>
        </w:rPr>
        <w:t xml:space="preserve"> </w:t>
      </w:r>
      <w:bookmarkStart w:id="43" w:name="lt_pId073"/>
      <w:r w:rsidR="003E4CEA" w:rsidRPr="000224A5">
        <w:rPr>
          <w:i/>
          <w:iCs/>
        </w:rPr>
        <w:t xml:space="preserve">заместитель </w:t>
      </w:r>
      <w:r w:rsidRPr="000224A5">
        <w:rPr>
          <w:i/>
          <w:iCs/>
        </w:rPr>
        <w:t>Генерального секретаря</w:t>
      </w:r>
      <w:r w:rsidR="009B09BA" w:rsidRPr="000224A5">
        <w:rPr>
          <w:i/>
          <w:iCs/>
        </w:rPr>
        <w:t>;</w:t>
      </w:r>
      <w:bookmarkEnd w:id="43"/>
      <w:r w:rsidR="009B09BA" w:rsidRPr="000224A5">
        <w:rPr>
          <w:i/>
          <w:iCs/>
        </w:rPr>
        <w:t xml:space="preserve"> </w:t>
      </w:r>
      <w:bookmarkStart w:id="44" w:name="lt_pId074"/>
      <w:r w:rsidRPr="000224A5">
        <w:rPr>
          <w:i/>
          <w:iCs/>
          <w:color w:val="000000"/>
        </w:rPr>
        <w:t>Советник по правовым вопросам – руководитель подразделения по правовым вопросам</w:t>
      </w:r>
      <w:r w:rsidR="009B09BA" w:rsidRPr="000224A5">
        <w:rPr>
          <w:i/>
          <w:iCs/>
        </w:rPr>
        <w:t>;</w:t>
      </w:r>
      <w:bookmarkEnd w:id="44"/>
      <w:r w:rsidR="009B09BA" w:rsidRPr="000224A5">
        <w:rPr>
          <w:i/>
          <w:iCs/>
        </w:rPr>
        <w:t xml:space="preserve"> </w:t>
      </w:r>
      <w:bookmarkStart w:id="45" w:name="lt_pId075"/>
      <w:r w:rsidRPr="000224A5">
        <w:rPr>
          <w:i/>
          <w:iCs/>
        </w:rPr>
        <w:t>руководитель Департамента управления финансовыми ресурсами</w:t>
      </w:r>
      <w:r w:rsidR="009B09BA" w:rsidRPr="000224A5">
        <w:rPr>
          <w:i/>
          <w:iCs/>
        </w:rPr>
        <w:t>;</w:t>
      </w:r>
      <w:bookmarkEnd w:id="45"/>
      <w:r w:rsidR="009B09BA" w:rsidRPr="000224A5">
        <w:rPr>
          <w:i/>
          <w:iCs/>
        </w:rPr>
        <w:t xml:space="preserve"> </w:t>
      </w:r>
      <w:bookmarkStart w:id="46" w:name="lt_pId076"/>
      <w:r w:rsidRPr="000224A5">
        <w:rPr>
          <w:i/>
          <w:iCs/>
        </w:rPr>
        <w:t>руководитель Департамента управления людскими ресурсами</w:t>
      </w:r>
      <w:r w:rsidR="009B09BA" w:rsidRPr="000224A5">
        <w:rPr>
          <w:i/>
          <w:iCs/>
        </w:rPr>
        <w:t>;</w:t>
      </w:r>
      <w:bookmarkEnd w:id="46"/>
      <w:r w:rsidR="009B09BA" w:rsidRPr="000224A5">
        <w:rPr>
          <w:i/>
          <w:iCs/>
        </w:rPr>
        <w:t xml:space="preserve"> </w:t>
      </w:r>
      <w:bookmarkStart w:id="47" w:name="lt_pId077"/>
      <w:r w:rsidRPr="000224A5">
        <w:rPr>
          <w:i/>
          <w:iCs/>
        </w:rPr>
        <w:t>руководитель Отдела по закупкам</w:t>
      </w:r>
      <w:r w:rsidR="009B09BA" w:rsidRPr="000224A5">
        <w:rPr>
          <w:i/>
          <w:iCs/>
        </w:rPr>
        <w:t>;</w:t>
      </w:r>
      <w:bookmarkEnd w:id="47"/>
      <w:r w:rsidR="009B09BA" w:rsidRPr="000224A5">
        <w:rPr>
          <w:i/>
          <w:iCs/>
        </w:rPr>
        <w:t xml:space="preserve"> </w:t>
      </w:r>
      <w:bookmarkStart w:id="48" w:name="lt_pId078"/>
      <w:r w:rsidRPr="000224A5">
        <w:rPr>
          <w:i/>
          <w:iCs/>
        </w:rPr>
        <w:t>руководитель Отдела административно-хозяйственного управления</w:t>
      </w:r>
      <w:r w:rsidR="009B09BA" w:rsidRPr="000224A5">
        <w:rPr>
          <w:i/>
          <w:iCs/>
        </w:rPr>
        <w:t>.</w:t>
      </w:r>
      <w:bookmarkEnd w:id="48"/>
      <w:r w:rsidR="009B09BA" w:rsidRPr="000224A5">
        <w:rPr>
          <w:i/>
          <w:iCs/>
        </w:rPr>
        <w:t xml:space="preserve"> </w:t>
      </w:r>
    </w:p>
    <w:p w:rsidR="009B09BA" w:rsidRPr="000224A5" w:rsidRDefault="009B09BA" w:rsidP="00BB5377">
      <w:pPr>
        <w:rPr>
          <w:shd w:val="clear" w:color="auto" w:fill="FFFFFF"/>
        </w:rPr>
      </w:pPr>
      <w:r w:rsidRPr="000224A5">
        <w:t>3.3</w:t>
      </w:r>
      <w:r w:rsidRPr="000224A5">
        <w:tab/>
      </w:r>
      <w:bookmarkStart w:id="49" w:name="lt_pId080"/>
      <w:r w:rsidR="00DD14C8" w:rsidRPr="000224A5">
        <w:t>КГГЧ</w:t>
      </w:r>
      <w:r w:rsidRPr="000224A5">
        <w:t xml:space="preserve"> </w:t>
      </w:r>
      <w:r w:rsidR="00D82DC8" w:rsidRPr="000224A5">
        <w:t>подчеркнула необходимость проведения международного архитектурного конкурса, который обеспечил бы широкое распространение публикации на международном рынке с помощью обычных каналов, используемых для проведения торгов ООН</w:t>
      </w:r>
      <w:r w:rsidRPr="000224A5">
        <w:t xml:space="preserve">, </w:t>
      </w:r>
      <w:r w:rsidR="00D82DC8" w:rsidRPr="000224A5">
        <w:t>а также определил потребность в опубликовании на английском языке базовых документов об условиях проведения торгов</w:t>
      </w:r>
      <w:r w:rsidRPr="000224A5">
        <w:t>.</w:t>
      </w:r>
      <w:bookmarkEnd w:id="49"/>
      <w:r w:rsidRPr="000224A5">
        <w:t xml:space="preserve"> </w:t>
      </w:r>
      <w:bookmarkStart w:id="50" w:name="lt_pId081"/>
      <w:r w:rsidR="00DD14C8" w:rsidRPr="000224A5">
        <w:t>КГГЧ</w:t>
      </w:r>
      <w:r w:rsidRPr="000224A5">
        <w:t xml:space="preserve"> </w:t>
      </w:r>
      <w:r w:rsidR="00D82DC8" w:rsidRPr="000224A5">
        <w:t>также рекомендовала, чтобы МСЭ выпустил пресс-релиз в целях рекламы архитектурного конкурса и поощрения представления вкладов</w:t>
      </w:r>
      <w:r w:rsidRPr="000224A5">
        <w:t>.</w:t>
      </w:r>
      <w:bookmarkEnd w:id="50"/>
    </w:p>
    <w:p w:rsidR="009B09BA" w:rsidRPr="000224A5" w:rsidRDefault="00D82DC8" w:rsidP="00721CBB">
      <w:pPr>
        <w:rPr>
          <w:i/>
          <w:iCs/>
          <w:szCs w:val="24"/>
        </w:rPr>
      </w:pPr>
      <w:bookmarkStart w:id="51" w:name="lt_pId082"/>
      <w:r w:rsidRPr="000224A5">
        <w:rPr>
          <w:i/>
          <w:iCs/>
        </w:rPr>
        <w:t>Эта рекомендация выполнена</w:t>
      </w:r>
      <w:r w:rsidR="009B09BA" w:rsidRPr="000224A5">
        <w:rPr>
          <w:i/>
          <w:iCs/>
          <w:shd w:val="clear" w:color="auto" w:fill="FFFFFF"/>
        </w:rPr>
        <w:t>:</w:t>
      </w:r>
      <w:bookmarkEnd w:id="51"/>
      <w:r w:rsidR="009B09BA" w:rsidRPr="000224A5">
        <w:rPr>
          <w:i/>
          <w:iCs/>
          <w:shd w:val="clear" w:color="auto" w:fill="FFFFFF"/>
        </w:rPr>
        <w:t xml:space="preserve"> </w:t>
      </w:r>
      <w:bookmarkStart w:id="52" w:name="lt_pId083"/>
      <w:r w:rsidRPr="000224A5">
        <w:rPr>
          <w:i/>
          <w:iCs/>
          <w:shd w:val="clear" w:color="auto" w:fill="FFFFFF"/>
        </w:rPr>
        <w:t>информация о конкурсе опубликована на веб-сайте Глобального рынка Организации Объединенных Наций, на</w:t>
      </w:r>
      <w:r w:rsidR="009B09BA" w:rsidRPr="000224A5">
        <w:rPr>
          <w:i/>
          <w:iCs/>
          <w:shd w:val="clear" w:color="auto" w:fill="FFFFFF"/>
        </w:rPr>
        <w:t xml:space="preserve"> </w:t>
      </w:r>
      <w:hyperlink r:id="rId11" w:history="1">
        <w:r w:rsidRPr="000224A5">
          <w:rPr>
            <w:rStyle w:val="Hyperlink"/>
            <w:rFonts w:asciiTheme="minorHAnsi" w:hAnsiTheme="minorHAnsi"/>
            <w:i/>
            <w:iCs/>
            <w:shd w:val="clear" w:color="auto" w:fill="FFFFFF"/>
          </w:rPr>
          <w:t>веб-сайте МСЭ</w:t>
        </w:r>
      </w:hyperlink>
      <w:r w:rsidR="009B09BA" w:rsidRPr="000224A5">
        <w:rPr>
          <w:i/>
          <w:iCs/>
          <w:shd w:val="clear" w:color="auto" w:fill="FFFFFF"/>
        </w:rPr>
        <w:t xml:space="preserve">, </w:t>
      </w:r>
      <w:r w:rsidRPr="000224A5">
        <w:rPr>
          <w:i/>
          <w:iCs/>
          <w:shd w:val="clear" w:color="auto" w:fill="FFFFFF"/>
        </w:rPr>
        <w:t>на швейцарском портале</w:t>
      </w:r>
      <w:r w:rsidR="00EA4037" w:rsidRPr="000224A5">
        <w:rPr>
          <w:i/>
          <w:iCs/>
          <w:shd w:val="clear" w:color="auto" w:fill="FFFFFF"/>
        </w:rPr>
        <w:t xml:space="preserve"> проектных закупок для строительства</w:t>
      </w:r>
      <w:r w:rsidR="009B09BA" w:rsidRPr="000224A5">
        <w:rPr>
          <w:i/>
          <w:iCs/>
          <w:shd w:val="clear" w:color="auto" w:fill="FFFFFF"/>
        </w:rPr>
        <w:t xml:space="preserve"> </w:t>
      </w:r>
      <w:hyperlink r:id="rId12" w:history="1">
        <w:r w:rsidR="009B09BA" w:rsidRPr="000224A5">
          <w:rPr>
            <w:rStyle w:val="Hyperlink"/>
            <w:rFonts w:asciiTheme="minorHAnsi" w:hAnsiTheme="minorHAnsi"/>
            <w:i/>
            <w:iCs/>
            <w:shd w:val="clear" w:color="auto" w:fill="FFFFFF"/>
          </w:rPr>
          <w:t>SIMAP</w:t>
        </w:r>
      </w:hyperlink>
      <w:r w:rsidR="009B09BA" w:rsidRPr="000224A5">
        <w:rPr>
          <w:i/>
          <w:iCs/>
          <w:shd w:val="clear" w:color="auto" w:fill="FFFFFF"/>
        </w:rPr>
        <w:t>.</w:t>
      </w:r>
      <w:bookmarkEnd w:id="52"/>
      <w:r w:rsidR="009B09BA" w:rsidRPr="000224A5">
        <w:rPr>
          <w:i/>
          <w:iCs/>
          <w:shd w:val="clear" w:color="auto" w:fill="FFFFFF"/>
        </w:rPr>
        <w:t xml:space="preserve"> </w:t>
      </w:r>
      <w:bookmarkStart w:id="53" w:name="lt_pId084"/>
      <w:r w:rsidR="00EA4037" w:rsidRPr="000224A5">
        <w:rPr>
          <w:i/>
          <w:iCs/>
          <w:shd w:val="clear" w:color="auto" w:fill="FFFFFF"/>
        </w:rPr>
        <w:t>МСЭ выпустил</w:t>
      </w:r>
      <w:r w:rsidR="009B09BA" w:rsidRPr="000224A5">
        <w:rPr>
          <w:i/>
          <w:iCs/>
          <w:shd w:val="clear" w:color="auto" w:fill="FFFFFF"/>
        </w:rPr>
        <w:t xml:space="preserve"> </w:t>
      </w:r>
      <w:hyperlink r:id="rId13" w:history="1">
        <w:r w:rsidR="00EA4037" w:rsidRPr="000224A5">
          <w:rPr>
            <w:rStyle w:val="Hyperlink"/>
            <w:rFonts w:asciiTheme="minorHAnsi" w:hAnsiTheme="minorHAnsi"/>
            <w:i/>
            <w:iCs/>
            <w:shd w:val="clear" w:color="auto" w:fill="FFFFFF"/>
          </w:rPr>
          <w:t>пресс-релиз</w:t>
        </w:r>
      </w:hyperlink>
      <w:r w:rsidR="009B09BA" w:rsidRPr="000224A5">
        <w:rPr>
          <w:i/>
          <w:iCs/>
          <w:shd w:val="clear" w:color="auto" w:fill="FFFFFF"/>
        </w:rPr>
        <w:t xml:space="preserve"> 13</w:t>
      </w:r>
      <w:r w:rsidR="00EA4037" w:rsidRPr="000224A5">
        <w:rPr>
          <w:i/>
          <w:iCs/>
          <w:shd w:val="clear" w:color="auto" w:fill="FFFFFF"/>
        </w:rPr>
        <w:t xml:space="preserve"> апреля</w:t>
      </w:r>
      <w:r w:rsidR="009B09BA" w:rsidRPr="000224A5">
        <w:rPr>
          <w:i/>
          <w:iCs/>
          <w:shd w:val="clear" w:color="auto" w:fill="FFFFFF"/>
        </w:rPr>
        <w:t xml:space="preserve"> 2017</w:t>
      </w:r>
      <w:r w:rsidR="00EA4037" w:rsidRPr="000224A5">
        <w:rPr>
          <w:i/>
          <w:iCs/>
          <w:shd w:val="clear" w:color="auto" w:fill="FFFFFF"/>
        </w:rPr>
        <w:t xml:space="preserve"> года и Циркулярное письмо, адресованное Постоянным представительствам</w:t>
      </w:r>
      <w:r w:rsidR="009B09BA" w:rsidRPr="000224A5">
        <w:rPr>
          <w:i/>
          <w:iCs/>
          <w:shd w:val="clear" w:color="auto" w:fill="FFFFFF"/>
        </w:rPr>
        <w:t xml:space="preserve"> (</w:t>
      </w:r>
      <w:hyperlink r:id="rId14" w:history="1">
        <w:r w:rsidR="009B09BA" w:rsidRPr="000224A5">
          <w:rPr>
            <w:rStyle w:val="Hyperlink"/>
            <w:rFonts w:asciiTheme="minorHAnsi" w:hAnsiTheme="minorHAnsi"/>
            <w:i/>
            <w:iCs/>
            <w:shd w:val="clear" w:color="auto" w:fill="FFFFFF"/>
          </w:rPr>
          <w:t>CL17/13</w:t>
        </w:r>
      </w:hyperlink>
      <w:r w:rsidR="009B09BA" w:rsidRPr="000224A5">
        <w:rPr>
          <w:i/>
          <w:iCs/>
          <w:shd w:val="clear" w:color="auto" w:fill="FFFFFF"/>
        </w:rPr>
        <w:t>)</w:t>
      </w:r>
      <w:r w:rsidR="00EA4037" w:rsidRPr="000224A5">
        <w:rPr>
          <w:i/>
          <w:iCs/>
          <w:shd w:val="clear" w:color="auto" w:fill="FFFFFF"/>
        </w:rPr>
        <w:t>, от 10 апреля</w:t>
      </w:r>
      <w:r w:rsidR="009B09BA" w:rsidRPr="000224A5">
        <w:rPr>
          <w:i/>
          <w:iCs/>
          <w:shd w:val="clear" w:color="auto" w:fill="FFFFFF"/>
        </w:rPr>
        <w:t xml:space="preserve"> 2017</w:t>
      </w:r>
      <w:r w:rsidR="00EA4037" w:rsidRPr="000224A5">
        <w:rPr>
          <w:i/>
          <w:iCs/>
          <w:shd w:val="clear" w:color="auto" w:fill="FFFFFF"/>
        </w:rPr>
        <w:t xml:space="preserve"> года</w:t>
      </w:r>
      <w:r w:rsidR="009B09BA" w:rsidRPr="000224A5">
        <w:rPr>
          <w:i/>
          <w:iCs/>
          <w:shd w:val="clear" w:color="auto" w:fill="FFFFFF"/>
        </w:rPr>
        <w:t>.</w:t>
      </w:r>
      <w:bookmarkEnd w:id="53"/>
      <w:r w:rsidR="009B09BA" w:rsidRPr="000224A5">
        <w:rPr>
          <w:i/>
          <w:iCs/>
          <w:shd w:val="clear" w:color="auto" w:fill="FFFFFF"/>
        </w:rPr>
        <w:t xml:space="preserve"> </w:t>
      </w:r>
      <w:bookmarkStart w:id="54" w:name="lt_pId085"/>
      <w:r w:rsidR="00464954" w:rsidRPr="000224A5">
        <w:rPr>
          <w:i/>
          <w:iCs/>
          <w:shd w:val="clear" w:color="auto" w:fill="FFFFFF"/>
        </w:rPr>
        <w:t>Первоначальный документ с условиями проведения конкурса</w:t>
      </w:r>
      <w:r w:rsidR="009B09BA" w:rsidRPr="000224A5">
        <w:rPr>
          <w:i/>
          <w:iCs/>
          <w:shd w:val="clear" w:color="auto" w:fill="FFFFFF"/>
        </w:rPr>
        <w:t xml:space="preserve"> (</w:t>
      </w:r>
      <w:r w:rsidR="00464954" w:rsidRPr="000224A5">
        <w:rPr>
          <w:i/>
          <w:iCs/>
          <w:shd w:val="clear" w:color="auto" w:fill="FFFFFF"/>
        </w:rPr>
        <w:t>версии на английском и французском языках</w:t>
      </w:r>
      <w:r w:rsidR="009B09BA" w:rsidRPr="000224A5">
        <w:rPr>
          <w:i/>
          <w:iCs/>
          <w:shd w:val="clear" w:color="auto" w:fill="FFFFFF"/>
        </w:rPr>
        <w:t xml:space="preserve">) </w:t>
      </w:r>
      <w:r w:rsidR="00464954" w:rsidRPr="000224A5">
        <w:rPr>
          <w:i/>
          <w:iCs/>
          <w:shd w:val="clear" w:color="auto" w:fill="FFFFFF"/>
        </w:rPr>
        <w:t>сейчас имеется в свободном доступе и может быть загружен на английском и французском языках на веб-сайте МСЭ</w:t>
      </w:r>
      <w:r w:rsidR="009B09BA" w:rsidRPr="000224A5">
        <w:rPr>
          <w:i/>
          <w:iCs/>
          <w:shd w:val="clear" w:color="auto" w:fill="FFFFFF"/>
        </w:rPr>
        <w:t xml:space="preserve">, </w:t>
      </w:r>
      <w:r w:rsidR="00464954" w:rsidRPr="000224A5">
        <w:rPr>
          <w:i/>
          <w:iCs/>
          <w:shd w:val="clear" w:color="auto" w:fill="FFFFFF"/>
        </w:rPr>
        <w:t>на веб-сайте Глобального рынка ООН и (после регистрации в качестве участника торгов</w:t>
      </w:r>
      <w:r w:rsidR="009B09BA" w:rsidRPr="000224A5">
        <w:rPr>
          <w:i/>
          <w:iCs/>
          <w:shd w:val="clear" w:color="auto" w:fill="FFFFFF"/>
        </w:rPr>
        <w:t xml:space="preserve">) </w:t>
      </w:r>
      <w:r w:rsidR="00464954" w:rsidRPr="000224A5">
        <w:rPr>
          <w:i/>
          <w:iCs/>
          <w:shd w:val="clear" w:color="auto" w:fill="FFFFFF"/>
        </w:rPr>
        <w:t>– на веб-сайте</w:t>
      </w:r>
      <w:r w:rsidR="009B09BA" w:rsidRPr="000224A5">
        <w:rPr>
          <w:i/>
          <w:iCs/>
          <w:shd w:val="clear" w:color="auto" w:fill="FFFFFF"/>
        </w:rPr>
        <w:t xml:space="preserve"> SIMAP.</w:t>
      </w:r>
      <w:bookmarkEnd w:id="54"/>
      <w:r w:rsidR="009B09BA" w:rsidRPr="000224A5">
        <w:rPr>
          <w:i/>
          <w:iCs/>
          <w:szCs w:val="24"/>
        </w:rPr>
        <w:t xml:space="preserve"> </w:t>
      </w:r>
      <w:bookmarkStart w:id="55" w:name="lt_pId086"/>
      <w:r w:rsidR="00861B87" w:rsidRPr="000224A5">
        <w:rPr>
          <w:i/>
          <w:iCs/>
          <w:szCs w:val="24"/>
        </w:rPr>
        <w:t>Данные и информация о проведении конкурса, зафиксированные на веб-сайте</w:t>
      </w:r>
      <w:r w:rsidR="009B09BA" w:rsidRPr="000224A5">
        <w:rPr>
          <w:i/>
          <w:iCs/>
          <w:shd w:val="clear" w:color="auto" w:fill="FFFFFF"/>
        </w:rPr>
        <w:t xml:space="preserve"> SIMAP</w:t>
      </w:r>
      <w:r w:rsidR="00861B87" w:rsidRPr="000224A5">
        <w:rPr>
          <w:i/>
          <w:iCs/>
          <w:shd w:val="clear" w:color="auto" w:fill="FFFFFF"/>
        </w:rPr>
        <w:t xml:space="preserve"> на французском языке, переведены на английский язык и предоставляются для загрузки</w:t>
      </w:r>
      <w:r w:rsidR="009B09BA" w:rsidRPr="000224A5">
        <w:rPr>
          <w:i/>
          <w:iCs/>
          <w:shd w:val="clear" w:color="auto" w:fill="FFFFFF"/>
        </w:rPr>
        <w:t>.</w:t>
      </w:r>
      <w:bookmarkEnd w:id="55"/>
      <w:r w:rsidR="00861B87" w:rsidRPr="000224A5">
        <w:rPr>
          <w:i/>
          <w:iCs/>
          <w:shd w:val="clear" w:color="auto" w:fill="FFFFFF"/>
        </w:rPr>
        <w:t xml:space="preserve"> Первоначальный документ о проведении конкурса, подготовленный на английском языке, также может быть загружен посредством меню на английском языке</w:t>
      </w:r>
      <w:bookmarkStart w:id="56" w:name="lt_pId087"/>
      <w:r w:rsidR="009B09BA" w:rsidRPr="000224A5">
        <w:rPr>
          <w:i/>
          <w:iCs/>
          <w:shd w:val="clear" w:color="auto" w:fill="FFFFFF"/>
        </w:rPr>
        <w:t>.</w:t>
      </w:r>
      <w:bookmarkEnd w:id="56"/>
    </w:p>
    <w:p w:rsidR="009B09BA" w:rsidRPr="000224A5" w:rsidRDefault="009B09BA" w:rsidP="00E83E32">
      <w:r w:rsidRPr="000224A5">
        <w:t>3.4</w:t>
      </w:r>
      <w:r w:rsidRPr="000224A5">
        <w:tab/>
      </w:r>
      <w:bookmarkStart w:id="57" w:name="lt_pId089"/>
      <w:r w:rsidR="00DD14C8" w:rsidRPr="000224A5">
        <w:t>КГГЧ</w:t>
      </w:r>
      <w:r w:rsidRPr="000224A5">
        <w:t xml:space="preserve"> </w:t>
      </w:r>
      <w:r w:rsidR="00A97CF5" w:rsidRPr="000224A5">
        <w:t>также рекомендовала, чтобы секретариат</w:t>
      </w:r>
      <w:r w:rsidR="009859EA" w:rsidRPr="000224A5">
        <w:t xml:space="preserve"> изучил вопрос и по мере возможности продлил на одну неделю крайни</w:t>
      </w:r>
      <w:r w:rsidR="00E83E32" w:rsidRPr="000224A5">
        <w:t>е</w:t>
      </w:r>
      <w:r w:rsidR="009859EA" w:rsidRPr="000224A5">
        <w:t xml:space="preserve"> срок</w:t>
      </w:r>
      <w:r w:rsidR="00E83E32" w:rsidRPr="000224A5">
        <w:t>и</w:t>
      </w:r>
      <w:r w:rsidR="009859EA" w:rsidRPr="000224A5">
        <w:t xml:space="preserve"> для представления вопросов и для регистрации, чтобы компенсировать время, упущенное в связи с задержкой опубликования версии на английском языке документа о проведении конкурса и инструкций портала</w:t>
      </w:r>
      <w:r w:rsidRPr="000224A5">
        <w:t>.</w:t>
      </w:r>
      <w:bookmarkEnd w:id="57"/>
    </w:p>
    <w:p w:rsidR="009B09BA" w:rsidRPr="000224A5" w:rsidRDefault="00130282" w:rsidP="003A24E2">
      <w:pPr>
        <w:rPr>
          <w:i/>
          <w:iCs/>
        </w:rPr>
      </w:pPr>
      <w:bookmarkStart w:id="58" w:name="lt_pId090"/>
      <w:r w:rsidRPr="000224A5">
        <w:rPr>
          <w:i/>
          <w:iCs/>
          <w:shd w:val="clear" w:color="auto" w:fill="FFFFFF"/>
        </w:rPr>
        <w:t>Секретариат прове</w:t>
      </w:r>
      <w:r w:rsidR="0030024A" w:rsidRPr="000224A5">
        <w:rPr>
          <w:i/>
          <w:iCs/>
          <w:shd w:val="clear" w:color="auto" w:fill="FFFFFF"/>
        </w:rPr>
        <w:t>л</w:t>
      </w:r>
      <w:r w:rsidRPr="000224A5">
        <w:rPr>
          <w:i/>
          <w:iCs/>
          <w:shd w:val="clear" w:color="auto" w:fill="FFFFFF"/>
        </w:rPr>
        <w:t xml:space="preserve"> консультаци</w:t>
      </w:r>
      <w:r w:rsidR="0030024A" w:rsidRPr="000224A5">
        <w:rPr>
          <w:i/>
          <w:iCs/>
          <w:shd w:val="clear" w:color="auto" w:fill="FFFFFF"/>
        </w:rPr>
        <w:t>и</w:t>
      </w:r>
      <w:r w:rsidRPr="000224A5">
        <w:rPr>
          <w:i/>
          <w:iCs/>
          <w:shd w:val="clear" w:color="auto" w:fill="FFFFFF"/>
        </w:rPr>
        <w:t xml:space="preserve"> с ФИПОИ</w:t>
      </w:r>
      <w:r w:rsidR="009B09BA" w:rsidRPr="000224A5">
        <w:rPr>
          <w:i/>
          <w:iCs/>
          <w:shd w:val="clear" w:color="auto" w:fill="FFFFFF"/>
        </w:rPr>
        <w:t xml:space="preserve">, </w:t>
      </w:r>
      <w:r w:rsidRPr="000224A5">
        <w:rPr>
          <w:i/>
          <w:iCs/>
          <w:shd w:val="clear" w:color="auto" w:fill="FFFFFF"/>
        </w:rPr>
        <w:t>координатором и адвокатом координатора</w:t>
      </w:r>
      <w:r w:rsidR="009B09BA" w:rsidRPr="000224A5">
        <w:rPr>
          <w:i/>
          <w:iCs/>
          <w:shd w:val="clear" w:color="auto" w:fill="FFFFFF"/>
        </w:rPr>
        <w:t>.</w:t>
      </w:r>
      <w:bookmarkEnd w:id="58"/>
      <w:r w:rsidR="009B09BA" w:rsidRPr="000224A5">
        <w:rPr>
          <w:i/>
          <w:iCs/>
          <w:shd w:val="clear" w:color="auto" w:fill="FFFFFF"/>
        </w:rPr>
        <w:t xml:space="preserve"> </w:t>
      </w:r>
      <w:bookmarkStart w:id="59" w:name="lt_pId091"/>
      <w:r w:rsidR="0067780F" w:rsidRPr="000224A5">
        <w:rPr>
          <w:i/>
          <w:iCs/>
          <w:shd w:val="clear" w:color="auto" w:fill="FFFFFF"/>
        </w:rPr>
        <w:t>В</w:t>
      </w:r>
      <w:r w:rsidR="003A24E2" w:rsidRPr="000224A5">
        <w:rPr>
          <w:i/>
          <w:iCs/>
          <w:shd w:val="clear" w:color="auto" w:fill="FFFFFF"/>
        </w:rPr>
        <w:t> </w:t>
      </w:r>
      <w:r w:rsidR="0067780F" w:rsidRPr="000224A5">
        <w:rPr>
          <w:i/>
          <w:iCs/>
          <w:shd w:val="clear" w:color="auto" w:fill="FFFFFF"/>
        </w:rPr>
        <w:t>соответствии с юридическим заключением внешнего адвоката и подразделения МСЭ по правовым вопросам такое решение сопряжено со значительным правовым риском</w:t>
      </w:r>
      <w:r w:rsidR="009B09BA" w:rsidRPr="000224A5">
        <w:rPr>
          <w:i/>
          <w:iCs/>
          <w:color w:val="000000"/>
        </w:rPr>
        <w:t>.</w:t>
      </w:r>
      <w:bookmarkEnd w:id="59"/>
    </w:p>
    <w:p w:rsidR="009B09BA" w:rsidRPr="000224A5" w:rsidRDefault="009B09BA" w:rsidP="00C258B0">
      <w:r w:rsidRPr="000224A5">
        <w:lastRenderedPageBreak/>
        <w:t>3.5</w:t>
      </w:r>
      <w:r w:rsidRPr="000224A5">
        <w:tab/>
      </w:r>
      <w:bookmarkStart w:id="60" w:name="lt_pId093"/>
      <w:r w:rsidR="00DD14C8" w:rsidRPr="000224A5">
        <w:t>КГГЧ</w:t>
      </w:r>
      <w:r w:rsidRPr="000224A5">
        <w:t xml:space="preserve"> </w:t>
      </w:r>
      <w:r w:rsidR="00705420" w:rsidRPr="000224A5">
        <w:t>была представлена информация о предложении Независимого консультативного комитета по управлению (</w:t>
      </w:r>
      <w:r w:rsidRPr="000224A5">
        <w:t>IMAC</w:t>
      </w:r>
      <w:r w:rsidR="00705420" w:rsidRPr="000224A5">
        <w:t>) рассмотреть вопрос о заключении контракта на конкурсной основе</w:t>
      </w:r>
      <w:r w:rsidR="00303FEE" w:rsidRPr="000224A5">
        <w:t xml:space="preserve"> с фирмой по вопросам профессионального управления проектами, обладающей большим опытом работы в области строительных проектов, способной осуществлять аудиторские проверки и проводить обзор применяемых методов управления и контроля на важнейших этапах строительных работ</w:t>
      </w:r>
      <w:r w:rsidRPr="000224A5">
        <w:t>.</w:t>
      </w:r>
      <w:bookmarkEnd w:id="60"/>
      <w:r w:rsidRPr="000224A5">
        <w:t xml:space="preserve"> </w:t>
      </w:r>
      <w:bookmarkStart w:id="61" w:name="lt_pId094"/>
      <w:r w:rsidR="00DD14C8" w:rsidRPr="000224A5">
        <w:t>КГГЧ</w:t>
      </w:r>
      <w:r w:rsidRPr="000224A5">
        <w:t xml:space="preserve"> </w:t>
      </w:r>
      <w:r w:rsidR="00303FEE" w:rsidRPr="000224A5">
        <w:t xml:space="preserve">посчитала, что на данном этапе в этом нет необходимости, принимая во внимание </w:t>
      </w:r>
      <w:r w:rsidR="00C258B0" w:rsidRPr="000224A5">
        <w:t>всестороннее руководство</w:t>
      </w:r>
      <w:r w:rsidR="00303FEE" w:rsidRPr="000224A5">
        <w:t xml:space="preserve">, </w:t>
      </w:r>
      <w:r w:rsidR="00C258B0" w:rsidRPr="000224A5">
        <w:t>осуществляемое</w:t>
      </w:r>
      <w:r w:rsidR="00303FEE" w:rsidRPr="000224A5">
        <w:t xml:space="preserve"> Советом, однако рекомендовала назначить внешнего эксперта, обладающего опытом управления крупными строительными проектами, чтобы оказывать помощь </w:t>
      </w:r>
      <w:r w:rsidR="00BB5377" w:rsidRPr="000224A5">
        <w:rPr>
          <w:lang w:eastAsia="zh-CN"/>
        </w:rPr>
        <w:t>Группе руководства проектом</w:t>
      </w:r>
      <w:r w:rsidRPr="000224A5">
        <w:t xml:space="preserve"> (</w:t>
      </w:r>
      <w:r w:rsidR="00303FEE" w:rsidRPr="000224A5">
        <w:t>в соответствии с тем, что предусмотрено в решении Совета</w:t>
      </w:r>
      <w:r w:rsidRPr="000224A5">
        <w:t>).</w:t>
      </w:r>
      <w:bookmarkEnd w:id="61"/>
      <w:r w:rsidR="00303FEE" w:rsidRPr="000224A5">
        <w:t xml:space="preserve"> Секретариат предложит временный контракт на основе проекта для технического консультанта</w:t>
      </w:r>
      <w:r w:rsidRPr="000224A5">
        <w:t xml:space="preserve"> </w:t>
      </w:r>
      <w:bookmarkStart w:id="62" w:name="lt_pId095"/>
      <w:r w:rsidR="00303FEE" w:rsidRPr="000224A5">
        <w:t xml:space="preserve">по вопросам архитектуры/гражданского строительства, чтобы оказывать помощь </w:t>
      </w:r>
      <w:r w:rsidR="00BB5377" w:rsidRPr="000224A5">
        <w:rPr>
          <w:lang w:eastAsia="zh-CN"/>
        </w:rPr>
        <w:t>Группе руководства проектом</w:t>
      </w:r>
      <w:r w:rsidR="00303FEE" w:rsidRPr="000224A5">
        <w:t>, начиная с третьего квартала</w:t>
      </w:r>
      <w:r w:rsidRPr="000224A5">
        <w:t xml:space="preserve"> 2017</w:t>
      </w:r>
      <w:r w:rsidR="00303FEE" w:rsidRPr="000224A5">
        <w:t xml:space="preserve"> года</w:t>
      </w:r>
      <w:r w:rsidRPr="000224A5">
        <w:t>,</w:t>
      </w:r>
      <w:r w:rsidR="00303FEE" w:rsidRPr="000224A5">
        <w:t xml:space="preserve"> причем финансирование будет осуществляться за счет проекта</w:t>
      </w:r>
      <w:r w:rsidRPr="000224A5">
        <w:t>.</w:t>
      </w:r>
      <w:bookmarkEnd w:id="62"/>
      <w:r w:rsidRPr="000224A5">
        <w:t xml:space="preserve"> </w:t>
      </w:r>
    </w:p>
    <w:p w:rsidR="009B09BA" w:rsidRPr="000224A5" w:rsidRDefault="009B09BA" w:rsidP="002A0B0C">
      <w:r w:rsidRPr="000224A5">
        <w:t>3.6</w:t>
      </w:r>
      <w:r w:rsidRPr="000224A5">
        <w:tab/>
      </w:r>
      <w:bookmarkStart w:id="63" w:name="lt_pId097"/>
      <w:r w:rsidR="00DD14C8" w:rsidRPr="000224A5">
        <w:t>КГГЧ</w:t>
      </w:r>
      <w:r w:rsidRPr="000224A5">
        <w:t xml:space="preserve"> </w:t>
      </w:r>
      <w:r w:rsidR="002A0B0C" w:rsidRPr="000224A5">
        <w:t xml:space="preserve">просила, чтобы вопросы и ответы на них были опубликованы на веб-сайте </w:t>
      </w:r>
      <w:r w:rsidR="002A0B0C" w:rsidRPr="000224A5">
        <w:rPr>
          <w:shd w:val="clear" w:color="auto" w:fill="FFFFFF"/>
        </w:rPr>
        <w:t>Глобального рынка ООН и на веб-сайте МСЭ</w:t>
      </w:r>
      <w:r w:rsidRPr="000224A5">
        <w:t>.</w:t>
      </w:r>
      <w:bookmarkEnd w:id="63"/>
      <w:r w:rsidRPr="000224A5">
        <w:t xml:space="preserve"> </w:t>
      </w:r>
      <w:bookmarkStart w:id="64" w:name="lt_pId098"/>
      <w:r w:rsidR="002A0B0C" w:rsidRPr="000224A5">
        <w:t>Секретариат будет выполнять эту просьбу.</w:t>
      </w:r>
      <w:bookmarkEnd w:id="64"/>
      <w:r w:rsidRPr="000224A5">
        <w:t xml:space="preserve"> </w:t>
      </w:r>
    </w:p>
    <w:p w:rsidR="009B09BA" w:rsidRPr="000224A5" w:rsidRDefault="009B09BA" w:rsidP="009B09BA">
      <w:r w:rsidRPr="000224A5">
        <w:br w:type="page"/>
      </w:r>
    </w:p>
    <w:p w:rsidR="00F92912" w:rsidRPr="000224A5" w:rsidRDefault="00F92912" w:rsidP="00AC1A33">
      <w:pPr>
        <w:pStyle w:val="AnnexNo"/>
        <w:rPr>
          <w:lang w:eastAsia="zh-CN"/>
        </w:rPr>
      </w:pPr>
      <w:bookmarkStart w:id="65" w:name="lt_pId099"/>
      <w:r w:rsidRPr="000224A5">
        <w:rPr>
          <w:lang w:eastAsia="zh-CN"/>
        </w:rPr>
        <w:lastRenderedPageBreak/>
        <w:t>ПРИЛОЖЕНИЕ</w:t>
      </w:r>
      <w:r w:rsidR="009B484E" w:rsidRPr="000224A5">
        <w:rPr>
          <w:lang w:eastAsia="zh-CN"/>
        </w:rPr>
        <w:t xml:space="preserve"> 1</w:t>
      </w:r>
    </w:p>
    <w:p w:rsidR="00F92912" w:rsidRPr="000224A5" w:rsidRDefault="00F92912" w:rsidP="00F92912">
      <w:pPr>
        <w:pStyle w:val="Annextitle"/>
        <w:rPr>
          <w:rFonts w:ascii="Calibri,Bold" w:hAnsi="Calibri,Bold" w:cs="Calibri,Bold"/>
          <w:lang w:eastAsia="zh-CN"/>
        </w:rPr>
      </w:pPr>
      <w:r w:rsidRPr="000224A5">
        <w:rPr>
          <w:lang w:eastAsia="zh-CN"/>
        </w:rPr>
        <w:t>Проект</w:t>
      </w:r>
      <w:r w:rsidRPr="000224A5">
        <w:rPr>
          <w:rFonts w:ascii="Calibri,Bold" w:hAnsi="Calibri,Bold" w:cs="Calibri,Bold"/>
          <w:lang w:eastAsia="zh-CN"/>
        </w:rPr>
        <w:t xml:space="preserve"> </w:t>
      </w:r>
      <w:r w:rsidRPr="000224A5">
        <w:rPr>
          <w:lang w:eastAsia="zh-CN"/>
        </w:rPr>
        <w:t>по</w:t>
      </w:r>
      <w:r w:rsidRPr="000224A5">
        <w:rPr>
          <w:rFonts w:ascii="Calibri,Bold" w:hAnsi="Calibri,Bold" w:cs="Calibri,Bold"/>
          <w:lang w:eastAsia="zh-CN"/>
        </w:rPr>
        <w:t xml:space="preserve"> </w:t>
      </w:r>
      <w:r w:rsidRPr="000224A5">
        <w:rPr>
          <w:lang w:eastAsia="zh-CN"/>
        </w:rPr>
        <w:t>помещениям</w:t>
      </w:r>
      <w:r w:rsidRPr="000224A5">
        <w:rPr>
          <w:rFonts w:ascii="Calibri,Bold" w:hAnsi="Calibri,Bold" w:cs="Calibri,Bold"/>
          <w:lang w:eastAsia="zh-CN"/>
        </w:rPr>
        <w:t xml:space="preserve"> </w:t>
      </w:r>
      <w:r w:rsidRPr="000224A5">
        <w:rPr>
          <w:lang w:eastAsia="zh-CN"/>
        </w:rPr>
        <w:t>штаб</w:t>
      </w:r>
      <w:r w:rsidRPr="000224A5">
        <w:rPr>
          <w:rFonts w:ascii="Calibri,Bold" w:hAnsi="Calibri,Bold" w:cs="Calibri,Bold"/>
          <w:lang w:eastAsia="zh-CN"/>
        </w:rPr>
        <w:t>-</w:t>
      </w:r>
      <w:r w:rsidRPr="000224A5">
        <w:rPr>
          <w:lang w:eastAsia="zh-CN"/>
        </w:rPr>
        <w:t>квартиры</w:t>
      </w:r>
      <w:r w:rsidR="009B484E" w:rsidRPr="000224A5">
        <w:rPr>
          <w:lang w:eastAsia="zh-CN"/>
        </w:rPr>
        <w:t xml:space="preserve"> МСЭ</w:t>
      </w:r>
    </w:p>
    <w:p w:rsidR="00F92912" w:rsidRPr="000224A5" w:rsidRDefault="009B484E" w:rsidP="009B484E">
      <w:pPr>
        <w:pStyle w:val="Annextitle"/>
        <w:rPr>
          <w:lang w:eastAsia="zh-CN"/>
        </w:rPr>
      </w:pPr>
      <w:r w:rsidRPr="000224A5">
        <w:rPr>
          <w:lang w:eastAsia="zh-CN"/>
        </w:rPr>
        <w:t>К</w:t>
      </w:r>
      <w:r w:rsidR="00F92912" w:rsidRPr="000224A5">
        <w:rPr>
          <w:lang w:eastAsia="zh-CN"/>
        </w:rPr>
        <w:t>руг ведения Консультативной группы Государств-Членов (КГГЧ)</w:t>
      </w:r>
    </w:p>
    <w:p w:rsidR="009B09BA" w:rsidRPr="000224A5" w:rsidRDefault="009B09BA" w:rsidP="003E4CEA">
      <w:pPr>
        <w:pStyle w:val="Annexref"/>
      </w:pPr>
      <w:bookmarkStart w:id="66" w:name="lt_pId102"/>
      <w:bookmarkEnd w:id="65"/>
      <w:r w:rsidRPr="000224A5">
        <w:t>(</w:t>
      </w:r>
      <w:r w:rsidR="00BB5377" w:rsidRPr="000224A5">
        <w:t>согласован на втором собрании</w:t>
      </w:r>
      <w:r w:rsidRPr="000224A5">
        <w:t xml:space="preserve"> </w:t>
      </w:r>
      <w:r w:rsidR="00DD14C8" w:rsidRPr="000224A5">
        <w:t>КГГЧ</w:t>
      </w:r>
      <w:r w:rsidRPr="000224A5">
        <w:t xml:space="preserve"> 11 </w:t>
      </w:r>
      <w:r w:rsidR="00BB5377" w:rsidRPr="000224A5">
        <w:t>апреля</w:t>
      </w:r>
      <w:r w:rsidRPr="000224A5">
        <w:t xml:space="preserve"> 2017</w:t>
      </w:r>
      <w:r w:rsidR="00BB5377" w:rsidRPr="000224A5">
        <w:t xml:space="preserve"> г</w:t>
      </w:r>
      <w:r w:rsidR="003E4CEA" w:rsidRPr="000224A5">
        <w:t>.</w:t>
      </w:r>
      <w:r w:rsidRPr="000224A5">
        <w:t>)</w:t>
      </w:r>
      <w:bookmarkEnd w:id="66"/>
    </w:p>
    <w:p w:rsidR="00F92912" w:rsidRPr="000224A5" w:rsidRDefault="00F92912" w:rsidP="00F92912">
      <w:pPr>
        <w:pStyle w:val="Heading1"/>
        <w:rPr>
          <w:rFonts w:asciiTheme="minorHAnsi" w:hAnsiTheme="minorHAnsi" w:cs="Calibri,Bold"/>
          <w:lang w:eastAsia="zh-CN"/>
        </w:rPr>
      </w:pPr>
      <w:r w:rsidRPr="000224A5">
        <w:rPr>
          <w:rFonts w:asciiTheme="minorHAnsi" w:hAnsiTheme="minorHAnsi" w:cs="Calibri,Bold"/>
          <w:lang w:eastAsia="zh-CN"/>
        </w:rPr>
        <w:t>1</w:t>
      </w:r>
      <w:r w:rsidRPr="000224A5">
        <w:rPr>
          <w:rFonts w:asciiTheme="minorHAnsi" w:hAnsiTheme="minorHAnsi" w:cs="Calibri,Bold"/>
          <w:lang w:eastAsia="zh-CN"/>
        </w:rPr>
        <w:tab/>
      </w:r>
      <w:r w:rsidRPr="000224A5">
        <w:rPr>
          <w:rFonts w:asciiTheme="minorHAnsi" w:hAnsiTheme="minorHAnsi"/>
          <w:lang w:eastAsia="zh-CN"/>
        </w:rPr>
        <w:t>Базовая</w:t>
      </w:r>
      <w:r w:rsidRPr="000224A5">
        <w:rPr>
          <w:rFonts w:asciiTheme="minorHAnsi" w:hAnsiTheme="minorHAnsi" w:cs="Calibri,Bold"/>
          <w:lang w:eastAsia="zh-CN"/>
        </w:rPr>
        <w:t xml:space="preserve"> </w:t>
      </w:r>
      <w:r w:rsidRPr="000224A5">
        <w:rPr>
          <w:rFonts w:asciiTheme="minorHAnsi" w:hAnsiTheme="minorHAnsi"/>
          <w:lang w:eastAsia="zh-CN"/>
        </w:rPr>
        <w:t>информация</w:t>
      </w:r>
    </w:p>
    <w:p w:rsidR="00F92912" w:rsidRPr="000224A5" w:rsidRDefault="00AC1A33" w:rsidP="00F92912">
      <w:pPr>
        <w:rPr>
          <w:rFonts w:cs="Calibri"/>
          <w:color w:val="000000"/>
          <w:szCs w:val="22"/>
          <w:lang w:eastAsia="zh-CN"/>
        </w:rPr>
      </w:pPr>
      <w:r w:rsidRPr="000224A5">
        <w:rPr>
          <w:lang w:eastAsia="zh-CN"/>
        </w:rPr>
        <w:t>1.1</w:t>
      </w:r>
      <w:r w:rsidRPr="000224A5">
        <w:rPr>
          <w:lang w:eastAsia="zh-CN"/>
        </w:rPr>
        <w:tab/>
      </w:r>
      <w:r w:rsidR="00F92912" w:rsidRPr="000224A5">
        <w:rPr>
          <w:lang w:eastAsia="zh-CN"/>
        </w:rPr>
        <w:t xml:space="preserve">На своей очередной сессии 2016 года Совет МСЭ в Решении 588 о помещениях штаб-квартиры принял </w:t>
      </w:r>
      <w:r w:rsidR="00F92912" w:rsidRPr="000224A5">
        <w:rPr>
          <w:rFonts w:cs="Calibri"/>
          <w:color w:val="000000"/>
          <w:szCs w:val="22"/>
          <w:lang w:eastAsia="zh-CN"/>
        </w:rPr>
        <w:t>решение (в том числе) о создании консультативного органа в составе Государств-Членов для представления Совету и Генеральному секретарю независимых и беспристрастных рекомендаций по проекту.</w:t>
      </w:r>
    </w:p>
    <w:p w:rsidR="00F92912" w:rsidRPr="000224A5" w:rsidRDefault="00AC1A33" w:rsidP="00AC1A33">
      <w:pPr>
        <w:rPr>
          <w:lang w:eastAsia="zh-CN"/>
        </w:rPr>
      </w:pPr>
      <w:r w:rsidRPr="000224A5">
        <w:rPr>
          <w:lang w:eastAsia="zh-CN"/>
        </w:rPr>
        <w:t>1.2</w:t>
      </w:r>
      <w:r w:rsidRPr="000224A5">
        <w:rPr>
          <w:lang w:eastAsia="zh-CN"/>
        </w:rPr>
        <w:tab/>
      </w:r>
      <w:r w:rsidR="00F92912" w:rsidRPr="000224A5">
        <w:rPr>
          <w:lang w:eastAsia="zh-CN"/>
        </w:rPr>
        <w:t xml:space="preserve">Совет 2016 года утвердил Документ </w:t>
      </w:r>
      <w:hyperlink r:id="rId15" w:history="1">
        <w:r w:rsidR="00AC3FD4" w:rsidRPr="000224A5">
          <w:rPr>
            <w:rFonts w:cs="TimesNewRoman"/>
            <w:color w:val="0000FF"/>
            <w:u w:val="single"/>
          </w:rPr>
          <w:t>C16/107(Rev.1</w:t>
        </w:r>
      </w:hyperlink>
      <w:r w:rsidR="00AC3FD4" w:rsidRPr="000224A5">
        <w:rPr>
          <w:rFonts w:cs="TimesNewRoman"/>
          <w:color w:val="0000FF"/>
          <w:u w:val="single"/>
        </w:rPr>
        <w:t>)</w:t>
      </w:r>
      <w:r w:rsidR="00F92912" w:rsidRPr="000224A5">
        <w:rPr>
          <w:color w:val="0000FF"/>
          <w:lang w:eastAsia="zh-CN"/>
        </w:rPr>
        <w:t xml:space="preserve"> </w:t>
      </w:r>
      <w:r w:rsidR="00F92912" w:rsidRPr="000224A5">
        <w:rPr>
          <w:lang w:eastAsia="zh-CN"/>
        </w:rPr>
        <w:t>"Предложение о структуре управления проектом, связанным с помещениями МСЭ", изменив названия предл</w:t>
      </w:r>
      <w:r w:rsidR="00F92912" w:rsidRPr="000224A5">
        <w:t>а</w:t>
      </w:r>
      <w:r w:rsidR="00F92912" w:rsidRPr="000224A5">
        <w:rPr>
          <w:lang w:eastAsia="zh-CN"/>
        </w:rPr>
        <w:t>гаемых групп управления.</w:t>
      </w:r>
    </w:p>
    <w:p w:rsidR="009B09BA" w:rsidRPr="000224A5" w:rsidRDefault="00AC1A33" w:rsidP="00AC1A33">
      <w:pPr>
        <w:rPr>
          <w:rFonts w:cs="TimesNewRoman"/>
        </w:rPr>
      </w:pPr>
      <w:r w:rsidRPr="000224A5">
        <w:rPr>
          <w:lang w:eastAsia="zh-CN"/>
        </w:rPr>
        <w:t>1.3</w:t>
      </w:r>
      <w:r w:rsidRPr="000224A5">
        <w:rPr>
          <w:lang w:eastAsia="zh-CN"/>
        </w:rPr>
        <w:tab/>
      </w:r>
      <w:r w:rsidR="00F92912" w:rsidRPr="000224A5">
        <w:rPr>
          <w:lang w:eastAsia="zh-CN"/>
        </w:rPr>
        <w:t>Предлагается назвать консультативный орган в составе Государств-Членов по проекту, связанному с помещениями, "Консультативная группа Государств-Членов (КГГЧ)".</w:t>
      </w:r>
    </w:p>
    <w:p w:rsidR="00AC3FD4" w:rsidRPr="000224A5" w:rsidRDefault="00AC3FD4" w:rsidP="003E4CEA">
      <w:pPr>
        <w:pStyle w:val="Heading1"/>
      </w:pPr>
      <w:bookmarkStart w:id="67" w:name="lt_pId113"/>
      <w:r w:rsidRPr="000224A5">
        <w:t>2</w:t>
      </w:r>
      <w:r w:rsidRPr="000224A5">
        <w:tab/>
        <w:t>Назначение КГГЧ</w:t>
      </w:r>
    </w:p>
    <w:bookmarkEnd w:id="67"/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КГГЧ, в соответствии с основанными на передовом опыте руководящими указаниями Объединенной инспекционной группы ООН, а также по просьбе Государств-Членов, будет способствовать обеспечению того, что</w:t>
      </w:r>
      <w:r w:rsidR="00BB5377" w:rsidRPr="000224A5">
        <w:rPr>
          <w:lang w:eastAsia="zh-CN"/>
        </w:rPr>
        <w:t>бы</w:t>
      </w:r>
      <w:r w:rsidRPr="000224A5">
        <w:rPr>
          <w:lang w:eastAsia="zh-CN"/>
        </w:rPr>
        <w:t>:</w:t>
      </w:r>
    </w:p>
    <w:p w:rsidR="00AC3FD4" w:rsidRPr="000224A5" w:rsidRDefault="00AC3FD4" w:rsidP="00BB5377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Государства – Члены МСЭ осуществля</w:t>
      </w:r>
      <w:r w:rsidR="00BB5377" w:rsidRPr="000224A5">
        <w:rPr>
          <w:lang w:eastAsia="zh-CN"/>
        </w:rPr>
        <w:t>ли</w:t>
      </w:r>
      <w:r w:rsidRPr="000224A5">
        <w:rPr>
          <w:lang w:eastAsia="zh-CN"/>
        </w:rPr>
        <w:t xml:space="preserve"> контролирующие и надзорные функции в отношении проекта по помещениям штаб-квартиры МСЭ;</w:t>
      </w:r>
    </w:p>
    <w:p w:rsidR="00AC3FD4" w:rsidRPr="000224A5" w:rsidRDefault="00AC3FD4" w:rsidP="00BB5377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концепция и реализация проекта отвеча</w:t>
      </w:r>
      <w:r w:rsidR="00BB5377" w:rsidRPr="000224A5">
        <w:rPr>
          <w:lang w:eastAsia="zh-CN"/>
        </w:rPr>
        <w:t>ли</w:t>
      </w:r>
      <w:r w:rsidRPr="000224A5">
        <w:rPr>
          <w:lang w:eastAsia="zh-CN"/>
        </w:rPr>
        <w:t xml:space="preserve"> потребностям и целям Государств-Членов и Союза.</w:t>
      </w:r>
    </w:p>
    <w:p w:rsidR="00AC3FD4" w:rsidRPr="000224A5" w:rsidRDefault="00AC3FD4" w:rsidP="003E4CEA">
      <w:pPr>
        <w:pStyle w:val="Heading1"/>
      </w:pPr>
      <w:r w:rsidRPr="000224A5">
        <w:t>3</w:t>
      </w:r>
      <w:r w:rsidRPr="000224A5">
        <w:tab/>
        <w:t>Роль КГГЧ</w:t>
      </w:r>
    </w:p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3.1</w:t>
      </w:r>
      <w:r w:rsidRPr="000224A5">
        <w:rPr>
          <w:lang w:eastAsia="zh-CN"/>
        </w:rPr>
        <w:tab/>
        <w:t>КГГЧ была создана в целях обеспечения Государствам-Членам возможности представления в ходе осуществления проекта по помещениям штаб-квартиры МСЭ своих интересов целенаправленным, всеобъемлющим и упорядоченным образом. Группа обеспечит открытый, прозрачный процесс, в котором представлены интересы всех Государств – Членов Союза.</w:t>
      </w:r>
    </w:p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3.2</w:t>
      </w:r>
      <w:r w:rsidRPr="000224A5">
        <w:rPr>
          <w:lang w:eastAsia="zh-CN"/>
        </w:rPr>
        <w:tab/>
        <w:t>КГГЧ будет представлять Совету и Генеральному секретарю рекомендации и консультации общего характера по основным аспектам проекта.</w:t>
      </w:r>
    </w:p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3.3</w:t>
      </w:r>
      <w:r w:rsidRPr="000224A5">
        <w:rPr>
          <w:lang w:eastAsia="zh-CN"/>
        </w:rPr>
        <w:tab/>
        <w:t>Вклады КГГЧ для Группы руководства проектом (ГРП) МСЭ будут поступать на этапах планирования и реализации в виде информации, обратной связи и рекомендаций, которые будут учитываться ГРП в процессе проектирования и реализации проекта. Наряду с этим КГГЧ будет осуществлять консультирование ГРП по вопросам, требующим более широкого участия Государств-Членов, в частности по вопросам, оказывающим значительное влияние на бюджет проекта и сроки его выполнения.</w:t>
      </w:r>
    </w:p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3.4</w:t>
      </w:r>
      <w:r w:rsidRPr="000224A5">
        <w:rPr>
          <w:lang w:eastAsia="zh-CN"/>
        </w:rPr>
        <w:tab/>
        <w:t>КГГЧ – это консультативный орган, не имеющий полномочий принимать решения. Ответственность за решения и выполнение проекта, в зависимости от случая, остается на Генеральном секретаре.</w:t>
      </w:r>
    </w:p>
    <w:p w:rsidR="00AC3FD4" w:rsidRPr="000224A5" w:rsidRDefault="00AC3FD4" w:rsidP="003E4CEA">
      <w:pPr>
        <w:pStyle w:val="Heading1"/>
      </w:pPr>
      <w:r w:rsidRPr="000224A5">
        <w:lastRenderedPageBreak/>
        <w:t>4</w:t>
      </w:r>
      <w:r w:rsidRPr="000224A5">
        <w:tab/>
        <w:t>Обязанности КГГЧ</w:t>
      </w:r>
    </w:p>
    <w:p w:rsidR="00AC3FD4" w:rsidRPr="000224A5" w:rsidRDefault="00AC3FD4" w:rsidP="00AC3FD4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Проводить собственные собрания и, в надлежащих случаях, собрания с ГРП для анализа и контроля различных этапов процессов проектирования, строительства и реконструкции.</w:t>
      </w:r>
    </w:p>
    <w:p w:rsidR="00AC3FD4" w:rsidRPr="000224A5" w:rsidRDefault="00AC3FD4" w:rsidP="00AC3FD4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Представлять консультации и рекомендации общего характера, по мере необходимости и в надлежащих случаях, по вопросам выполнения проекта, с тем чтобы обеспечивать соблюдение сроков и исполнение бюджета.</w:t>
      </w:r>
    </w:p>
    <w:p w:rsidR="00AC3FD4" w:rsidRPr="000224A5" w:rsidRDefault="00AC3FD4" w:rsidP="00AC3FD4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Представлять ГРП консультации о наилучших способах обеспечения широкого участия Государств-Членов и сообщения важной информации по проекту.</w:t>
      </w:r>
    </w:p>
    <w:p w:rsidR="00AC3FD4" w:rsidRPr="000224A5" w:rsidRDefault="00AC3FD4" w:rsidP="00AC3FD4">
      <w:pPr>
        <w:pStyle w:val="enumlev1"/>
        <w:rPr>
          <w:rFonts w:cs="Calibri"/>
          <w:szCs w:val="22"/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 xml:space="preserve">Члены КГГЧ должны поддерживать связь с другими Государствами-Членами из своих </w:t>
      </w:r>
      <w:r w:rsidRPr="000224A5">
        <w:rPr>
          <w:rFonts w:cs="Calibri"/>
          <w:szCs w:val="22"/>
          <w:lang w:eastAsia="zh-CN"/>
        </w:rPr>
        <w:t>соответствующих регионов и обеспечивать полное представление их интересов.</w:t>
      </w:r>
    </w:p>
    <w:p w:rsidR="00AC3FD4" w:rsidRPr="000224A5" w:rsidRDefault="00AC3FD4" w:rsidP="003E4CEA">
      <w:pPr>
        <w:pStyle w:val="Heading1"/>
      </w:pPr>
      <w:r w:rsidRPr="000224A5">
        <w:t>5</w:t>
      </w:r>
      <w:r w:rsidRPr="000224A5">
        <w:tab/>
        <w:t>Членский состав</w:t>
      </w:r>
    </w:p>
    <w:p w:rsidR="00AC3FD4" w:rsidRPr="000224A5" w:rsidRDefault="00AC3FD4" w:rsidP="00C258B0">
      <w:pPr>
        <w:rPr>
          <w:lang w:eastAsia="zh-CN"/>
        </w:rPr>
      </w:pPr>
      <w:r w:rsidRPr="000224A5">
        <w:rPr>
          <w:lang w:eastAsia="zh-CN"/>
        </w:rPr>
        <w:t>5.1</w:t>
      </w:r>
      <w:r w:rsidRPr="000224A5">
        <w:rPr>
          <w:lang w:eastAsia="zh-CN"/>
        </w:rPr>
        <w:tab/>
        <w:t xml:space="preserve">В состав КГГЧ входит по одному представителю от одного Государства-Члена каждого региона МСЭ. </w:t>
      </w:r>
      <w:r w:rsidR="009B484E" w:rsidRPr="000224A5">
        <w:rPr>
          <w:lang w:eastAsia="zh-CN"/>
        </w:rPr>
        <w:t xml:space="preserve">Регионы могут также предлагать заместителя представителя. </w:t>
      </w:r>
      <w:r w:rsidRPr="000224A5">
        <w:rPr>
          <w:lang w:eastAsia="zh-CN"/>
        </w:rPr>
        <w:t xml:space="preserve">Назначение </w:t>
      </w:r>
      <w:r w:rsidR="00C258B0" w:rsidRPr="000224A5">
        <w:rPr>
          <w:lang w:eastAsia="zh-CN"/>
        </w:rPr>
        <w:t xml:space="preserve">предложенных представителей </w:t>
      </w:r>
      <w:r w:rsidR="009D32FE" w:rsidRPr="000224A5">
        <w:rPr>
          <w:lang w:eastAsia="zh-CN"/>
        </w:rPr>
        <w:t xml:space="preserve">в качестве членов </w:t>
      </w:r>
      <w:r w:rsidRPr="000224A5">
        <w:rPr>
          <w:lang w:eastAsia="zh-CN"/>
        </w:rPr>
        <w:t>будет подтверждаться Генеральным секретарем.</w:t>
      </w:r>
    </w:p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5.2</w:t>
      </w:r>
      <w:r w:rsidRPr="000224A5">
        <w:rPr>
          <w:lang w:eastAsia="zh-CN"/>
        </w:rPr>
        <w:tab/>
        <w:t>Секретариат МСЭ будет оказывать поддержку, включая секретариат КГГЧ.</w:t>
      </w:r>
    </w:p>
    <w:p w:rsidR="00AC3FD4" w:rsidRPr="000224A5" w:rsidRDefault="00AC3FD4" w:rsidP="00AD45D7">
      <w:pPr>
        <w:rPr>
          <w:lang w:eastAsia="zh-CN"/>
        </w:rPr>
      </w:pPr>
      <w:r w:rsidRPr="000224A5">
        <w:rPr>
          <w:lang w:eastAsia="zh-CN"/>
        </w:rPr>
        <w:t>5.3</w:t>
      </w:r>
      <w:r w:rsidRPr="000224A5">
        <w:rPr>
          <w:lang w:eastAsia="zh-CN"/>
        </w:rPr>
        <w:tab/>
        <w:t xml:space="preserve">Каждый член будет действовать в своем личном качестве. Если член выходит из КГГЧ или не может продолжать работать в </w:t>
      </w:r>
      <w:r w:rsidR="00AD45D7" w:rsidRPr="000224A5">
        <w:rPr>
          <w:lang w:eastAsia="zh-CN"/>
        </w:rPr>
        <w:t xml:space="preserve">ее </w:t>
      </w:r>
      <w:r w:rsidRPr="000224A5">
        <w:rPr>
          <w:lang w:eastAsia="zh-CN"/>
        </w:rPr>
        <w:t xml:space="preserve">составе, </w:t>
      </w:r>
      <w:r w:rsidR="009B484E" w:rsidRPr="000224A5">
        <w:rPr>
          <w:lang w:eastAsia="zh-CN"/>
        </w:rPr>
        <w:t xml:space="preserve">его место занимает заместитель члена и </w:t>
      </w:r>
      <w:r w:rsidRPr="000224A5">
        <w:rPr>
          <w:lang w:eastAsia="zh-CN"/>
        </w:rPr>
        <w:t>в устан</w:t>
      </w:r>
      <w:r w:rsidR="00A369DB" w:rsidRPr="000224A5">
        <w:rPr>
          <w:lang w:eastAsia="zh-CN"/>
        </w:rPr>
        <w:t>о</w:t>
      </w:r>
      <w:r w:rsidRPr="000224A5">
        <w:rPr>
          <w:lang w:eastAsia="zh-CN"/>
        </w:rPr>
        <w:t xml:space="preserve">вленном порядке будет назначен новый </w:t>
      </w:r>
      <w:r w:rsidR="009B484E" w:rsidRPr="000224A5">
        <w:rPr>
          <w:lang w:eastAsia="zh-CN"/>
        </w:rPr>
        <w:t xml:space="preserve">заместитель </w:t>
      </w:r>
      <w:r w:rsidRPr="000224A5">
        <w:rPr>
          <w:lang w:eastAsia="zh-CN"/>
        </w:rPr>
        <w:t>член</w:t>
      </w:r>
      <w:r w:rsidR="009B484E" w:rsidRPr="000224A5">
        <w:rPr>
          <w:lang w:eastAsia="zh-CN"/>
        </w:rPr>
        <w:t>а</w:t>
      </w:r>
      <w:r w:rsidRPr="000224A5">
        <w:rPr>
          <w:lang w:eastAsia="zh-CN"/>
        </w:rPr>
        <w:t xml:space="preserve"> от этого региона.</w:t>
      </w:r>
    </w:p>
    <w:p w:rsidR="009B09BA" w:rsidRPr="000224A5" w:rsidRDefault="009B09BA" w:rsidP="00A369DB">
      <w:pPr>
        <w:rPr>
          <w:lang w:eastAsia="zh-CN"/>
        </w:rPr>
      </w:pPr>
      <w:r w:rsidRPr="000224A5">
        <w:rPr>
          <w:lang w:eastAsia="zh-CN"/>
        </w:rPr>
        <w:t>5.4</w:t>
      </w:r>
      <w:r w:rsidRPr="000224A5">
        <w:rPr>
          <w:lang w:eastAsia="zh-CN"/>
        </w:rPr>
        <w:tab/>
      </w:r>
      <w:bookmarkStart w:id="68" w:name="lt_pId149"/>
      <w:r w:rsidR="00A369DB" w:rsidRPr="000224A5">
        <w:rPr>
          <w:lang w:eastAsia="zh-CN"/>
        </w:rPr>
        <w:t>Члены могут приглашать на собрания КГГЧ своих личных помощников и технических экспертов при условии соблюдения принципа строгой конфиденциальности по всем вопросам, касающимся</w:t>
      </w:r>
      <w:r w:rsidRPr="000224A5">
        <w:rPr>
          <w:lang w:eastAsia="zh-CN"/>
        </w:rPr>
        <w:t xml:space="preserve"> </w:t>
      </w:r>
      <w:r w:rsidR="00DD14C8" w:rsidRPr="000224A5">
        <w:rPr>
          <w:lang w:eastAsia="zh-CN"/>
        </w:rPr>
        <w:t>КГГЧ</w:t>
      </w:r>
      <w:r w:rsidRPr="000224A5">
        <w:rPr>
          <w:lang w:eastAsia="zh-CN"/>
        </w:rPr>
        <w:t>.</w:t>
      </w:r>
      <w:bookmarkEnd w:id="68"/>
      <w:r w:rsidRPr="000224A5">
        <w:rPr>
          <w:lang w:eastAsia="zh-CN"/>
        </w:rPr>
        <w:t xml:space="preserve"> </w:t>
      </w:r>
    </w:p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5.5</w:t>
      </w:r>
      <w:r w:rsidRPr="000224A5">
        <w:rPr>
          <w:lang w:eastAsia="zh-CN"/>
        </w:rPr>
        <w:tab/>
        <w:t>Должное внимание будет уделяться гендерному балансу.</w:t>
      </w:r>
    </w:p>
    <w:p w:rsidR="00AC3FD4" w:rsidRPr="000224A5" w:rsidRDefault="00AC3FD4" w:rsidP="003E4CEA">
      <w:pPr>
        <w:pStyle w:val="Heading1"/>
      </w:pPr>
      <w:r w:rsidRPr="000224A5">
        <w:t>6</w:t>
      </w:r>
      <w:r w:rsidRPr="000224A5">
        <w:tab/>
        <w:t>Условия членства</w:t>
      </w:r>
    </w:p>
    <w:p w:rsidR="00AC3FD4" w:rsidRPr="000224A5" w:rsidRDefault="00AC3FD4" w:rsidP="00AC3FD4">
      <w:pPr>
        <w:rPr>
          <w:lang w:eastAsia="zh-CN"/>
        </w:rPr>
      </w:pPr>
      <w:r w:rsidRPr="000224A5">
        <w:rPr>
          <w:lang w:eastAsia="zh-CN"/>
        </w:rPr>
        <w:t>6.1</w:t>
      </w:r>
      <w:r w:rsidRPr="000224A5">
        <w:rPr>
          <w:lang w:eastAsia="zh-CN"/>
        </w:rPr>
        <w:tab/>
        <w:t xml:space="preserve">Члены КГГЧ будут назначаться на срок не менее двух лет. Эффективность работы может быть максимально увеличена, если члены задействуют необходимое ноу-хау в области проектов крупного строительства. Члены не получают какого бы то ни было пособия или вознаграждения от МСЭ, подрядчиков, участвующих в проекте, или от любого иного физического или юридического лица в связи со своей деятельностью в КГГЧ. </w:t>
      </w:r>
    </w:p>
    <w:p w:rsidR="009B09BA" w:rsidRPr="000224A5" w:rsidRDefault="00AC3FD4" w:rsidP="00C258B0">
      <w:pPr>
        <w:rPr>
          <w:rFonts w:cs="TimesNewRoman"/>
          <w:color w:val="000000"/>
        </w:rPr>
      </w:pPr>
      <w:r w:rsidRPr="000224A5">
        <w:rPr>
          <w:lang w:eastAsia="zh-CN"/>
        </w:rPr>
        <w:t>6.2</w:t>
      </w:r>
      <w:r w:rsidRPr="000224A5">
        <w:rPr>
          <w:lang w:eastAsia="zh-CN"/>
        </w:rPr>
        <w:tab/>
        <w:t xml:space="preserve">Кандидаты, до </w:t>
      </w:r>
      <w:r w:rsidR="00C258B0" w:rsidRPr="000224A5">
        <w:rPr>
          <w:lang w:eastAsia="zh-CN"/>
        </w:rPr>
        <w:t>под</w:t>
      </w:r>
      <w:r w:rsidRPr="000224A5">
        <w:rPr>
          <w:lang w:eastAsia="zh-CN"/>
        </w:rPr>
        <w:t xml:space="preserve">тверждения Генеральным секретарем их назначения в качестве членов КГГЧ, должны будут заполнить </w:t>
      </w:r>
      <w:r w:rsidR="007B0720" w:rsidRPr="000224A5">
        <w:rPr>
          <w:lang w:eastAsia="zh-CN"/>
        </w:rPr>
        <w:t xml:space="preserve">форму </w:t>
      </w:r>
      <w:r w:rsidR="00180FC7" w:rsidRPr="000224A5">
        <w:rPr>
          <w:lang w:eastAsia="zh-CN"/>
        </w:rPr>
        <w:t>Д</w:t>
      </w:r>
      <w:r w:rsidRPr="000224A5">
        <w:rPr>
          <w:lang w:eastAsia="zh-CN"/>
        </w:rPr>
        <w:t>еклараци</w:t>
      </w:r>
      <w:r w:rsidR="007B0720" w:rsidRPr="000224A5">
        <w:rPr>
          <w:lang w:eastAsia="zh-CN"/>
        </w:rPr>
        <w:t>и</w:t>
      </w:r>
      <w:r w:rsidRPr="000224A5">
        <w:rPr>
          <w:lang w:eastAsia="zh-CN"/>
        </w:rPr>
        <w:t xml:space="preserve"> интересов МСЭ </w:t>
      </w:r>
      <w:r w:rsidR="007B0720" w:rsidRPr="000224A5">
        <w:rPr>
          <w:lang w:eastAsia="zh-CN"/>
        </w:rPr>
        <w:t>(для рассмотрения Генеральным секретарем, который может направить ее Председателю Совета, в зависимости от обстоятельств)</w:t>
      </w:r>
      <w:r w:rsidRPr="000224A5">
        <w:rPr>
          <w:lang w:eastAsia="zh-CN"/>
        </w:rPr>
        <w:t>.</w:t>
      </w:r>
    </w:p>
    <w:p w:rsidR="00AC3FD4" w:rsidRPr="000224A5" w:rsidRDefault="00AC3FD4" w:rsidP="003E4CEA">
      <w:pPr>
        <w:pStyle w:val="Heading1"/>
      </w:pPr>
      <w:bookmarkStart w:id="69" w:name="lt_pId162"/>
      <w:r w:rsidRPr="000224A5">
        <w:t>7</w:t>
      </w:r>
      <w:r w:rsidRPr="000224A5">
        <w:tab/>
        <w:t>Методы работы</w:t>
      </w:r>
    </w:p>
    <w:bookmarkEnd w:id="69"/>
    <w:p w:rsidR="009B09BA" w:rsidRPr="000224A5" w:rsidRDefault="00AC1A33" w:rsidP="00EA540D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</w:r>
      <w:r w:rsidR="00AC3FD4" w:rsidRPr="000224A5">
        <w:rPr>
          <w:lang w:eastAsia="zh-CN"/>
        </w:rPr>
        <w:t xml:space="preserve">Председатель КГГЧ избирается из числа </w:t>
      </w:r>
      <w:r w:rsidR="00EA540D" w:rsidRPr="000224A5">
        <w:rPr>
          <w:lang w:eastAsia="zh-CN"/>
        </w:rPr>
        <w:t>ее чл</w:t>
      </w:r>
      <w:r w:rsidR="00AC3FD4" w:rsidRPr="000224A5">
        <w:rPr>
          <w:lang w:eastAsia="zh-CN"/>
        </w:rPr>
        <w:t>енов на двухлетний срок.</w:t>
      </w:r>
    </w:p>
    <w:p w:rsidR="009B09BA" w:rsidRPr="000224A5" w:rsidRDefault="00AC1A33" w:rsidP="00180FC7">
      <w:pPr>
        <w:pStyle w:val="enumlev1"/>
        <w:rPr>
          <w:lang w:eastAsia="zh-CN"/>
        </w:rPr>
      </w:pPr>
      <w:bookmarkStart w:id="70" w:name="lt_pId163"/>
      <w:r w:rsidRPr="000224A5">
        <w:rPr>
          <w:lang w:eastAsia="zh-CN"/>
        </w:rPr>
        <w:t>•</w:t>
      </w:r>
      <w:r w:rsidRPr="000224A5">
        <w:rPr>
          <w:lang w:eastAsia="zh-CN"/>
        </w:rPr>
        <w:tab/>
      </w:r>
      <w:r w:rsidR="00A369DB" w:rsidRPr="000224A5">
        <w:rPr>
          <w:lang w:eastAsia="zh-CN"/>
        </w:rPr>
        <w:t xml:space="preserve">На собрании может присутствовать заместитель члена от каждого региона в качестве не являющегося участником наблюдателя, который также должен будет заполнить </w:t>
      </w:r>
      <w:r w:rsidR="00A369DB" w:rsidRPr="000224A5">
        <w:t>форму Д</w:t>
      </w:r>
      <w:r w:rsidR="00A369DB" w:rsidRPr="000224A5">
        <w:rPr>
          <w:color w:val="000000"/>
        </w:rPr>
        <w:t>екларации и заявления МСЭ о личных, финансовых и иных интересах</w:t>
      </w:r>
      <w:r w:rsidR="009B09BA" w:rsidRPr="000224A5">
        <w:rPr>
          <w:lang w:eastAsia="zh-CN"/>
        </w:rPr>
        <w:t>;</w:t>
      </w:r>
      <w:bookmarkEnd w:id="70"/>
    </w:p>
    <w:p w:rsidR="009B09BA" w:rsidRPr="000224A5" w:rsidRDefault="00AC1A33" w:rsidP="00AC1A33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Собрания проводятся не менее двух раз в год или по решению КГГЧ, учитывая потребности проекта. Собрание может быть виртуальным или очным и проводиться в Женеве. Обеспечивается возможность дистанционного участия.</w:t>
      </w:r>
    </w:p>
    <w:p w:rsidR="009B09BA" w:rsidRPr="000224A5" w:rsidRDefault="00AC1A33" w:rsidP="00A369DB">
      <w:pPr>
        <w:pStyle w:val="enumlev1"/>
        <w:rPr>
          <w:lang w:eastAsia="zh-CN"/>
        </w:rPr>
      </w:pPr>
      <w:bookmarkStart w:id="71" w:name="lt_pId167"/>
      <w:r w:rsidRPr="000224A5">
        <w:rPr>
          <w:lang w:eastAsia="zh-CN"/>
        </w:rPr>
        <w:lastRenderedPageBreak/>
        <w:t>•</w:t>
      </w:r>
      <w:r w:rsidRPr="000224A5">
        <w:rPr>
          <w:lang w:eastAsia="zh-CN"/>
        </w:rPr>
        <w:tab/>
        <w:t>Председатель КГГЧ или Генеральный секретарь могут приглашать на собрания КГГЧ других наблюдателей или технических экспертов</w:t>
      </w:r>
      <w:r w:rsidR="009B09BA" w:rsidRPr="000224A5">
        <w:rPr>
          <w:lang w:eastAsia="zh-CN"/>
        </w:rPr>
        <w:t xml:space="preserve">, </w:t>
      </w:r>
      <w:r w:rsidR="00A369DB" w:rsidRPr="000224A5">
        <w:rPr>
          <w:lang w:eastAsia="zh-CN"/>
        </w:rPr>
        <w:t>которые также заполняют</w:t>
      </w:r>
      <w:r w:rsidR="00A369DB" w:rsidRPr="000224A5">
        <w:t xml:space="preserve"> форму Д</w:t>
      </w:r>
      <w:r w:rsidR="00A369DB" w:rsidRPr="000224A5">
        <w:rPr>
          <w:color w:val="000000"/>
        </w:rPr>
        <w:t>екларации и заявления МСЭ о личных, финансовых и иных интересах</w:t>
      </w:r>
      <w:r w:rsidR="009B09BA" w:rsidRPr="000224A5">
        <w:rPr>
          <w:lang w:eastAsia="zh-CN"/>
        </w:rPr>
        <w:t>;</w:t>
      </w:r>
      <w:bookmarkEnd w:id="71"/>
      <w:r w:rsidR="009B09BA" w:rsidRPr="000224A5">
        <w:rPr>
          <w:lang w:eastAsia="zh-CN"/>
        </w:rPr>
        <w:t xml:space="preserve"> </w:t>
      </w:r>
    </w:p>
    <w:p w:rsidR="00AC1A33" w:rsidRPr="000224A5" w:rsidRDefault="00AC1A33" w:rsidP="00AC1A33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КГГЧ стремится вырабатывать рекомендации и предоставлять консультации на основе консенсуса. В случае невозможности достижения консенсуса по данному вопросу в отчетах КГГЧ отражается мнение большинства и мнение меньшинства.</w:t>
      </w:r>
    </w:p>
    <w:p w:rsidR="00AC1A33" w:rsidRPr="000224A5" w:rsidRDefault="00AC1A33" w:rsidP="00AC1A33">
      <w:pPr>
        <w:pStyle w:val="enumlev1"/>
        <w:rPr>
          <w:lang w:eastAsia="zh-CN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Собрания проводятся на английском языке.</w:t>
      </w:r>
    </w:p>
    <w:p w:rsidR="009B09BA" w:rsidRPr="000224A5" w:rsidRDefault="00AC1A33" w:rsidP="00AC1A33">
      <w:pPr>
        <w:pStyle w:val="enumlev1"/>
        <w:rPr>
          <w:rFonts w:cs="TimesNewRoman"/>
          <w:color w:val="000000"/>
        </w:rPr>
      </w:pPr>
      <w:r w:rsidRPr="000224A5">
        <w:rPr>
          <w:lang w:eastAsia="zh-CN"/>
        </w:rPr>
        <w:t>•</w:t>
      </w:r>
      <w:r w:rsidRPr="000224A5">
        <w:rPr>
          <w:lang w:eastAsia="zh-CN"/>
        </w:rPr>
        <w:tab/>
        <w:t>После каждого собрания секретариат составляет письменный краткий отчет о дискуссиях и замечаниях для утверждения КГГЧ. Генеральный секретарь передает Совету краткий отчет о рекомендациях</w:t>
      </w:r>
      <w:r w:rsidRPr="000224A5">
        <w:rPr>
          <w:rFonts w:cs="Calibri"/>
          <w:szCs w:val="22"/>
          <w:lang w:eastAsia="zh-CN"/>
        </w:rPr>
        <w:t xml:space="preserve"> и консультациях, представленных на каждом собрании КГГЧ.</w:t>
      </w:r>
    </w:p>
    <w:p w:rsidR="00A95B82" w:rsidRPr="000224A5" w:rsidRDefault="00A95B82" w:rsidP="00A95B82">
      <w:pPr>
        <w:spacing w:before="720"/>
        <w:jc w:val="center"/>
      </w:pPr>
      <w:r w:rsidRPr="000224A5">
        <w:t>______________</w:t>
      </w:r>
    </w:p>
    <w:sectPr w:rsidR="00A95B82" w:rsidRPr="000224A5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20" w:rsidRDefault="00705420">
      <w:r>
        <w:separator/>
      </w:r>
    </w:p>
  </w:endnote>
  <w:endnote w:type="continuationSeparator" w:id="0">
    <w:p w:rsidR="00705420" w:rsidRDefault="007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20" w:rsidRPr="00973355" w:rsidRDefault="00705420" w:rsidP="009B09BA">
    <w:pPr>
      <w:pStyle w:val="Footer"/>
      <w:rPr>
        <w:lang w:val="fr-CH"/>
      </w:rPr>
    </w:pPr>
    <w:r>
      <w:fldChar w:fldCharType="begin"/>
    </w:r>
    <w:r w:rsidRPr="00973355">
      <w:rPr>
        <w:lang w:val="fr-CH"/>
      </w:rPr>
      <w:instrText xml:space="preserve"> FILENAME \p  \* MERGEFORMAT </w:instrText>
    </w:r>
    <w:r>
      <w:fldChar w:fldCharType="separate"/>
    </w:r>
    <w:r w:rsidR="00721CBB" w:rsidRPr="00973355">
      <w:rPr>
        <w:lang w:val="fr-CH"/>
      </w:rPr>
      <w:t>P:\RUS\SG\CONSEIL\C17\000\099R.docx</w:t>
    </w:r>
    <w:r>
      <w:fldChar w:fldCharType="end"/>
    </w:r>
    <w:r w:rsidRPr="00973355">
      <w:rPr>
        <w:lang w:val="fr-CH"/>
      </w:rPr>
      <w:t xml:space="preserve"> (417507)</w:t>
    </w:r>
    <w:r w:rsidRPr="0097335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4B3D">
      <w:t>12.05.17</w:t>
    </w:r>
    <w:r>
      <w:fldChar w:fldCharType="end"/>
    </w:r>
    <w:r w:rsidRPr="0097335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E22">
      <w:t>09.05.17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20" w:rsidRDefault="0070542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05420" w:rsidRPr="00973355" w:rsidRDefault="00705420" w:rsidP="009B09BA">
    <w:pPr>
      <w:pStyle w:val="Footer"/>
      <w:rPr>
        <w:lang w:val="fr-CH"/>
      </w:rPr>
    </w:pPr>
    <w:r>
      <w:fldChar w:fldCharType="begin"/>
    </w:r>
    <w:r w:rsidRPr="00973355">
      <w:rPr>
        <w:lang w:val="fr-CH"/>
      </w:rPr>
      <w:instrText xml:space="preserve"> FILENAME \p  \* MERGEFORMAT </w:instrText>
    </w:r>
    <w:r>
      <w:fldChar w:fldCharType="separate"/>
    </w:r>
    <w:r w:rsidR="00721CBB" w:rsidRPr="00973355">
      <w:rPr>
        <w:lang w:val="fr-CH"/>
      </w:rPr>
      <w:t>P:\RUS\SG\CONSEIL\C17\000\099R.docx</w:t>
    </w:r>
    <w:r>
      <w:fldChar w:fldCharType="end"/>
    </w:r>
    <w:r w:rsidRPr="00973355">
      <w:rPr>
        <w:lang w:val="fr-CH"/>
      </w:rPr>
      <w:t xml:space="preserve"> (417507)</w:t>
    </w:r>
    <w:r w:rsidRPr="0097335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4B3D">
      <w:t>12.05.17</w:t>
    </w:r>
    <w:r>
      <w:fldChar w:fldCharType="end"/>
    </w:r>
    <w:r w:rsidRPr="0097335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E22">
      <w:t>09.05.17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20" w:rsidRDefault="00705420">
      <w:r>
        <w:t>____________________</w:t>
      </w:r>
    </w:p>
  </w:footnote>
  <w:footnote w:type="continuationSeparator" w:id="0">
    <w:p w:rsidR="00705420" w:rsidRDefault="0070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20" w:rsidRDefault="0070542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B4B3D">
      <w:rPr>
        <w:noProof/>
      </w:rPr>
      <w:t>7</w:t>
    </w:r>
    <w:r>
      <w:rPr>
        <w:noProof/>
      </w:rPr>
      <w:fldChar w:fldCharType="end"/>
    </w:r>
  </w:p>
  <w:p w:rsidR="00705420" w:rsidRDefault="00705420" w:rsidP="009B09BA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99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79FE"/>
    <w:multiLevelType w:val="hybridMultilevel"/>
    <w:tmpl w:val="F24842B0"/>
    <w:lvl w:ilvl="0" w:tplc="8ABA9ABA">
      <w:numFmt w:val="bullet"/>
      <w:lvlText w:val="•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81E0D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A5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A5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0D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28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43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D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67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AC4"/>
    <w:multiLevelType w:val="hybridMultilevel"/>
    <w:tmpl w:val="66702F88"/>
    <w:lvl w:ilvl="0" w:tplc="C2BA0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21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4E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6A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C9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AB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C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22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C3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2183E"/>
    <w:rsid w:val="000224A5"/>
    <w:rsid w:val="00027A66"/>
    <w:rsid w:val="000465EA"/>
    <w:rsid w:val="000569B4"/>
    <w:rsid w:val="00057754"/>
    <w:rsid w:val="00080E82"/>
    <w:rsid w:val="000E568E"/>
    <w:rsid w:val="000F0E9C"/>
    <w:rsid w:val="00130282"/>
    <w:rsid w:val="0014734F"/>
    <w:rsid w:val="0015710D"/>
    <w:rsid w:val="00163A32"/>
    <w:rsid w:val="00164C9A"/>
    <w:rsid w:val="001774E5"/>
    <w:rsid w:val="00180FC7"/>
    <w:rsid w:val="00192B41"/>
    <w:rsid w:val="001B7B09"/>
    <w:rsid w:val="001C74C7"/>
    <w:rsid w:val="001D3CF4"/>
    <w:rsid w:val="001E6719"/>
    <w:rsid w:val="00225368"/>
    <w:rsid w:val="00227FF0"/>
    <w:rsid w:val="00271F78"/>
    <w:rsid w:val="00274D0F"/>
    <w:rsid w:val="002840FF"/>
    <w:rsid w:val="00291EB6"/>
    <w:rsid w:val="002A0B0C"/>
    <w:rsid w:val="002D2F57"/>
    <w:rsid w:val="002D48C5"/>
    <w:rsid w:val="002D7406"/>
    <w:rsid w:val="0030024A"/>
    <w:rsid w:val="00303FEE"/>
    <w:rsid w:val="00311F5A"/>
    <w:rsid w:val="00324F07"/>
    <w:rsid w:val="00337164"/>
    <w:rsid w:val="003A24E2"/>
    <w:rsid w:val="003B5527"/>
    <w:rsid w:val="003E4CEA"/>
    <w:rsid w:val="003F099E"/>
    <w:rsid w:val="003F1F69"/>
    <w:rsid w:val="003F235E"/>
    <w:rsid w:val="004023E0"/>
    <w:rsid w:val="00403DD8"/>
    <w:rsid w:val="0045686C"/>
    <w:rsid w:val="00462A03"/>
    <w:rsid w:val="00464954"/>
    <w:rsid w:val="004918C4"/>
    <w:rsid w:val="004A45B5"/>
    <w:rsid w:val="004B4B3D"/>
    <w:rsid w:val="004D0129"/>
    <w:rsid w:val="004F250D"/>
    <w:rsid w:val="004F75A7"/>
    <w:rsid w:val="0052226D"/>
    <w:rsid w:val="005352D1"/>
    <w:rsid w:val="00583197"/>
    <w:rsid w:val="005A64D5"/>
    <w:rsid w:val="005B653F"/>
    <w:rsid w:val="00601994"/>
    <w:rsid w:val="00603453"/>
    <w:rsid w:val="00613129"/>
    <w:rsid w:val="00660184"/>
    <w:rsid w:val="0067780F"/>
    <w:rsid w:val="00684300"/>
    <w:rsid w:val="00690F6F"/>
    <w:rsid w:val="006C6921"/>
    <w:rsid w:val="006E2D42"/>
    <w:rsid w:val="00703676"/>
    <w:rsid w:val="00705420"/>
    <w:rsid w:val="00707304"/>
    <w:rsid w:val="00721CBB"/>
    <w:rsid w:val="00732269"/>
    <w:rsid w:val="00750043"/>
    <w:rsid w:val="0077267A"/>
    <w:rsid w:val="00785ABD"/>
    <w:rsid w:val="007A0B3C"/>
    <w:rsid w:val="007A2DD4"/>
    <w:rsid w:val="007B0720"/>
    <w:rsid w:val="007D37E3"/>
    <w:rsid w:val="007D38B5"/>
    <w:rsid w:val="007E7EA0"/>
    <w:rsid w:val="00807255"/>
    <w:rsid w:val="0081023E"/>
    <w:rsid w:val="00812D3B"/>
    <w:rsid w:val="008173AA"/>
    <w:rsid w:val="00840A14"/>
    <w:rsid w:val="00861B87"/>
    <w:rsid w:val="008634B6"/>
    <w:rsid w:val="00894A2F"/>
    <w:rsid w:val="008965C9"/>
    <w:rsid w:val="008B0EBD"/>
    <w:rsid w:val="008B3EA4"/>
    <w:rsid w:val="008D2D7B"/>
    <w:rsid w:val="008D2F46"/>
    <w:rsid w:val="008D57DE"/>
    <w:rsid w:val="008E0737"/>
    <w:rsid w:val="008E4FD8"/>
    <w:rsid w:val="008F484B"/>
    <w:rsid w:val="008F7C2C"/>
    <w:rsid w:val="00910127"/>
    <w:rsid w:val="009324B7"/>
    <w:rsid w:val="00940E96"/>
    <w:rsid w:val="00973355"/>
    <w:rsid w:val="00974C2C"/>
    <w:rsid w:val="00976521"/>
    <w:rsid w:val="009766BF"/>
    <w:rsid w:val="009859EA"/>
    <w:rsid w:val="009B09BA"/>
    <w:rsid w:val="009B0BAE"/>
    <w:rsid w:val="009B484E"/>
    <w:rsid w:val="009C1C89"/>
    <w:rsid w:val="009D32FE"/>
    <w:rsid w:val="00A341F7"/>
    <w:rsid w:val="00A369DB"/>
    <w:rsid w:val="00A50BAB"/>
    <w:rsid w:val="00A71773"/>
    <w:rsid w:val="00A87DDA"/>
    <w:rsid w:val="00A95B82"/>
    <w:rsid w:val="00A97CF5"/>
    <w:rsid w:val="00AC1A33"/>
    <w:rsid w:val="00AC3FD4"/>
    <w:rsid w:val="00AC55C2"/>
    <w:rsid w:val="00AD45D7"/>
    <w:rsid w:val="00AE2C85"/>
    <w:rsid w:val="00AE5DA1"/>
    <w:rsid w:val="00B12A37"/>
    <w:rsid w:val="00B27578"/>
    <w:rsid w:val="00B46BF3"/>
    <w:rsid w:val="00B63EF2"/>
    <w:rsid w:val="00B65230"/>
    <w:rsid w:val="00BA5750"/>
    <w:rsid w:val="00BB23D9"/>
    <w:rsid w:val="00BB5377"/>
    <w:rsid w:val="00BC0D39"/>
    <w:rsid w:val="00BC0D6B"/>
    <w:rsid w:val="00BC7BC0"/>
    <w:rsid w:val="00BD57B7"/>
    <w:rsid w:val="00BE63E2"/>
    <w:rsid w:val="00C018B3"/>
    <w:rsid w:val="00C12870"/>
    <w:rsid w:val="00C258B0"/>
    <w:rsid w:val="00C71B9D"/>
    <w:rsid w:val="00CD2009"/>
    <w:rsid w:val="00CE798C"/>
    <w:rsid w:val="00CF629C"/>
    <w:rsid w:val="00D10F3C"/>
    <w:rsid w:val="00D23D65"/>
    <w:rsid w:val="00D74F9E"/>
    <w:rsid w:val="00D82DC8"/>
    <w:rsid w:val="00D838EC"/>
    <w:rsid w:val="00D92EEA"/>
    <w:rsid w:val="00DA5D4E"/>
    <w:rsid w:val="00DB6EE6"/>
    <w:rsid w:val="00DC2A28"/>
    <w:rsid w:val="00DD14C8"/>
    <w:rsid w:val="00DD4E22"/>
    <w:rsid w:val="00E049D6"/>
    <w:rsid w:val="00E07EAF"/>
    <w:rsid w:val="00E10CCA"/>
    <w:rsid w:val="00E176BA"/>
    <w:rsid w:val="00E2577F"/>
    <w:rsid w:val="00E41948"/>
    <w:rsid w:val="00E423EC"/>
    <w:rsid w:val="00E42EB3"/>
    <w:rsid w:val="00E73548"/>
    <w:rsid w:val="00E83E32"/>
    <w:rsid w:val="00EA4037"/>
    <w:rsid w:val="00EA540D"/>
    <w:rsid w:val="00EC6BC5"/>
    <w:rsid w:val="00EE3DA5"/>
    <w:rsid w:val="00EF4396"/>
    <w:rsid w:val="00F1250A"/>
    <w:rsid w:val="00F35898"/>
    <w:rsid w:val="00F5225B"/>
    <w:rsid w:val="00F92912"/>
    <w:rsid w:val="00F941DD"/>
    <w:rsid w:val="00FE5701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mediacentre/Pages/2017-PR16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map.c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ages/hq-competition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6-CL-C-0107/en" TargetMode="External"/><Relationship Id="rId10" Type="http://schemas.openxmlformats.org/officeDocument/2006/relationships/hyperlink" Target="https://www.itu.int/md/S16-CL-C-0124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hyperlink" Target="https://www.itu.int/md/S17-SG-CIR-001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6766-D6BA-44A4-9CF1-B337B396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1643</Words>
  <Characters>11703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13320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C2016, C16</cp:keywords>
  <dc:description/>
  <cp:lastModifiedBy>Janin</cp:lastModifiedBy>
  <cp:revision>2</cp:revision>
  <cp:lastPrinted>2017-05-09T14:14:00Z</cp:lastPrinted>
  <dcterms:created xsi:type="dcterms:W3CDTF">2017-05-12T15:50:00Z</dcterms:created>
  <dcterms:modified xsi:type="dcterms:W3CDTF">2017-05-12T15:50:00Z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