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6F2C30" w:rsidRDefault="000E4FF0" w:rsidP="006F2C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6F2C30">
              <w:rPr>
                <w:rFonts w:eastAsiaTheme="minorEastAsia" w:hint="cs"/>
                <w:b/>
                <w:bCs/>
                <w:rtl/>
                <w:lang w:eastAsia="zh-CN" w:bidi="ar-EG"/>
              </w:rPr>
              <w:t xml:space="preserve">بند جدول الأعمال: </w:t>
            </w:r>
            <w:r w:rsidR="006F2C30" w:rsidRPr="006F2C30">
              <w:rPr>
                <w:rFonts w:eastAsiaTheme="minorEastAsia"/>
                <w:b/>
                <w:bCs/>
                <w:lang w:eastAsia="zh-CN" w:bidi="ar-EG"/>
              </w:rPr>
              <w:t>ADM 3</w:t>
            </w:r>
          </w:p>
        </w:tc>
        <w:tc>
          <w:tcPr>
            <w:tcW w:w="3052" w:type="dxa"/>
            <w:vAlign w:val="center"/>
          </w:tcPr>
          <w:p w:rsidR="000E4FF0" w:rsidRPr="000E4FF0" w:rsidRDefault="000E4FF0" w:rsidP="006F2C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6F2C30">
              <w:rPr>
                <w:rFonts w:eastAsiaTheme="minorEastAsia"/>
                <w:b/>
                <w:bCs/>
                <w:lang w:eastAsia="zh-CN" w:bidi="ar-SY"/>
              </w:rPr>
              <w:t>97</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6F2C30" w:rsidP="006F2C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w:t>
            </w:r>
            <w:r w:rsidR="000E4FF0" w:rsidRPr="000E4FF0">
              <w:rPr>
                <w:rFonts w:eastAsiaTheme="minorEastAsia" w:hint="cs"/>
                <w:b/>
                <w:bCs/>
                <w:rtl/>
                <w:lang w:eastAsia="zh-CN" w:bidi="ar-EG"/>
              </w:rPr>
              <w:t xml:space="preserve"> </w:t>
            </w:r>
            <w:r>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6F2C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6F2C30">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F2C30" w:rsidP="00B21D4E">
            <w:pPr>
              <w:pStyle w:val="Source"/>
              <w:spacing w:after="0"/>
              <w:rPr>
                <w:rFonts w:eastAsiaTheme="minorEastAsia"/>
                <w:rtl/>
                <w:lang w:eastAsia="zh-CN"/>
              </w:rPr>
            </w:pPr>
            <w:r w:rsidRPr="006F2C30">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6F2C30" w:rsidP="006F2C30">
            <w:pPr>
              <w:pStyle w:val="Title1"/>
              <w:rPr>
                <w:rFonts w:eastAsiaTheme="minorEastAsia"/>
                <w:rtl/>
                <w:lang w:eastAsia="zh-CN"/>
              </w:rPr>
            </w:pPr>
            <w:r w:rsidRPr="006F2C30">
              <w:rPr>
                <w:rFonts w:eastAsiaTheme="minorEastAsia" w:hint="cs"/>
                <w:rtl/>
                <w:lang w:eastAsia="zh-CN" w:bidi="ar-SA"/>
              </w:rPr>
              <w:t xml:space="preserve">مساهمة من </w:t>
            </w:r>
            <w:r w:rsidRPr="006F2C30">
              <w:rPr>
                <w:rFonts w:eastAsiaTheme="minorEastAsia"/>
                <w:rtl/>
                <w:lang w:eastAsia="zh-CN" w:bidi="ar-SA"/>
              </w:rPr>
              <w:t>جمهورية البرازيل الاتحادية</w:t>
            </w:r>
          </w:p>
        </w:tc>
      </w:tr>
      <w:tr w:rsidR="000E4FF0" w:rsidRPr="000E4FF0" w:rsidTr="000E4FF0">
        <w:trPr>
          <w:cantSplit/>
          <w:jc w:val="center"/>
        </w:trPr>
        <w:tc>
          <w:tcPr>
            <w:tcW w:w="9672" w:type="dxa"/>
            <w:gridSpan w:val="2"/>
          </w:tcPr>
          <w:p w:rsidR="000E4FF0" w:rsidRPr="000E4FF0" w:rsidRDefault="006F2C30" w:rsidP="006F2C30">
            <w:pPr>
              <w:pStyle w:val="Title2"/>
              <w:rPr>
                <w:rFonts w:eastAsiaTheme="minorEastAsia"/>
                <w:w w:val="120"/>
                <w:rtl/>
                <w:lang w:eastAsia="zh-CN"/>
              </w:rPr>
            </w:pPr>
            <w:r w:rsidRPr="006F2C30">
              <w:rPr>
                <w:rFonts w:eastAsiaTheme="minorEastAsia" w:hint="cs"/>
                <w:w w:val="120"/>
                <w:rtl/>
                <w:lang w:eastAsia="zh-CN" w:bidi="ar"/>
              </w:rPr>
              <w:t xml:space="preserve">تعزيز مشاركة </w:t>
            </w:r>
            <w:r w:rsidRPr="00A0030D">
              <w:rPr>
                <w:rFonts w:eastAsiaTheme="minorEastAsia" w:hint="cs"/>
                <w:w w:val="120"/>
                <w:rtl/>
                <w:lang w:eastAsia="zh-CN" w:bidi="ar"/>
              </w:rPr>
              <w:t>الأعضاء من غير الدول</w:t>
            </w:r>
            <w:r w:rsidRPr="006F2C30">
              <w:rPr>
                <w:rFonts w:eastAsiaTheme="minorEastAsia" w:hint="cs"/>
                <w:w w:val="120"/>
                <w:rtl/>
                <w:lang w:eastAsia="zh-CN" w:bidi="ar"/>
              </w:rPr>
              <w:t xml:space="preserve"> في عمل الاتحاد الدولي للاتصالات</w:t>
            </w:r>
          </w:p>
        </w:tc>
      </w:tr>
    </w:tbl>
    <w:p w:rsidR="006F2C30" w:rsidRDefault="006F2C30" w:rsidP="006F2C30">
      <w:pPr>
        <w:pStyle w:val="Normalaftertitle"/>
        <w:rPr>
          <w:rtl/>
        </w:rPr>
      </w:pPr>
      <w:r w:rsidRPr="00AB2AC5">
        <w:rPr>
          <w:rFonts w:hint="cs"/>
          <w:rtl/>
        </w:rPr>
        <w:t xml:space="preserve">يشرفني أن أحيل إلى الدول الأعضاء في المجلس مساهمة مقدمة من </w:t>
      </w:r>
      <w:r w:rsidRPr="008C0E7B">
        <w:rPr>
          <w:b/>
          <w:bCs/>
          <w:rtl/>
        </w:rPr>
        <w:t>جمهورية البرازيل الاتحادية</w:t>
      </w:r>
      <w:r w:rsidRPr="00AB2AC5">
        <w:rPr>
          <w:rFonts w:hint="cs"/>
          <w:rtl/>
        </w:rPr>
        <w:t>.</w:t>
      </w:r>
    </w:p>
    <w:p w:rsidR="006F2C30" w:rsidRDefault="006F2C30" w:rsidP="006F2C30">
      <w:pPr>
        <w:spacing w:before="1440"/>
        <w:ind w:left="5103"/>
        <w:jc w:val="center"/>
        <w:rPr>
          <w:rtl/>
          <w:lang w:bidi="ar-SY"/>
        </w:rPr>
      </w:pPr>
      <w:r w:rsidRPr="00E739E1">
        <w:rPr>
          <w:rFonts w:hint="cs"/>
          <w:rtl/>
          <w:lang w:bidi="ar-SY"/>
        </w:rPr>
        <w:t>هولين جاو</w:t>
      </w:r>
      <w:r>
        <w:rPr>
          <w:rtl/>
          <w:lang w:bidi="ar-SY"/>
        </w:rPr>
        <w:br/>
      </w:r>
      <w:r w:rsidRPr="00E739E1">
        <w:rPr>
          <w:rFonts w:hint="cs"/>
          <w:rtl/>
          <w:lang w:bidi="ar-SY"/>
        </w:rPr>
        <w:t>الأمين العام</w:t>
      </w:r>
    </w:p>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4401F1" w:rsidRPr="004401F1" w:rsidRDefault="004401F1" w:rsidP="004401F1">
      <w:pPr>
        <w:pStyle w:val="Source"/>
        <w:rPr>
          <w:rtl/>
        </w:rPr>
      </w:pPr>
      <w:r w:rsidRPr="004401F1">
        <w:rPr>
          <w:rtl/>
        </w:rPr>
        <w:lastRenderedPageBreak/>
        <w:t>جمهورية البرازيل الاتحادية</w:t>
      </w:r>
    </w:p>
    <w:p w:rsidR="004401F1" w:rsidRPr="004401F1" w:rsidRDefault="004401F1" w:rsidP="004401F1">
      <w:pPr>
        <w:pStyle w:val="Title1"/>
        <w:rPr>
          <w:rtl/>
        </w:rPr>
      </w:pPr>
      <w:r w:rsidRPr="004401F1">
        <w:rPr>
          <w:rFonts w:hint="cs"/>
          <w:rtl/>
        </w:rPr>
        <w:t xml:space="preserve">تعزيز مشاركة </w:t>
      </w:r>
      <w:r w:rsidRPr="00A0030D">
        <w:rPr>
          <w:rFonts w:hint="cs"/>
          <w:rtl/>
        </w:rPr>
        <w:t>الأعضاء من غير الدول</w:t>
      </w:r>
      <w:r w:rsidRPr="004401F1">
        <w:rPr>
          <w:rFonts w:hint="cs"/>
          <w:rtl/>
        </w:rPr>
        <w:t xml:space="preserve"> في عمل الاتحاد الدولي للاتصالات</w:t>
      </w:r>
    </w:p>
    <w:p w:rsidR="004401F1" w:rsidRPr="004401F1" w:rsidRDefault="004401F1" w:rsidP="004401F1">
      <w:pPr>
        <w:pStyle w:val="Normalaftertitle"/>
        <w:rPr>
          <w:lang w:bidi="ar-EG"/>
        </w:rPr>
      </w:pPr>
      <w:bookmarkStart w:id="1" w:name="lt_pId021"/>
      <w:r w:rsidRPr="004401F1">
        <w:rPr>
          <w:rFonts w:hint="cs"/>
          <w:rtl/>
          <w:lang w:bidi="ar"/>
        </w:rPr>
        <w:t xml:space="preserve">يحدد البند </w:t>
      </w:r>
      <w:r w:rsidRPr="004401F1">
        <w:rPr>
          <w:rFonts w:hint="cs"/>
          <w:i/>
          <w:iCs/>
          <w:rtl/>
          <w:lang w:bidi="ar"/>
        </w:rPr>
        <w:t>أ</w:t>
      </w:r>
      <w:r>
        <w:rPr>
          <w:rFonts w:hint="eastAsia"/>
          <w:i/>
          <w:iCs/>
          <w:rtl/>
          <w:lang w:bidi="ar"/>
        </w:rPr>
        <w:t> </w:t>
      </w:r>
      <w:r w:rsidRPr="004401F1">
        <w:rPr>
          <w:rFonts w:hint="cs"/>
          <w:i/>
          <w:iCs/>
          <w:rtl/>
          <w:lang w:bidi="ar"/>
        </w:rPr>
        <w:t>) مكرراً</w:t>
      </w:r>
      <w:r w:rsidRPr="004401F1">
        <w:rPr>
          <w:rFonts w:hint="cs"/>
          <w:rtl/>
          <w:lang w:bidi="ar"/>
        </w:rPr>
        <w:t xml:space="preserve"> من المادة </w:t>
      </w:r>
      <w:r>
        <w:rPr>
          <w:lang w:bidi="ar"/>
        </w:rPr>
        <w:t>1</w:t>
      </w:r>
      <w:r w:rsidRPr="004401F1">
        <w:rPr>
          <w:rFonts w:hint="cs"/>
          <w:rtl/>
          <w:lang w:bidi="ar"/>
        </w:rPr>
        <w:t xml:space="preserve"> من دستور الاتحاد، أحد الأغراض الأساسية من الاتحاد، في تشجيع وتعزيز مشاركة </w:t>
      </w:r>
      <w:r w:rsidRPr="00A0030D">
        <w:rPr>
          <w:rFonts w:hint="cs"/>
          <w:rtl/>
          <w:lang w:bidi="ar"/>
        </w:rPr>
        <w:t>الأعضاء من غير الدول</w:t>
      </w:r>
      <w:r w:rsidRPr="004401F1">
        <w:rPr>
          <w:rFonts w:hint="cs"/>
          <w:rtl/>
          <w:lang w:bidi="ar"/>
        </w:rPr>
        <w:t xml:space="preserve"> (أي أعضاء القطاعات والمنتسبين والهيئات الأكاديمية) في أنشطة الاتحاد. فالمساهمات التقنية والفكرية والمالية </w:t>
      </w:r>
      <w:r w:rsidRPr="00A0030D">
        <w:rPr>
          <w:rFonts w:hint="cs"/>
          <w:rtl/>
          <w:lang w:bidi="ar"/>
        </w:rPr>
        <w:t>للأعضاء من غير الدول</w:t>
      </w:r>
      <w:r w:rsidRPr="004401F1">
        <w:rPr>
          <w:rFonts w:hint="cs"/>
          <w:rtl/>
          <w:lang w:bidi="ar"/>
        </w:rPr>
        <w:t xml:space="preserve"> في تطور الاتصالات/تكنولوجيا المعلومات والات</w:t>
      </w:r>
      <w:r w:rsidR="009B4331">
        <w:rPr>
          <w:rFonts w:hint="cs"/>
          <w:rtl/>
          <w:lang w:bidi="ar"/>
        </w:rPr>
        <w:t>صالات العالمية وتطور الاتحاد لا</w:t>
      </w:r>
      <w:r w:rsidR="009B4331">
        <w:rPr>
          <w:rFonts w:hint="eastAsia"/>
          <w:rtl/>
          <w:lang w:bidi="ar"/>
        </w:rPr>
        <w:t> </w:t>
      </w:r>
      <w:r w:rsidRPr="004401F1">
        <w:rPr>
          <w:rFonts w:hint="cs"/>
          <w:rtl/>
          <w:lang w:bidi="ar"/>
        </w:rPr>
        <w:t>تقدر بثمن، ولذلك ينبغي للاتحاد أن يسعى باستمرار إلى تعزيز مشاركتهم وزيادتها.</w:t>
      </w:r>
    </w:p>
    <w:p w:rsidR="006F0899" w:rsidRDefault="004401F1" w:rsidP="006F0899">
      <w:pPr>
        <w:rPr>
          <w:rtl/>
          <w:lang w:bidi="ar"/>
        </w:rPr>
      </w:pPr>
      <w:bookmarkStart w:id="2" w:name="lt_pId027"/>
      <w:bookmarkEnd w:id="1"/>
      <w:r w:rsidRPr="004401F1">
        <w:rPr>
          <w:rFonts w:hint="cs"/>
          <w:rtl/>
          <w:lang w:bidi="ar"/>
        </w:rPr>
        <w:t xml:space="preserve">ويشكل ذلك تحدياً صعباً. وبوصف الاتحاد وكالة تابعة للأمم المتحدة، فهو منظمة تحركها الدول الأعضاء. وللدول أيضاً الحق السيادي في رسم السياسة العامة. بيد أن قاطرة تطور الاتصالات/تكنولوجيا المعلومات والاتصالات هي البحوث والاستثمارات والابتكارات التقنية </w:t>
      </w:r>
      <w:r w:rsidRPr="00A0030D">
        <w:rPr>
          <w:rFonts w:hint="cs"/>
          <w:rtl/>
          <w:lang w:bidi="ar"/>
        </w:rPr>
        <w:t>التي يجود بها</w:t>
      </w:r>
      <w:r w:rsidRPr="004401F1">
        <w:rPr>
          <w:rFonts w:hint="cs"/>
          <w:rtl/>
          <w:lang w:bidi="ar"/>
        </w:rPr>
        <w:t xml:space="preserve"> القطاع الخاص والهيئات الأكاديمية. وقد حُددت هذه الأدوار تحديداً جيداً في الفقرة</w:t>
      </w:r>
      <w:r w:rsidR="00810DA2">
        <w:rPr>
          <w:rFonts w:hint="eastAsia"/>
          <w:rtl/>
          <w:lang w:bidi="ar"/>
        </w:rPr>
        <w:t> </w:t>
      </w:r>
      <w:r>
        <w:rPr>
          <w:lang w:bidi="ar"/>
        </w:rPr>
        <w:t>35</w:t>
      </w:r>
      <w:r w:rsidRPr="004401F1">
        <w:rPr>
          <w:rFonts w:hint="cs"/>
          <w:rtl/>
          <w:lang w:bidi="ar"/>
        </w:rPr>
        <w:t xml:space="preserve"> من </w:t>
      </w:r>
      <w:r w:rsidRPr="004401F1">
        <w:rPr>
          <w:rFonts w:hint="eastAsia"/>
          <w:rtl/>
          <w:lang w:bidi="ar"/>
        </w:rPr>
        <w:t>برنامج</w:t>
      </w:r>
      <w:r w:rsidRPr="004401F1">
        <w:rPr>
          <w:rtl/>
          <w:lang w:bidi="ar"/>
        </w:rPr>
        <w:t xml:space="preserve"> </w:t>
      </w:r>
      <w:r w:rsidRPr="004401F1">
        <w:rPr>
          <w:rFonts w:hint="eastAsia"/>
          <w:rtl/>
          <w:lang w:bidi="ar"/>
        </w:rPr>
        <w:t>عمل</w:t>
      </w:r>
      <w:r w:rsidRPr="004401F1">
        <w:rPr>
          <w:rtl/>
          <w:lang w:bidi="ar"/>
        </w:rPr>
        <w:t xml:space="preserve"> </w:t>
      </w:r>
      <w:r w:rsidRPr="004401F1">
        <w:rPr>
          <w:rFonts w:hint="eastAsia"/>
          <w:rtl/>
          <w:lang w:bidi="ar"/>
        </w:rPr>
        <w:t>تونس</w:t>
      </w:r>
      <w:r w:rsidRPr="004401F1">
        <w:rPr>
          <w:rtl/>
          <w:lang w:bidi="ar"/>
        </w:rPr>
        <w:t xml:space="preserve"> </w:t>
      </w:r>
      <w:r w:rsidRPr="004401F1">
        <w:rPr>
          <w:rFonts w:hint="eastAsia"/>
          <w:rtl/>
          <w:lang w:bidi="ar"/>
        </w:rPr>
        <w:t>بشأن</w:t>
      </w:r>
      <w:r w:rsidRPr="004401F1">
        <w:rPr>
          <w:rtl/>
          <w:lang w:bidi="ar"/>
        </w:rPr>
        <w:t xml:space="preserve"> </w:t>
      </w:r>
      <w:r w:rsidRPr="004401F1">
        <w:rPr>
          <w:rFonts w:hint="eastAsia"/>
          <w:rtl/>
          <w:lang w:bidi="ar"/>
        </w:rPr>
        <w:t>مجتمع</w:t>
      </w:r>
      <w:r w:rsidRPr="004401F1">
        <w:rPr>
          <w:rFonts w:hint="cs"/>
          <w:rtl/>
          <w:lang w:bidi="ar"/>
        </w:rPr>
        <w:t xml:space="preserve"> المعلومات، وينبغي أن تنفَّذ ضمن أعمال الاتحاد.</w:t>
      </w:r>
    </w:p>
    <w:p w:rsidR="004401F1" w:rsidRPr="004401F1" w:rsidRDefault="004401F1" w:rsidP="006F0899">
      <w:pPr>
        <w:rPr>
          <w:rtl/>
          <w:lang w:bidi="ar"/>
        </w:rPr>
      </w:pPr>
      <w:r w:rsidRPr="004401F1">
        <w:rPr>
          <w:rFonts w:hint="cs"/>
          <w:rtl/>
          <w:lang w:bidi="ar"/>
        </w:rPr>
        <w:t xml:space="preserve">وتقترح هذه المساهمة مبادئ لتعزيز مشاركة </w:t>
      </w:r>
      <w:r w:rsidRPr="00A0030D">
        <w:rPr>
          <w:rFonts w:hint="cs"/>
          <w:rtl/>
          <w:lang w:bidi="ar"/>
        </w:rPr>
        <w:t>الأعضاء من غير الدول</w:t>
      </w:r>
      <w:r w:rsidRPr="004401F1">
        <w:rPr>
          <w:rFonts w:hint="cs"/>
          <w:rtl/>
          <w:lang w:bidi="ar"/>
        </w:rPr>
        <w:t xml:space="preserve"> في أعمال الاتحاد، وبالتالي الاحتف</w:t>
      </w:r>
      <w:r w:rsidR="006F0899">
        <w:rPr>
          <w:rFonts w:hint="cs"/>
          <w:rtl/>
          <w:lang w:bidi="ar"/>
        </w:rPr>
        <w:t>اظ بالأعضاء الحاليين وجذب أعضاء</w:t>
      </w:r>
      <w:r w:rsidR="006F0899">
        <w:rPr>
          <w:rFonts w:hint="eastAsia"/>
          <w:rtl/>
          <w:lang w:bidi="ar"/>
        </w:rPr>
        <w:t> </w:t>
      </w:r>
      <w:r w:rsidRPr="004401F1">
        <w:rPr>
          <w:rFonts w:hint="cs"/>
          <w:rtl/>
          <w:lang w:bidi="ar"/>
        </w:rPr>
        <w:t>جدد.</w:t>
      </w:r>
    </w:p>
    <w:p w:rsidR="004401F1" w:rsidRPr="004401F1" w:rsidRDefault="004401F1" w:rsidP="00A0030D">
      <w:pPr>
        <w:pStyle w:val="Headingb"/>
        <w:rPr>
          <w:rtl/>
        </w:rPr>
      </w:pPr>
      <w:r w:rsidRPr="004401F1">
        <w:rPr>
          <w:rFonts w:hint="cs"/>
          <w:rtl/>
        </w:rPr>
        <w:t>المبدأ</w:t>
      </w:r>
      <w:r w:rsidR="00444946">
        <w:rPr>
          <w:rFonts w:hint="cs"/>
          <w:rtl/>
        </w:rPr>
        <w:t xml:space="preserve"> رقم</w:t>
      </w:r>
      <w:r w:rsidRPr="004401F1">
        <w:rPr>
          <w:rFonts w:hint="cs"/>
          <w:rtl/>
        </w:rPr>
        <w:t xml:space="preserve"> </w:t>
      </w:r>
      <w:r>
        <w:t>1</w:t>
      </w:r>
      <w:r w:rsidRPr="004401F1">
        <w:rPr>
          <w:rFonts w:hint="cs"/>
          <w:rtl/>
        </w:rPr>
        <w:t xml:space="preserve"> - </w:t>
      </w:r>
      <w:r w:rsidR="00A0030D" w:rsidRPr="00A0030D">
        <w:rPr>
          <w:rFonts w:hint="cs"/>
          <w:rtl/>
        </w:rPr>
        <w:t>زيادة</w:t>
      </w:r>
      <w:r w:rsidRPr="00A0030D">
        <w:rPr>
          <w:rFonts w:hint="cs"/>
          <w:rtl/>
        </w:rPr>
        <w:t xml:space="preserve"> القيمة</w:t>
      </w:r>
      <w:r w:rsidRPr="004401F1">
        <w:rPr>
          <w:rFonts w:hint="cs"/>
          <w:rtl/>
        </w:rPr>
        <w:t xml:space="preserve"> المقدَّمة لأعضاء الاتحاد</w:t>
      </w:r>
    </w:p>
    <w:p w:rsidR="004401F1" w:rsidRPr="004401F1" w:rsidRDefault="004401F1" w:rsidP="004401F1">
      <w:pPr>
        <w:rPr>
          <w:rtl/>
          <w:lang w:bidi="ar"/>
        </w:rPr>
      </w:pPr>
      <w:bookmarkStart w:id="3" w:name="lt_pId032"/>
      <w:bookmarkEnd w:id="2"/>
      <w:r w:rsidRPr="004401F1">
        <w:rPr>
          <w:rFonts w:hint="cs"/>
          <w:rtl/>
          <w:lang w:bidi="ar"/>
        </w:rPr>
        <w:t xml:space="preserve">ينبغي أن يشارك </w:t>
      </w:r>
      <w:r w:rsidRPr="00A0030D">
        <w:rPr>
          <w:rFonts w:hint="cs"/>
          <w:rtl/>
          <w:lang w:bidi="ar"/>
        </w:rPr>
        <w:t>الأعضاء من غير الدول</w:t>
      </w:r>
      <w:r w:rsidRPr="004401F1">
        <w:rPr>
          <w:rFonts w:hint="cs"/>
          <w:rtl/>
          <w:lang w:bidi="ar"/>
        </w:rPr>
        <w:t xml:space="preserve"> في جميع أنشطة الاتحاد، بدرجات متفاوتة من المشاركة تبعاً لمستوى المناقشات التقنية الجارية. وكلما ازداد الطابع التقني للمناقشات (أي في لجان الدراسات </w:t>
      </w:r>
      <w:r w:rsidRPr="004401F1">
        <w:rPr>
          <w:rFonts w:hint="eastAsia"/>
          <w:rtl/>
          <w:lang w:bidi="ar"/>
        </w:rPr>
        <w:t>وما</w:t>
      </w:r>
      <w:r w:rsidRPr="004401F1">
        <w:rPr>
          <w:rtl/>
          <w:lang w:bidi="ar"/>
        </w:rPr>
        <w:t xml:space="preserve"> </w:t>
      </w:r>
      <w:r w:rsidRPr="004401F1">
        <w:rPr>
          <w:rFonts w:hint="eastAsia"/>
          <w:rtl/>
          <w:lang w:bidi="ar"/>
        </w:rPr>
        <w:t>شاكَلَها</w:t>
      </w:r>
      <w:r w:rsidRPr="004401F1">
        <w:rPr>
          <w:rFonts w:hint="cs"/>
          <w:rtl/>
          <w:lang w:bidi="ar"/>
        </w:rPr>
        <w:t xml:space="preserve">)؛ قلت القيود المفروضة على مشاركة </w:t>
      </w:r>
      <w:r w:rsidRPr="00A0030D">
        <w:rPr>
          <w:rFonts w:hint="cs"/>
          <w:rtl/>
          <w:lang w:bidi="ar"/>
        </w:rPr>
        <w:t>الأعضاء من غير الدول</w:t>
      </w:r>
      <w:r w:rsidRPr="004401F1">
        <w:rPr>
          <w:rFonts w:hint="cs"/>
          <w:rtl/>
          <w:lang w:bidi="ar"/>
        </w:rPr>
        <w:t>.</w:t>
      </w:r>
    </w:p>
    <w:bookmarkEnd w:id="3"/>
    <w:p w:rsidR="004401F1" w:rsidRPr="004401F1" w:rsidRDefault="004401F1" w:rsidP="00444946">
      <w:pPr>
        <w:rPr>
          <w:spacing w:val="-2"/>
          <w:rtl/>
          <w:lang w:bidi="ar"/>
        </w:rPr>
      </w:pPr>
      <w:r w:rsidRPr="004401F1">
        <w:rPr>
          <w:rFonts w:hint="cs"/>
          <w:spacing w:val="-2"/>
          <w:rtl/>
          <w:lang w:bidi="ar"/>
        </w:rPr>
        <w:t xml:space="preserve">ومع مراعاة القرار </w:t>
      </w:r>
      <w:r w:rsidRPr="004401F1">
        <w:rPr>
          <w:spacing w:val="-2"/>
          <w:lang w:bidi="ar"/>
        </w:rPr>
        <w:t>54</w:t>
      </w:r>
      <w:r w:rsidRPr="004401F1">
        <w:rPr>
          <w:rFonts w:hint="cs"/>
          <w:spacing w:val="-2"/>
          <w:rtl/>
          <w:lang w:bidi="ar"/>
        </w:rPr>
        <w:t xml:space="preserve"> (الحمامات، </w:t>
      </w:r>
      <w:r w:rsidRPr="004401F1">
        <w:rPr>
          <w:spacing w:val="-2"/>
          <w:lang w:bidi="ar"/>
        </w:rPr>
        <w:t>2016</w:t>
      </w:r>
      <w:r w:rsidRPr="004401F1">
        <w:rPr>
          <w:rFonts w:hint="cs"/>
          <w:spacing w:val="-2"/>
          <w:rtl/>
          <w:lang w:bidi="ar"/>
        </w:rPr>
        <w:t xml:space="preserve">)، يحق </w:t>
      </w:r>
      <w:r w:rsidRPr="00A0030D">
        <w:rPr>
          <w:rFonts w:hint="cs"/>
          <w:spacing w:val="-2"/>
          <w:rtl/>
          <w:lang w:bidi="ar"/>
        </w:rPr>
        <w:t>لأعضاء القطاع</w:t>
      </w:r>
      <w:r w:rsidRPr="004401F1">
        <w:rPr>
          <w:rFonts w:hint="cs"/>
          <w:spacing w:val="-2"/>
          <w:rtl/>
          <w:lang w:bidi="ar"/>
        </w:rPr>
        <w:t xml:space="preserve"> أن يشاركوا مشاركة كاملة في جميع أنشطة القطاع الذي هم أعضاء فيه</w:t>
      </w:r>
      <w:r>
        <w:rPr>
          <w:rFonts w:hint="eastAsia"/>
          <w:spacing w:val="-2"/>
          <w:rtl/>
          <w:lang w:bidi="ar"/>
        </w:rPr>
        <w:t> </w:t>
      </w:r>
      <w:r w:rsidRPr="004401F1">
        <w:rPr>
          <w:rFonts w:hint="cs"/>
          <w:spacing w:val="-2"/>
          <w:rtl/>
          <w:lang w:bidi="ar"/>
        </w:rPr>
        <w:t>(</w:t>
      </w:r>
      <w:r w:rsidR="00444946">
        <w:rPr>
          <w:rFonts w:hint="cs"/>
          <w:spacing w:val="-2"/>
          <w:rtl/>
          <w:lang w:bidi="ar-EG"/>
        </w:rPr>
        <w:t>الفقرة </w:t>
      </w:r>
      <w:r w:rsidR="00444946">
        <w:rPr>
          <w:spacing w:val="-2"/>
          <w:lang w:bidi="ar-EG"/>
        </w:rPr>
        <w:t>3</w:t>
      </w:r>
      <w:r w:rsidR="00444946">
        <w:rPr>
          <w:rFonts w:hint="cs"/>
          <w:spacing w:val="-2"/>
          <w:rtl/>
          <w:lang w:bidi="ar-EG"/>
        </w:rPr>
        <w:t xml:space="preserve"> من </w:t>
      </w:r>
      <w:r w:rsidRPr="004401F1">
        <w:rPr>
          <w:rFonts w:hint="cs"/>
          <w:spacing w:val="-2"/>
          <w:rtl/>
          <w:lang w:bidi="ar"/>
        </w:rPr>
        <w:t>المادة</w:t>
      </w:r>
      <w:r w:rsidR="00444946">
        <w:rPr>
          <w:rFonts w:hint="eastAsia"/>
          <w:spacing w:val="-2"/>
          <w:rtl/>
          <w:lang w:bidi="ar"/>
        </w:rPr>
        <w:t> </w:t>
      </w:r>
      <w:r w:rsidRPr="004401F1">
        <w:rPr>
          <w:spacing w:val="-2"/>
          <w:lang w:bidi="ar"/>
        </w:rPr>
        <w:t>4</w:t>
      </w:r>
      <w:r w:rsidR="00444946">
        <w:rPr>
          <w:rFonts w:hint="cs"/>
          <w:spacing w:val="-2"/>
          <w:rtl/>
          <w:lang w:bidi="ar"/>
        </w:rPr>
        <w:t xml:space="preserve"> </w:t>
      </w:r>
      <w:r w:rsidRPr="004401F1">
        <w:rPr>
          <w:rFonts w:hint="cs"/>
          <w:spacing w:val="-2"/>
          <w:rtl/>
          <w:lang w:bidi="ar"/>
        </w:rPr>
        <w:t>من الدستور)، بما في ذلك لجان الدراسات الإقليمية التابعة لقطاع تقييس الاتصالات. ويُسمح للمنتسبين بالمشاركة في</w:t>
      </w:r>
      <w:r w:rsidRPr="004401F1">
        <w:rPr>
          <w:rFonts w:hint="eastAsia"/>
          <w:spacing w:val="-2"/>
          <w:rtl/>
          <w:lang w:bidi="ar"/>
        </w:rPr>
        <w:t> </w:t>
      </w:r>
      <w:r w:rsidRPr="004401F1">
        <w:rPr>
          <w:rFonts w:hint="cs"/>
          <w:spacing w:val="-2"/>
          <w:rtl/>
          <w:lang w:bidi="ar"/>
        </w:rPr>
        <w:t>أعمال لجنة الدراسات التي تخصهم دون المشاركة في اتخاذ أي قرار أو في نشاط اتصال للجنة الدراسات تلك اللجنة الدراسية</w:t>
      </w:r>
      <w:r w:rsidRPr="004401F1">
        <w:rPr>
          <w:rFonts w:hint="eastAsia"/>
          <w:spacing w:val="-2"/>
          <w:rtl/>
          <w:lang w:bidi="ar"/>
        </w:rPr>
        <w:t> </w:t>
      </w:r>
      <w:r w:rsidRPr="004401F1">
        <w:rPr>
          <w:rFonts w:hint="cs"/>
          <w:spacing w:val="-2"/>
          <w:rtl/>
          <w:lang w:bidi="ar"/>
        </w:rPr>
        <w:t>(المادة</w:t>
      </w:r>
      <w:r>
        <w:rPr>
          <w:rFonts w:hint="eastAsia"/>
          <w:spacing w:val="-2"/>
          <w:rtl/>
          <w:lang w:bidi="ar"/>
        </w:rPr>
        <w:t> </w:t>
      </w:r>
      <w:r w:rsidRPr="004401F1">
        <w:rPr>
          <w:spacing w:val="-2"/>
          <w:lang w:bidi="ar"/>
        </w:rPr>
        <w:t>20</w:t>
      </w:r>
      <w:r w:rsidRPr="004401F1">
        <w:rPr>
          <w:rFonts w:hint="cs"/>
          <w:spacing w:val="-2"/>
          <w:rtl/>
          <w:lang w:bidi="ar"/>
        </w:rPr>
        <w:t xml:space="preserve">، </w:t>
      </w:r>
      <w:r w:rsidRPr="004401F1">
        <w:rPr>
          <w:spacing w:val="-2"/>
          <w:lang w:bidi="ar"/>
        </w:rPr>
        <w:t>7</w:t>
      </w:r>
      <w:r w:rsidRPr="004401F1">
        <w:rPr>
          <w:rFonts w:hint="eastAsia"/>
          <w:spacing w:val="-2"/>
          <w:rtl/>
          <w:lang w:bidi="ar"/>
        </w:rPr>
        <w:t> </w:t>
      </w:r>
      <w:r w:rsidRPr="004401F1">
        <w:rPr>
          <w:rFonts w:hint="cs"/>
          <w:i/>
          <w:iCs/>
          <w:spacing w:val="-2"/>
          <w:rtl/>
          <w:lang w:bidi="ar"/>
        </w:rPr>
        <w:t>مكرر</w:t>
      </w:r>
      <w:r w:rsidR="00BD3DDD">
        <w:rPr>
          <w:rFonts w:hint="cs"/>
          <w:i/>
          <w:iCs/>
          <w:spacing w:val="-2"/>
          <w:rtl/>
          <w:lang w:bidi="ar"/>
        </w:rPr>
        <w:t>اً</w:t>
      </w:r>
      <w:r w:rsidRPr="004401F1">
        <w:rPr>
          <w:rFonts w:hint="cs"/>
          <w:i/>
          <w:iCs/>
          <w:spacing w:val="-2"/>
          <w:rtl/>
          <w:lang w:bidi="ar"/>
        </w:rPr>
        <w:t xml:space="preserve"> ثانياً </w:t>
      </w:r>
      <w:r w:rsidR="00BD3DDD">
        <w:rPr>
          <w:rFonts w:hint="cs"/>
          <w:spacing w:val="-2"/>
          <w:rtl/>
          <w:lang w:bidi="ar"/>
        </w:rPr>
        <w:t>من الاتفاقية)</w:t>
      </w:r>
      <w:r w:rsidRPr="004401F1">
        <w:rPr>
          <w:rFonts w:hint="cs"/>
          <w:spacing w:val="-2"/>
          <w:rtl/>
          <w:lang w:bidi="ar"/>
        </w:rPr>
        <w:t xml:space="preserve"> ويسمح لهم بالمشاركة في الفريق الإقليمي. ويُسمح للهيئات الأكاديمية المشاركة في</w:t>
      </w:r>
      <w:r w:rsidRPr="004401F1">
        <w:rPr>
          <w:rFonts w:hint="eastAsia"/>
          <w:spacing w:val="-2"/>
          <w:rtl/>
          <w:lang w:bidi="ar"/>
        </w:rPr>
        <w:t> </w:t>
      </w:r>
      <w:r w:rsidRPr="004401F1">
        <w:rPr>
          <w:rFonts w:hint="cs"/>
          <w:spacing w:val="-2"/>
          <w:rtl/>
          <w:lang w:bidi="ar"/>
        </w:rPr>
        <w:t xml:space="preserve">أعمال القطاعات الثلاثة دون أي دور في اتخاذ القرار (القرار </w:t>
      </w:r>
      <w:r w:rsidRPr="004401F1">
        <w:rPr>
          <w:spacing w:val="-2"/>
          <w:lang w:bidi="ar"/>
        </w:rPr>
        <w:t>169</w:t>
      </w:r>
      <w:r w:rsidRPr="004401F1">
        <w:rPr>
          <w:rFonts w:hint="cs"/>
          <w:spacing w:val="-2"/>
          <w:rtl/>
          <w:lang w:bidi="ar"/>
        </w:rPr>
        <w:t xml:space="preserve">، بوسان، </w:t>
      </w:r>
      <w:r w:rsidRPr="004401F1">
        <w:rPr>
          <w:spacing w:val="-2"/>
          <w:lang w:bidi="ar"/>
        </w:rPr>
        <w:t>2014</w:t>
      </w:r>
      <w:r w:rsidRPr="004401F1">
        <w:rPr>
          <w:rFonts w:hint="cs"/>
          <w:spacing w:val="-2"/>
          <w:rtl/>
          <w:lang w:bidi="ar"/>
        </w:rPr>
        <w:t>)، ويسمح لها با</w:t>
      </w:r>
      <w:r w:rsidR="00752477">
        <w:rPr>
          <w:rFonts w:hint="cs"/>
          <w:spacing w:val="-2"/>
          <w:rtl/>
          <w:lang w:bidi="ar"/>
        </w:rPr>
        <w:t>لمشاركة في</w:t>
      </w:r>
      <w:r w:rsidR="00752477">
        <w:rPr>
          <w:rFonts w:hint="eastAsia"/>
          <w:spacing w:val="-2"/>
          <w:rtl/>
          <w:lang w:bidi="ar"/>
        </w:rPr>
        <w:t> </w:t>
      </w:r>
      <w:r w:rsidRPr="004401F1">
        <w:rPr>
          <w:rFonts w:hint="cs"/>
          <w:spacing w:val="-2"/>
          <w:rtl/>
          <w:lang w:bidi="ar"/>
        </w:rPr>
        <w:t>لجان الدراسات</w:t>
      </w:r>
      <w:r w:rsidR="00444946">
        <w:rPr>
          <w:rFonts w:hint="eastAsia"/>
          <w:spacing w:val="-2"/>
          <w:rtl/>
          <w:lang w:bidi="ar"/>
        </w:rPr>
        <w:t> </w:t>
      </w:r>
      <w:r w:rsidRPr="004401F1">
        <w:rPr>
          <w:rFonts w:hint="cs"/>
          <w:spacing w:val="-2"/>
          <w:rtl/>
          <w:lang w:bidi="ar"/>
        </w:rPr>
        <w:t>الإقليمية.</w:t>
      </w:r>
    </w:p>
    <w:p w:rsidR="004401F1" w:rsidRPr="004401F1" w:rsidRDefault="004401F1" w:rsidP="004401F1">
      <w:pPr>
        <w:rPr>
          <w:rtl/>
          <w:lang w:bidi="ar"/>
        </w:rPr>
      </w:pPr>
      <w:bookmarkStart w:id="4" w:name="lt_pId036"/>
      <w:r w:rsidRPr="004401F1">
        <w:rPr>
          <w:rFonts w:hint="cs"/>
          <w:rtl/>
          <w:lang w:bidi="ar"/>
        </w:rPr>
        <w:t xml:space="preserve">وينبغي أن يكون للدول الأعضاء الحق في تحديد طريقة مشاركة </w:t>
      </w:r>
      <w:r w:rsidRPr="00A0030D">
        <w:rPr>
          <w:rFonts w:hint="cs"/>
          <w:rtl/>
          <w:lang w:bidi="ar"/>
        </w:rPr>
        <w:t>الأعضاء من غير الدول</w:t>
      </w:r>
      <w:r w:rsidRPr="004401F1">
        <w:rPr>
          <w:rFonts w:hint="cs"/>
          <w:rtl/>
          <w:lang w:bidi="ar"/>
        </w:rPr>
        <w:t xml:space="preserve"> خارج لجان الدراسات، ولكن ينبغي أن</w:t>
      </w:r>
      <w:r>
        <w:rPr>
          <w:rFonts w:hint="eastAsia"/>
          <w:rtl/>
          <w:lang w:bidi="ar"/>
        </w:rPr>
        <w:t> </w:t>
      </w:r>
      <w:r w:rsidRPr="004401F1">
        <w:rPr>
          <w:rFonts w:hint="cs"/>
          <w:rtl/>
          <w:lang w:bidi="ar"/>
        </w:rPr>
        <w:t xml:space="preserve">تتحاشى وضع قيود على </w:t>
      </w:r>
      <w:r w:rsidRPr="00A0030D">
        <w:rPr>
          <w:rFonts w:hint="cs"/>
          <w:rtl/>
          <w:lang w:bidi="ar"/>
        </w:rPr>
        <w:t>مشاركة الأعضاء من غير الدول</w:t>
      </w:r>
      <w:r w:rsidRPr="004401F1">
        <w:rPr>
          <w:rFonts w:hint="cs"/>
          <w:rtl/>
          <w:lang w:bidi="ar"/>
        </w:rPr>
        <w:t xml:space="preserve"> في أنشطة قطاعاتها.</w:t>
      </w:r>
    </w:p>
    <w:p w:rsidR="004401F1" w:rsidRPr="004401F1" w:rsidRDefault="004401F1" w:rsidP="00AF1B6D">
      <w:pPr>
        <w:rPr>
          <w:rtl/>
          <w:lang w:bidi="ar"/>
        </w:rPr>
      </w:pPr>
      <w:bookmarkStart w:id="5" w:name="lt_pId038"/>
      <w:bookmarkEnd w:id="4"/>
      <w:r w:rsidRPr="004401F1">
        <w:rPr>
          <w:rFonts w:hint="cs"/>
          <w:rtl/>
          <w:lang w:bidi="ar"/>
        </w:rPr>
        <w:t xml:space="preserve">وينبغي للمجلس أن يواصل دراسة التدابير الرامية إلى </w:t>
      </w:r>
      <w:r w:rsidR="00A0030D" w:rsidRPr="00A0030D">
        <w:rPr>
          <w:rFonts w:hint="cs"/>
          <w:rtl/>
          <w:lang w:bidi="ar"/>
        </w:rPr>
        <w:t>زيادة</w:t>
      </w:r>
      <w:r w:rsidRPr="00A0030D">
        <w:rPr>
          <w:rFonts w:hint="cs"/>
          <w:rtl/>
          <w:lang w:bidi="ar"/>
        </w:rPr>
        <w:t xml:space="preserve"> القيمة</w:t>
      </w:r>
      <w:r w:rsidRPr="004401F1">
        <w:rPr>
          <w:rFonts w:hint="cs"/>
          <w:rtl/>
          <w:lang w:bidi="ar"/>
        </w:rPr>
        <w:t xml:space="preserve"> المقدَّمة </w:t>
      </w:r>
      <w:r w:rsidRPr="00A0030D">
        <w:rPr>
          <w:rFonts w:hint="cs"/>
          <w:rtl/>
          <w:lang w:bidi="ar"/>
        </w:rPr>
        <w:t>للأعضاء من غير الدول</w:t>
      </w:r>
      <w:r w:rsidRPr="004401F1">
        <w:rPr>
          <w:rFonts w:hint="cs"/>
          <w:rtl/>
          <w:lang w:bidi="ar"/>
        </w:rPr>
        <w:t xml:space="preserve">، من قبيل إنشاء فئات جديدة من العضوية للكيانات غير </w:t>
      </w:r>
      <w:r w:rsidR="00AF1B6D">
        <w:rPr>
          <w:rFonts w:hint="cs"/>
          <w:rtl/>
          <w:lang w:bidi="ar"/>
        </w:rPr>
        <w:t>الربحية</w:t>
      </w:r>
      <w:bookmarkStart w:id="6" w:name="_GoBack"/>
      <w:bookmarkEnd w:id="6"/>
      <w:r w:rsidRPr="004401F1">
        <w:rPr>
          <w:rFonts w:hint="cs"/>
          <w:rtl/>
          <w:lang w:bidi="ar"/>
        </w:rPr>
        <w:t xml:space="preserve"> </w:t>
      </w:r>
      <w:r w:rsidR="00701CD7">
        <w:rPr>
          <w:rFonts w:hint="cs"/>
          <w:rtl/>
          <w:lang w:bidi="ar"/>
        </w:rPr>
        <w:t>والشركات</w:t>
      </w:r>
      <w:r w:rsidRPr="004401F1">
        <w:rPr>
          <w:rFonts w:hint="cs"/>
          <w:rtl/>
          <w:lang w:bidi="ar"/>
        </w:rPr>
        <w:t xml:space="preserve"> الصغيرة والمتوسطة</w:t>
      </w:r>
      <w:r>
        <w:rPr>
          <w:rFonts w:hint="eastAsia"/>
          <w:rtl/>
          <w:lang w:bidi="ar"/>
        </w:rPr>
        <w:t> </w:t>
      </w:r>
      <w:r>
        <w:rPr>
          <w:lang w:bidi="ar"/>
        </w:rPr>
        <w:t>(SME)</w:t>
      </w:r>
      <w:r w:rsidRPr="004401F1">
        <w:rPr>
          <w:rFonts w:hint="cs"/>
          <w:rtl/>
          <w:lang w:bidi="ar"/>
        </w:rPr>
        <w:t>، وتقديم مزايا مالية للأعضاء في أكثر من قطاع واحد، مع الأخذ في الحسبان الخسائر المحتملة في الإيرادات المتأتية من هذه التدابير. وينبغي للمجلس أيضاً أن يناقش الرسوم والحقوق وطرائق مشاركة الفروع الإقليمية للشركات العالمية كأعضاء قطاع في لجان الدراسات والأفرقة الإقليمية (أي هل ينبغي أن تدفع الفروع الإقليمية رسوماً كاملة تارة أخرى للمشاركة في الأفرقة الإقليمية أم تدفع رسوماً مخفضة أم تعفى من الرسوم؟).</w:t>
      </w:r>
    </w:p>
    <w:p w:rsidR="004401F1" w:rsidRPr="004401F1" w:rsidRDefault="004401F1" w:rsidP="004401F1">
      <w:pPr>
        <w:pStyle w:val="Headingb"/>
        <w:rPr>
          <w:rtl/>
        </w:rPr>
      </w:pPr>
      <w:r w:rsidRPr="004401F1">
        <w:rPr>
          <w:rFonts w:hint="cs"/>
          <w:rtl/>
        </w:rPr>
        <w:t>المبدأ</w:t>
      </w:r>
      <w:r w:rsidR="00444946">
        <w:rPr>
          <w:rFonts w:hint="cs"/>
          <w:rtl/>
        </w:rPr>
        <w:t xml:space="preserve"> رقم</w:t>
      </w:r>
      <w:r w:rsidRPr="004401F1">
        <w:rPr>
          <w:rFonts w:hint="cs"/>
          <w:rtl/>
        </w:rPr>
        <w:t xml:space="preserve"> </w:t>
      </w:r>
      <w:r>
        <w:t>2</w:t>
      </w:r>
      <w:r w:rsidRPr="004401F1">
        <w:rPr>
          <w:rFonts w:hint="cs"/>
          <w:rtl/>
        </w:rPr>
        <w:t xml:space="preserve"> - تعزيز المشاركة بتجنب الازدواجية في العمل</w:t>
      </w:r>
    </w:p>
    <w:p w:rsidR="004401F1" w:rsidRPr="004401F1" w:rsidRDefault="004401F1" w:rsidP="004401F1">
      <w:pPr>
        <w:rPr>
          <w:rtl/>
          <w:lang w:bidi="ar"/>
        </w:rPr>
      </w:pPr>
      <w:r w:rsidRPr="004401F1">
        <w:rPr>
          <w:rFonts w:hint="cs"/>
          <w:rtl/>
          <w:lang w:bidi="ar"/>
        </w:rPr>
        <w:t>وينبغي للمؤتمرات/الجمعيات القطاعية والأفرقة الاستشارية القطاعية، عند البت في هيكل القطاع ولجان الدراسات، أن تلقي نظرة شاملة على قطاعي الاتحاد الآخرين والمنظمات الدولية الأخرى، وتتجنب الازدواجية في العمل.</w:t>
      </w:r>
    </w:p>
    <w:bookmarkEnd w:id="5"/>
    <w:p w:rsidR="004401F1" w:rsidRPr="004401F1" w:rsidRDefault="004401F1" w:rsidP="000026D1">
      <w:pPr>
        <w:rPr>
          <w:rtl/>
          <w:lang w:bidi="ar"/>
        </w:rPr>
      </w:pPr>
      <w:r w:rsidRPr="004401F1">
        <w:rPr>
          <w:rFonts w:hint="cs"/>
          <w:rtl/>
          <w:lang w:bidi="ar"/>
        </w:rPr>
        <w:lastRenderedPageBreak/>
        <w:t>وكمثال على ذلك، ثمة إمكانية كبيرة لازدواجية العمل في لجان الدراسات الإقليمية بقطاع تقييس الاتصالات. وفي</w:t>
      </w:r>
      <w:r>
        <w:rPr>
          <w:rFonts w:hint="eastAsia"/>
          <w:rtl/>
          <w:lang w:bidi="ar"/>
        </w:rPr>
        <w:t> </w:t>
      </w:r>
      <w:r w:rsidRPr="004401F1">
        <w:rPr>
          <w:rFonts w:hint="cs"/>
          <w:rtl/>
          <w:lang w:bidi="ar"/>
        </w:rPr>
        <w:t>حين ينبغي أن</w:t>
      </w:r>
      <w:r>
        <w:rPr>
          <w:rFonts w:hint="eastAsia"/>
          <w:rtl/>
          <w:lang w:bidi="ar"/>
        </w:rPr>
        <w:t> </w:t>
      </w:r>
      <w:r w:rsidRPr="004401F1">
        <w:rPr>
          <w:rFonts w:hint="cs"/>
          <w:rtl/>
          <w:lang w:bidi="ar"/>
        </w:rPr>
        <w:t xml:space="preserve">نراعي أهداف القرار </w:t>
      </w:r>
      <w:r>
        <w:rPr>
          <w:lang w:bidi="ar"/>
        </w:rPr>
        <w:t>54</w:t>
      </w:r>
      <w:r w:rsidRPr="004401F1">
        <w:rPr>
          <w:rFonts w:hint="cs"/>
          <w:rtl/>
          <w:lang w:bidi="ar"/>
        </w:rPr>
        <w:t xml:space="preserve"> (الحمامات، </w:t>
      </w:r>
      <w:r>
        <w:rPr>
          <w:lang w:bidi="ar"/>
        </w:rPr>
        <w:t>2016</w:t>
      </w:r>
      <w:r w:rsidRPr="004401F1">
        <w:rPr>
          <w:rFonts w:hint="cs"/>
          <w:rtl/>
          <w:lang w:bidi="ar"/>
        </w:rPr>
        <w:t xml:space="preserve">) والقرار </w:t>
      </w:r>
      <w:r>
        <w:rPr>
          <w:lang w:bidi="ar"/>
        </w:rPr>
        <w:t>123</w:t>
      </w:r>
      <w:r w:rsidRPr="004401F1">
        <w:rPr>
          <w:rFonts w:hint="cs"/>
          <w:rtl/>
          <w:lang w:bidi="ar"/>
        </w:rPr>
        <w:t xml:space="preserve"> (بوسان، </w:t>
      </w:r>
      <w:r>
        <w:rPr>
          <w:lang w:bidi="ar"/>
        </w:rPr>
        <w:t>2014</w:t>
      </w:r>
      <w:r w:rsidRPr="004401F1">
        <w:rPr>
          <w:rFonts w:hint="cs"/>
          <w:rtl/>
          <w:lang w:bidi="ar"/>
        </w:rPr>
        <w:t>) الرامية لزيادة مشاركة البلدان النامية في</w:t>
      </w:r>
      <w:r>
        <w:rPr>
          <w:rFonts w:hint="eastAsia"/>
          <w:rtl/>
          <w:lang w:bidi="ar"/>
        </w:rPr>
        <w:t> </w:t>
      </w:r>
      <w:r w:rsidRPr="004401F1">
        <w:rPr>
          <w:rFonts w:hint="cs"/>
          <w:rtl/>
          <w:lang w:bidi="ar"/>
        </w:rPr>
        <w:t xml:space="preserve">أعمال الاتحاد، علينا أن نأخذ بعين الاعتبار أيضاً أن إنشاء لجان دراسات إقليمية قد </w:t>
      </w:r>
      <w:r w:rsidRPr="004401F1">
        <w:rPr>
          <w:rFonts w:hint="cs"/>
          <w:rtl/>
        </w:rPr>
        <w:t>يأتي بنتائج عكسية.</w:t>
      </w:r>
      <w:r w:rsidRPr="004401F1">
        <w:rPr>
          <w:rFonts w:hint="cs"/>
          <w:rtl/>
          <w:lang w:bidi="ar"/>
        </w:rPr>
        <w:t xml:space="preserve"> فازدياد اجتماعات لجان الدراسات الإقليمية التي يتعين حضورها يتطلب ميزانية</w:t>
      </w:r>
      <w:r w:rsidR="00AA1E69">
        <w:rPr>
          <w:rFonts w:hint="cs"/>
          <w:rtl/>
          <w:lang w:bidi="ar"/>
        </w:rPr>
        <w:t xml:space="preserve"> أكبر قد تثني جميع الأعضاء، ولا</w:t>
      </w:r>
      <w:r w:rsidR="00AA1E69">
        <w:rPr>
          <w:rFonts w:hint="eastAsia"/>
          <w:rtl/>
          <w:lang w:bidi="ar"/>
        </w:rPr>
        <w:t> </w:t>
      </w:r>
      <w:r w:rsidRPr="004401F1">
        <w:rPr>
          <w:rFonts w:hint="cs"/>
          <w:rtl/>
          <w:lang w:bidi="ar"/>
        </w:rPr>
        <w:t xml:space="preserve">سيما البلدان النامية </w:t>
      </w:r>
      <w:r w:rsidRPr="00A0030D">
        <w:rPr>
          <w:rFonts w:hint="cs"/>
          <w:rtl/>
          <w:lang w:bidi="ar"/>
        </w:rPr>
        <w:t>والأعضاء من غير</w:t>
      </w:r>
      <w:r w:rsidRPr="00A0030D">
        <w:rPr>
          <w:rFonts w:hint="eastAsia"/>
          <w:rtl/>
          <w:lang w:bidi="ar"/>
        </w:rPr>
        <w:t> </w:t>
      </w:r>
      <w:r w:rsidRPr="00A0030D">
        <w:rPr>
          <w:rFonts w:hint="cs"/>
          <w:rtl/>
          <w:lang w:bidi="ar"/>
        </w:rPr>
        <w:t>الدول</w:t>
      </w:r>
      <w:r w:rsidRPr="004401F1">
        <w:rPr>
          <w:rFonts w:hint="cs"/>
          <w:rtl/>
          <w:lang w:bidi="ar"/>
        </w:rPr>
        <w:t xml:space="preserve">، عن المشاركة في اجتماعات المنظمات الإقليمية وفي اجتماعات لجان الدراسات الرئيسية. </w:t>
      </w:r>
      <w:r w:rsidR="000026D1">
        <w:rPr>
          <w:rFonts w:hint="cs"/>
          <w:rtl/>
          <w:lang w:bidi="ar"/>
        </w:rPr>
        <w:t>وعلاوةً</w:t>
      </w:r>
      <w:r w:rsidRPr="004401F1">
        <w:rPr>
          <w:rFonts w:hint="cs"/>
          <w:rtl/>
          <w:lang w:bidi="ar"/>
        </w:rPr>
        <w:t xml:space="preserve"> على ذلك، تظل قرارات لجنة دراسات إقليمية بحاجة للمناقشة وللموافقة عليها في لجنة الدراسات الرئيسية.</w:t>
      </w:r>
    </w:p>
    <w:p w:rsidR="004401F1" w:rsidRPr="004401F1" w:rsidRDefault="004401F1" w:rsidP="004401F1">
      <w:pPr>
        <w:rPr>
          <w:rtl/>
          <w:lang w:bidi="ar"/>
        </w:rPr>
      </w:pPr>
      <w:bookmarkStart w:id="7" w:name="lt_pId048"/>
      <w:r w:rsidRPr="004401F1">
        <w:rPr>
          <w:rFonts w:hint="cs"/>
          <w:rtl/>
          <w:lang w:bidi="ar"/>
        </w:rPr>
        <w:t xml:space="preserve">وتقدم الوثيقة </w:t>
      </w:r>
      <w:hyperlink r:id="rId11" w:history="1">
        <w:r w:rsidRPr="004401F1">
          <w:rPr>
            <w:rStyle w:val="Hyperlink"/>
            <w:bCs/>
            <w:lang w:bidi="ar-EG"/>
          </w:rPr>
          <w:t>C17/72</w:t>
        </w:r>
      </w:hyperlink>
      <w:r w:rsidRPr="004401F1">
        <w:rPr>
          <w:rFonts w:hint="cs"/>
          <w:rtl/>
          <w:lang w:bidi="ar"/>
        </w:rPr>
        <w:t xml:space="preserve"> لمحة عامة عن الأفرقة الإقليمية وتفيد بأن هناك حالياً </w:t>
      </w:r>
      <w:r>
        <w:rPr>
          <w:lang w:bidi="ar"/>
        </w:rPr>
        <w:t>23</w:t>
      </w:r>
      <w:r w:rsidRPr="004401F1">
        <w:rPr>
          <w:rFonts w:hint="cs"/>
          <w:rtl/>
          <w:lang w:bidi="ar"/>
        </w:rPr>
        <w:t xml:space="preserve"> فريقاً إقليمياً في قطاع تقييس الاتصالات. ولا</w:t>
      </w:r>
      <w:r>
        <w:rPr>
          <w:rFonts w:hint="eastAsia"/>
          <w:rtl/>
          <w:lang w:bidi="ar"/>
        </w:rPr>
        <w:t> </w:t>
      </w:r>
      <w:r w:rsidRPr="004401F1">
        <w:rPr>
          <w:rFonts w:hint="cs"/>
          <w:rtl/>
          <w:lang w:bidi="ar"/>
        </w:rPr>
        <w:t>تعارض البرازيل إنشاء أفرقة إقليمية؛ غير أنها تتخوف من آثار بعض الأفرقة الإقليمية على كفاءة العمل التقني في</w:t>
      </w:r>
      <w:r>
        <w:rPr>
          <w:rFonts w:hint="eastAsia"/>
          <w:rtl/>
          <w:lang w:bidi="ar"/>
        </w:rPr>
        <w:t> </w:t>
      </w:r>
      <w:r w:rsidRPr="004401F1">
        <w:rPr>
          <w:rFonts w:hint="cs"/>
          <w:rtl/>
          <w:lang w:bidi="ar"/>
        </w:rPr>
        <w:t>لجان الدراسات الرئيسية والمنظمات الإقليمية، والآثار من حيث الميزانية على أعضاء الاتحاد وعلى الاتحاد نفسه. فلا بد من تجنب ازدواجية وتداخل العمل غير الضروريين من أجل زيادة الكفاءة وإشراك الجميع في أعمال الاتحاد وتقليل تكاليف المشاركة في الاجتماعات وتنظيمها إلى أدنى حد ممكن.</w:t>
      </w:r>
    </w:p>
    <w:p w:rsidR="004401F1" w:rsidRPr="004401F1" w:rsidRDefault="004401F1" w:rsidP="004401F1">
      <w:pPr>
        <w:pStyle w:val="Headingb"/>
        <w:rPr>
          <w:rtl/>
        </w:rPr>
      </w:pPr>
      <w:r w:rsidRPr="004401F1">
        <w:rPr>
          <w:rFonts w:hint="cs"/>
          <w:rtl/>
        </w:rPr>
        <w:t>المبدأ</w:t>
      </w:r>
      <w:r w:rsidR="00444946">
        <w:rPr>
          <w:rFonts w:hint="cs"/>
          <w:rtl/>
        </w:rPr>
        <w:t xml:space="preserve"> رقم</w:t>
      </w:r>
      <w:r w:rsidRPr="004401F1">
        <w:rPr>
          <w:rFonts w:hint="cs"/>
          <w:rtl/>
        </w:rPr>
        <w:t xml:space="preserve"> </w:t>
      </w:r>
      <w:r>
        <w:t>3</w:t>
      </w:r>
      <w:r w:rsidRPr="004401F1">
        <w:rPr>
          <w:rFonts w:hint="cs"/>
          <w:rtl/>
        </w:rPr>
        <w:t xml:space="preserve"> - احترام كفاءات وخبرات ومدخلات </w:t>
      </w:r>
      <w:r w:rsidRPr="00A0030D">
        <w:rPr>
          <w:rFonts w:hint="cs"/>
          <w:rtl/>
        </w:rPr>
        <w:t>الأعضاء من غير الدول</w:t>
      </w:r>
    </w:p>
    <w:p w:rsidR="004401F1" w:rsidRPr="004401F1" w:rsidRDefault="004401F1" w:rsidP="004401F1">
      <w:pPr>
        <w:rPr>
          <w:rtl/>
          <w:lang w:bidi="ar"/>
        </w:rPr>
      </w:pPr>
      <w:bookmarkStart w:id="8" w:name="lt_pId053"/>
      <w:bookmarkEnd w:id="7"/>
      <w:r w:rsidRPr="004401F1">
        <w:rPr>
          <w:rFonts w:hint="cs"/>
          <w:rtl/>
          <w:lang w:bidi="ar"/>
        </w:rPr>
        <w:t>أعرب بعض أعضاء القطاعات عن شعور مؤداه أن خبراتهم و</w:t>
      </w:r>
      <w:r w:rsidR="00665447">
        <w:rPr>
          <w:rFonts w:hint="cs"/>
          <w:rtl/>
          <w:lang w:bidi="ar"/>
        </w:rPr>
        <w:t>معلوماتهم وبياناتهم المقدمة، لا</w:t>
      </w:r>
      <w:r w:rsidR="00665447">
        <w:rPr>
          <w:rFonts w:hint="eastAsia"/>
          <w:rtl/>
          <w:lang w:bidi="ar"/>
        </w:rPr>
        <w:t> </w:t>
      </w:r>
      <w:r w:rsidRPr="004401F1">
        <w:rPr>
          <w:rFonts w:hint="cs"/>
          <w:rtl/>
          <w:lang w:bidi="ar"/>
        </w:rPr>
        <w:t>سيما في لجان الدراسات التابعة لقطاع تقييس الاتصالات، كثيراً ما تُغفَل دون مناقشة، مما يفضي إلى اتخاذ قرارات على أساس دواع جيوسياسية بدلاً من الأدلة التجريبية والخبرة التقنية. ولا يشجع هذا الحال مشاركة وعضوية دوائر الصناعة، ويضعف قوة وشرعية توصيات الاتحاد. وبالنظر إلى أن معظم توصيات الاتحاد هي معايير تقنية تعتمدها دوائر الصناعة؛ تُعتبر القوة والشرعية التقنية عناصر حاسمة في صياغتها والموافقة عليها.</w:t>
      </w:r>
    </w:p>
    <w:p w:rsidR="004401F1" w:rsidRPr="004401F1" w:rsidRDefault="004401F1" w:rsidP="004401F1">
      <w:pPr>
        <w:rPr>
          <w:spacing w:val="2"/>
          <w:rtl/>
          <w:lang w:bidi="ar"/>
        </w:rPr>
      </w:pPr>
      <w:bookmarkStart w:id="9" w:name="lt_pId056"/>
      <w:bookmarkEnd w:id="8"/>
      <w:r w:rsidRPr="004401F1">
        <w:rPr>
          <w:rFonts w:hint="cs"/>
          <w:spacing w:val="2"/>
          <w:rtl/>
          <w:lang w:bidi="ar"/>
        </w:rPr>
        <w:t>وينبغي أن يعامل رؤساء لجان الدراسات وفرق العمل مدخلات أعضاء القطاعات والدول الأعضاء على نحو عادل، مع الاعتراف بالقيمة التي يقدمها القطاع الخاص والقطاع العام للمناقشات. ولئن كان التعاون بين أصحاب المصلحة المتعددين أساسياً في</w:t>
      </w:r>
      <w:r>
        <w:rPr>
          <w:rFonts w:hint="eastAsia"/>
          <w:spacing w:val="2"/>
          <w:rtl/>
          <w:lang w:bidi="ar-EG"/>
        </w:rPr>
        <w:t> </w:t>
      </w:r>
      <w:r w:rsidRPr="004401F1">
        <w:rPr>
          <w:rFonts w:hint="cs"/>
          <w:spacing w:val="2"/>
          <w:rtl/>
          <w:lang w:bidi="ar"/>
        </w:rPr>
        <w:t xml:space="preserve">تطوير تكنولوجيا المعلومات والاتصالات والسياسة العامة، ينبغي للدول الأعضاء أن تضع في اعتبارها دائماً دور </w:t>
      </w:r>
      <w:r w:rsidRPr="00665447">
        <w:rPr>
          <w:rFonts w:hint="cs"/>
          <w:spacing w:val="2"/>
          <w:rtl/>
          <w:lang w:bidi="ar"/>
        </w:rPr>
        <w:t>جهات</w:t>
      </w:r>
      <w:r w:rsidRPr="004401F1">
        <w:rPr>
          <w:rFonts w:hint="cs"/>
          <w:spacing w:val="2"/>
          <w:rtl/>
          <w:lang w:bidi="ar"/>
        </w:rPr>
        <w:t xml:space="preserve"> القطاع الخاص والهيئات الأكاديمية في التنمية الاقتصادية والتقنية لتكنولوجيا المعلومات والاتصالات. وينبغي دوماً تشجيع مساهماتها و</w:t>
      </w:r>
      <w:r w:rsidRPr="004401F1">
        <w:rPr>
          <w:spacing w:val="2"/>
          <w:rtl/>
        </w:rPr>
        <w:t>تقديره</w:t>
      </w:r>
      <w:r w:rsidRPr="004401F1">
        <w:rPr>
          <w:rFonts w:hint="cs"/>
          <w:spacing w:val="2"/>
          <w:rtl/>
        </w:rPr>
        <w:t>ا</w:t>
      </w:r>
      <w:r w:rsidRPr="004401F1">
        <w:rPr>
          <w:spacing w:val="2"/>
          <w:rtl/>
        </w:rPr>
        <w:t xml:space="preserve"> حق قدره</w:t>
      </w:r>
      <w:r w:rsidRPr="004401F1">
        <w:rPr>
          <w:rFonts w:hint="cs"/>
          <w:spacing w:val="2"/>
          <w:rtl/>
        </w:rPr>
        <w:t>ا</w:t>
      </w:r>
      <w:r w:rsidRPr="004401F1">
        <w:rPr>
          <w:rFonts w:hint="cs"/>
          <w:spacing w:val="2"/>
          <w:rtl/>
          <w:lang w:bidi="ar"/>
        </w:rPr>
        <w:t>.</w:t>
      </w:r>
    </w:p>
    <w:bookmarkEnd w:id="9"/>
    <w:p w:rsidR="004401F1" w:rsidRPr="004401F1" w:rsidRDefault="004401F1" w:rsidP="00381108">
      <w:pPr>
        <w:rPr>
          <w:rtl/>
          <w:lang w:bidi="ar"/>
        </w:rPr>
      </w:pPr>
      <w:r w:rsidRPr="004401F1">
        <w:rPr>
          <w:rFonts w:hint="cs"/>
          <w:rtl/>
          <w:lang w:bidi="ar"/>
        </w:rPr>
        <w:t>وعلاوة</w:t>
      </w:r>
      <w:r w:rsidR="00665447">
        <w:rPr>
          <w:rFonts w:hint="cs"/>
          <w:rtl/>
          <w:lang w:bidi="ar"/>
        </w:rPr>
        <w:t>ً</w:t>
      </w:r>
      <w:r w:rsidRPr="004401F1">
        <w:rPr>
          <w:rFonts w:hint="cs"/>
          <w:rtl/>
          <w:lang w:bidi="ar"/>
        </w:rPr>
        <w:t xml:space="preserve"> على ذلك، ينبغي أن يكون هناك التزام تام بعمليات </w:t>
      </w:r>
      <w:r w:rsidR="000026D1">
        <w:rPr>
          <w:rFonts w:hint="cs"/>
          <w:rtl/>
          <w:lang w:bidi="ar"/>
        </w:rPr>
        <w:t>وإجراءات الاتحاد الموثَّقة، ولا</w:t>
      </w:r>
      <w:r w:rsidR="000026D1">
        <w:rPr>
          <w:rFonts w:hint="eastAsia"/>
          <w:rtl/>
          <w:lang w:bidi="ar"/>
        </w:rPr>
        <w:t> </w:t>
      </w:r>
      <w:r w:rsidRPr="004401F1">
        <w:rPr>
          <w:rFonts w:hint="cs"/>
          <w:rtl/>
          <w:lang w:bidi="ar"/>
        </w:rPr>
        <w:t>سيما فيما يتعلق بإدخال الوثائق، وتحديد توافق الآراء، والنتائج المحددة سلفاً، وإعداد التق</w:t>
      </w:r>
      <w:r w:rsidR="000026D1">
        <w:rPr>
          <w:rFonts w:hint="cs"/>
          <w:rtl/>
          <w:lang w:bidi="ar"/>
        </w:rPr>
        <w:t>ارير الدقيقة عن الاجتماعات، ولا</w:t>
      </w:r>
      <w:r w:rsidR="000026D1">
        <w:rPr>
          <w:rFonts w:hint="eastAsia"/>
          <w:rtl/>
          <w:lang w:bidi="ar"/>
        </w:rPr>
        <w:t> </w:t>
      </w:r>
      <w:r w:rsidRPr="004401F1">
        <w:rPr>
          <w:rFonts w:hint="cs"/>
          <w:rtl/>
          <w:lang w:bidi="ar"/>
        </w:rPr>
        <w:t>سيما في لجان الدراسات. ومن شأن ذلك أن</w:t>
      </w:r>
      <w:r w:rsidR="00381108">
        <w:rPr>
          <w:rFonts w:hint="eastAsia"/>
          <w:rtl/>
          <w:lang w:bidi="ar"/>
        </w:rPr>
        <w:t> </w:t>
      </w:r>
      <w:r w:rsidRPr="004401F1">
        <w:rPr>
          <w:rFonts w:hint="cs"/>
          <w:rtl/>
          <w:lang w:bidi="ar"/>
        </w:rPr>
        <w:t>يحتضن بيئة ذات أواصر زمالة وتعاون أقوى، وأن يعزز العلاقات والثقة بين أمانة الاتحاد، بصفتها طرفاً محايداً، وبين الدول الأعضاء وأعضاء القطاع.</w:t>
      </w:r>
    </w:p>
    <w:p w:rsidR="004401F1" w:rsidRPr="004401F1" w:rsidRDefault="0097034E" w:rsidP="0097034E">
      <w:pPr>
        <w:spacing w:before="600"/>
        <w:jc w:val="center"/>
        <w:rPr>
          <w:lang w:bidi="ar-EG"/>
        </w:rPr>
      </w:pPr>
      <w:r>
        <w:rPr>
          <w:rFonts w:hint="cs"/>
          <w:rtl/>
          <w:lang w:bidi="ar-EG"/>
        </w:rPr>
        <w:t>___________</w:t>
      </w:r>
    </w:p>
    <w:sectPr w:rsidR="004401F1" w:rsidRPr="004401F1"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30" w:rsidRDefault="006F2C30" w:rsidP="00E07379">
      <w:pPr>
        <w:spacing w:before="0" w:line="240" w:lineRule="auto"/>
      </w:pPr>
      <w:r>
        <w:separator/>
      </w:r>
    </w:p>
  </w:endnote>
  <w:endnote w:type="continuationSeparator" w:id="0">
    <w:p w:rsidR="006F2C30" w:rsidRDefault="006F2C3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401F1" w:rsidRDefault="000E4FF0" w:rsidP="00B21D4E">
    <w:pPr>
      <w:pStyle w:val="Footer"/>
      <w:tabs>
        <w:tab w:val="clear" w:pos="5812"/>
        <w:tab w:val="right" w:pos="5670"/>
      </w:tabs>
      <w:rPr>
        <w:lang w:val="fr-CH"/>
      </w:rPr>
    </w:pPr>
    <w:r>
      <w:fldChar w:fldCharType="begin"/>
    </w:r>
    <w:r w:rsidRPr="004401F1">
      <w:rPr>
        <w:lang w:val="fr-CH"/>
      </w:rPr>
      <w:instrText xml:space="preserve"> FILENAME \p \* MERGEFORMAT </w:instrText>
    </w:r>
    <w:r>
      <w:fldChar w:fldCharType="separate"/>
    </w:r>
    <w:r w:rsidR="00BD3DDD">
      <w:rPr>
        <w:noProof/>
        <w:lang w:val="fr-CH"/>
      </w:rPr>
      <w:t>P:\ARA\SG\CONSEIL\C17\000\097A.docx</w:t>
    </w:r>
    <w:r>
      <w:rPr>
        <w:noProof/>
      </w:rPr>
      <w:fldChar w:fldCharType="end"/>
    </w:r>
    <w:r w:rsidR="00B21D4E">
      <w:rPr>
        <w:lang w:val="fr-CH"/>
      </w:rPr>
      <w:t>   </w:t>
    </w:r>
    <w:r w:rsidR="00BD0C50" w:rsidRPr="004401F1">
      <w:rPr>
        <w:lang w:val="fr-CH"/>
      </w:rPr>
      <w:t>(</w:t>
    </w:r>
    <w:r w:rsidR="004401F1">
      <w:rPr>
        <w:lang w:val="fr-CH"/>
      </w:rPr>
      <w:t>417504</w:t>
    </w:r>
    <w:r w:rsidR="00BD0C50" w:rsidRPr="004401F1">
      <w:rPr>
        <w:lang w:val="fr-CH"/>
      </w:rPr>
      <w:t>)</w:t>
    </w:r>
    <w:r w:rsidR="00BD0C50" w:rsidRPr="004401F1">
      <w:rPr>
        <w:lang w:val="fr-CH"/>
      </w:rPr>
      <w:tab/>
    </w:r>
    <w:r w:rsidR="00BD0C50" w:rsidRPr="00665956">
      <w:fldChar w:fldCharType="begin"/>
    </w:r>
    <w:r w:rsidR="00BD0C50" w:rsidRPr="00665956">
      <w:instrText xml:space="preserve"> savedate \@ dd.MM.yy </w:instrText>
    </w:r>
    <w:r w:rsidR="00BD0C50" w:rsidRPr="00665956">
      <w:fldChar w:fldCharType="separate"/>
    </w:r>
    <w:r w:rsidR="00B21D4E">
      <w:rPr>
        <w:noProof/>
      </w:rPr>
      <w:t>12.05.17</w:t>
    </w:r>
    <w:r w:rsidR="00BD0C50" w:rsidRPr="00665956">
      <w:fldChar w:fldCharType="end"/>
    </w:r>
    <w:r w:rsidR="00BD0C50" w:rsidRPr="004401F1">
      <w:rPr>
        <w:lang w:val="fr-CH"/>
      </w:rPr>
      <w:tab/>
    </w:r>
    <w:r w:rsidR="00BD0C50" w:rsidRPr="00665956">
      <w:fldChar w:fldCharType="begin"/>
    </w:r>
    <w:r w:rsidR="00BD0C50" w:rsidRPr="00665956">
      <w:instrText xml:space="preserve"> printdate \@ dd.MM.yy </w:instrText>
    </w:r>
    <w:r w:rsidR="00BD0C50" w:rsidRPr="00665956">
      <w:fldChar w:fldCharType="separate"/>
    </w:r>
    <w:r w:rsidR="00BD3DDD">
      <w:rPr>
        <w:noProof/>
      </w:rPr>
      <w:t>12.05.17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B21D4E">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B21D4E">
      <w:rPr>
        <w:rFonts w:cs="Calibri"/>
        <w:noProof/>
        <w:vanish/>
        <w:lang w:val="fr-FR"/>
      </w:rPr>
      <w:t>P:\ARA\SG\CONSEIL\C17\000\097A.docx</w:t>
    </w:r>
    <w:r w:rsidRPr="00C66157">
      <w:rPr>
        <w:rFonts w:cs="Calibri"/>
        <w:vanish/>
      </w:rPr>
      <w:fldChar w:fldCharType="end"/>
    </w:r>
    <w:r w:rsidR="00B21D4E">
      <w:rPr>
        <w:rFonts w:cs="Calibri"/>
        <w:vanish/>
        <w:lang w:val="fr-CH"/>
      </w:rPr>
      <w:t>   </w:t>
    </w:r>
    <w:r w:rsidRPr="00C66157">
      <w:rPr>
        <w:rFonts w:cs="Calibri"/>
        <w:vanish/>
        <w:lang w:val="fr-FR"/>
      </w:rPr>
      <w:t>(</w:t>
    </w:r>
    <w:r w:rsidR="004401F1">
      <w:rPr>
        <w:rFonts w:cs="Calibri"/>
        <w:vanish/>
        <w:lang w:val="fr-FR"/>
      </w:rPr>
      <w:t>417504</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B21D4E">
      <w:rPr>
        <w:rFonts w:cs="Calibri"/>
        <w:noProof/>
        <w:vanish/>
        <w:lang w:val="fr-FR"/>
      </w:rPr>
      <w:t>12.05.17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B21D4E">
      <w:rPr>
        <w:rFonts w:cs="Calibri"/>
        <w:noProof/>
        <w:vanish/>
        <w:lang w:val="fr-FR"/>
      </w:rPr>
      <w:t>12.05.17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30" w:rsidRDefault="006F2C30" w:rsidP="00E07379">
      <w:pPr>
        <w:spacing w:before="0" w:line="240" w:lineRule="auto"/>
      </w:pPr>
      <w:r>
        <w:separator/>
      </w:r>
    </w:p>
  </w:footnote>
  <w:footnote w:type="continuationSeparator" w:id="0">
    <w:p w:rsidR="006F2C30" w:rsidRDefault="006F2C3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AF1B6D" w:rsidP="00B21D4E">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4401F1">
          <w:rPr>
            <w:rFonts w:eastAsiaTheme="minorEastAsia" w:cs="Calibri"/>
            <w:noProof/>
            <w:sz w:val="20"/>
            <w:szCs w:val="20"/>
            <w:lang w:eastAsia="zh-CN"/>
          </w:rPr>
          <w:t>97</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30"/>
    <w:rsid w:val="000026D1"/>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81108"/>
    <w:rsid w:val="003C106D"/>
    <w:rsid w:val="003C475F"/>
    <w:rsid w:val="003E4132"/>
    <w:rsid w:val="003F678F"/>
    <w:rsid w:val="0042686F"/>
    <w:rsid w:val="004367CE"/>
    <w:rsid w:val="004401F1"/>
    <w:rsid w:val="00443869"/>
    <w:rsid w:val="00444946"/>
    <w:rsid w:val="004712C6"/>
    <w:rsid w:val="00497703"/>
    <w:rsid w:val="004F0F06"/>
    <w:rsid w:val="004F1608"/>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65447"/>
    <w:rsid w:val="00670AF5"/>
    <w:rsid w:val="006C1556"/>
    <w:rsid w:val="006F0899"/>
    <w:rsid w:val="006F267F"/>
    <w:rsid w:val="006F2C30"/>
    <w:rsid w:val="006F63F7"/>
    <w:rsid w:val="006F6F03"/>
    <w:rsid w:val="00701CD7"/>
    <w:rsid w:val="00706D7A"/>
    <w:rsid w:val="00726AEC"/>
    <w:rsid w:val="00752477"/>
    <w:rsid w:val="007530CA"/>
    <w:rsid w:val="0079553D"/>
    <w:rsid w:val="007B01CC"/>
    <w:rsid w:val="007D4F32"/>
    <w:rsid w:val="007E7C6C"/>
    <w:rsid w:val="007F6238"/>
    <w:rsid w:val="007F646C"/>
    <w:rsid w:val="00801FCD"/>
    <w:rsid w:val="00803D7E"/>
    <w:rsid w:val="00803F08"/>
    <w:rsid w:val="00810DA2"/>
    <w:rsid w:val="008235CD"/>
    <w:rsid w:val="00823A07"/>
    <w:rsid w:val="00835FEC"/>
    <w:rsid w:val="008513CB"/>
    <w:rsid w:val="00874D9C"/>
    <w:rsid w:val="008A1810"/>
    <w:rsid w:val="008B5B5D"/>
    <w:rsid w:val="00917694"/>
    <w:rsid w:val="009263CD"/>
    <w:rsid w:val="00930E6D"/>
    <w:rsid w:val="0097034E"/>
    <w:rsid w:val="00972CA2"/>
    <w:rsid w:val="00982B28"/>
    <w:rsid w:val="00984EA5"/>
    <w:rsid w:val="00992593"/>
    <w:rsid w:val="009B4331"/>
    <w:rsid w:val="009C17E1"/>
    <w:rsid w:val="009C35ED"/>
    <w:rsid w:val="009F1C12"/>
    <w:rsid w:val="00A0030D"/>
    <w:rsid w:val="00A124CB"/>
    <w:rsid w:val="00A2167A"/>
    <w:rsid w:val="00A25A43"/>
    <w:rsid w:val="00A3295B"/>
    <w:rsid w:val="00A42AE5"/>
    <w:rsid w:val="00A52B61"/>
    <w:rsid w:val="00A64820"/>
    <w:rsid w:val="00A71DD6"/>
    <w:rsid w:val="00A723C7"/>
    <w:rsid w:val="00A80E11"/>
    <w:rsid w:val="00A97F94"/>
    <w:rsid w:val="00AA1E69"/>
    <w:rsid w:val="00AB1309"/>
    <w:rsid w:val="00AC2C52"/>
    <w:rsid w:val="00AD1503"/>
    <w:rsid w:val="00AE7244"/>
    <w:rsid w:val="00AF1B6D"/>
    <w:rsid w:val="00AF3FEE"/>
    <w:rsid w:val="00B02F46"/>
    <w:rsid w:val="00B2000C"/>
    <w:rsid w:val="00B20ADE"/>
    <w:rsid w:val="00B21D4E"/>
    <w:rsid w:val="00B23C4B"/>
    <w:rsid w:val="00B66B9A"/>
    <w:rsid w:val="00B82089"/>
    <w:rsid w:val="00B970AE"/>
    <w:rsid w:val="00BA1427"/>
    <w:rsid w:val="00BD0C50"/>
    <w:rsid w:val="00BD3DDD"/>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7FB575C-1926-443E-BF44-1862E23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72/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8E8C7-689D-4855-BC5E-F8BE7FED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66</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16</cp:revision>
  <cp:lastPrinted>2017-05-12T07:33:00Z</cp:lastPrinted>
  <dcterms:created xsi:type="dcterms:W3CDTF">2017-05-12T07:20:00Z</dcterms:created>
  <dcterms:modified xsi:type="dcterms:W3CDTF">2017-05-15T08:02:00Z</dcterms:modified>
  <cp:category>Conference document</cp:category>
</cp:coreProperties>
</file>