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51678">
        <w:trPr>
          <w:cantSplit/>
        </w:trPr>
        <w:tc>
          <w:tcPr>
            <w:tcW w:w="6912" w:type="dxa"/>
          </w:tcPr>
          <w:p w:rsidR="00520F36" w:rsidRPr="00651678" w:rsidRDefault="00520F36" w:rsidP="002931E9">
            <w:pPr>
              <w:spacing w:before="360"/>
            </w:pPr>
            <w:bookmarkStart w:id="0" w:name="dc06"/>
            <w:bookmarkStart w:id="1" w:name="_GoBack"/>
            <w:bookmarkEnd w:id="0"/>
            <w:bookmarkEnd w:id="1"/>
            <w:r w:rsidRPr="00651678">
              <w:rPr>
                <w:b/>
                <w:bCs/>
                <w:sz w:val="30"/>
                <w:szCs w:val="30"/>
              </w:rPr>
              <w:t>Conseil 2017</w:t>
            </w:r>
            <w:r w:rsidRPr="00651678">
              <w:rPr>
                <w:rFonts w:ascii="Verdana" w:hAnsi="Verdana"/>
                <w:b/>
                <w:bCs/>
                <w:sz w:val="26"/>
                <w:szCs w:val="26"/>
              </w:rPr>
              <w:br/>
            </w:r>
            <w:r w:rsidRPr="00651678">
              <w:rPr>
                <w:b/>
                <w:bCs/>
                <w:szCs w:val="24"/>
              </w:rPr>
              <w:t>Genève, 15-25 mai 2017</w:t>
            </w:r>
          </w:p>
        </w:tc>
        <w:tc>
          <w:tcPr>
            <w:tcW w:w="3261" w:type="dxa"/>
          </w:tcPr>
          <w:p w:rsidR="00520F36" w:rsidRPr="00651678" w:rsidRDefault="00520F36" w:rsidP="002931E9">
            <w:pPr>
              <w:spacing w:before="0"/>
              <w:jc w:val="right"/>
            </w:pPr>
            <w:bookmarkStart w:id="2" w:name="ditulogo"/>
            <w:bookmarkEnd w:id="2"/>
            <w:r w:rsidRPr="00651678">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51678" w:rsidTr="00EF41DD">
        <w:trPr>
          <w:cantSplit/>
          <w:trHeight w:val="20"/>
        </w:trPr>
        <w:tc>
          <w:tcPr>
            <w:tcW w:w="6912" w:type="dxa"/>
            <w:tcBorders>
              <w:bottom w:val="single" w:sz="12" w:space="0" w:color="auto"/>
            </w:tcBorders>
            <w:vAlign w:val="center"/>
          </w:tcPr>
          <w:p w:rsidR="00520F36" w:rsidRPr="00651678" w:rsidRDefault="00520F36" w:rsidP="002931E9">
            <w:pPr>
              <w:spacing w:before="0"/>
              <w:rPr>
                <w:b/>
                <w:bCs/>
                <w:sz w:val="26"/>
                <w:szCs w:val="26"/>
              </w:rPr>
            </w:pPr>
          </w:p>
        </w:tc>
        <w:tc>
          <w:tcPr>
            <w:tcW w:w="3261" w:type="dxa"/>
            <w:tcBorders>
              <w:bottom w:val="single" w:sz="12" w:space="0" w:color="auto"/>
            </w:tcBorders>
          </w:tcPr>
          <w:p w:rsidR="00520F36" w:rsidRPr="00651678" w:rsidRDefault="00520F36" w:rsidP="002931E9">
            <w:pPr>
              <w:spacing w:before="0"/>
              <w:rPr>
                <w:b/>
                <w:bCs/>
              </w:rPr>
            </w:pPr>
          </w:p>
        </w:tc>
      </w:tr>
      <w:tr w:rsidR="00520F36" w:rsidRPr="00651678">
        <w:trPr>
          <w:cantSplit/>
          <w:trHeight w:val="20"/>
        </w:trPr>
        <w:tc>
          <w:tcPr>
            <w:tcW w:w="6912" w:type="dxa"/>
            <w:tcBorders>
              <w:top w:val="single" w:sz="12" w:space="0" w:color="auto"/>
            </w:tcBorders>
          </w:tcPr>
          <w:p w:rsidR="00520F36" w:rsidRPr="00651678" w:rsidRDefault="00520F36" w:rsidP="002931E9">
            <w:pPr>
              <w:spacing w:before="0"/>
              <w:rPr>
                <w:smallCaps/>
                <w:sz w:val="22"/>
              </w:rPr>
            </w:pPr>
          </w:p>
        </w:tc>
        <w:tc>
          <w:tcPr>
            <w:tcW w:w="3261" w:type="dxa"/>
            <w:tcBorders>
              <w:top w:val="single" w:sz="12" w:space="0" w:color="auto"/>
            </w:tcBorders>
          </w:tcPr>
          <w:p w:rsidR="00520F36" w:rsidRPr="00651678" w:rsidRDefault="00520F36" w:rsidP="002931E9">
            <w:pPr>
              <w:spacing w:before="0"/>
              <w:rPr>
                <w:b/>
                <w:bCs/>
              </w:rPr>
            </w:pPr>
          </w:p>
        </w:tc>
      </w:tr>
      <w:tr w:rsidR="00520F36" w:rsidRPr="00651678">
        <w:trPr>
          <w:cantSplit/>
          <w:trHeight w:val="20"/>
        </w:trPr>
        <w:tc>
          <w:tcPr>
            <w:tcW w:w="6912" w:type="dxa"/>
            <w:vMerge w:val="restart"/>
          </w:tcPr>
          <w:p w:rsidR="00520F36" w:rsidRPr="00651678" w:rsidRDefault="00651678" w:rsidP="002931E9">
            <w:pPr>
              <w:spacing w:before="0"/>
              <w:rPr>
                <w:rFonts w:cs="Times"/>
                <w:b/>
                <w:bCs/>
                <w:szCs w:val="24"/>
              </w:rPr>
            </w:pPr>
            <w:bookmarkStart w:id="3" w:name="dnum" w:colFirst="1" w:colLast="1"/>
            <w:bookmarkStart w:id="4" w:name="dmeeting" w:colFirst="0" w:colLast="0"/>
            <w:r>
              <w:rPr>
                <w:rFonts w:cs="Times"/>
                <w:b/>
                <w:bCs/>
                <w:szCs w:val="24"/>
              </w:rPr>
              <w:t>Point de l'ordre du jour</w:t>
            </w:r>
            <w:r w:rsidR="005C14F8" w:rsidRPr="00651678">
              <w:rPr>
                <w:rFonts w:cs="Times"/>
                <w:b/>
                <w:bCs/>
                <w:szCs w:val="24"/>
              </w:rPr>
              <w:t>: PL 1.9</w:t>
            </w:r>
          </w:p>
        </w:tc>
        <w:tc>
          <w:tcPr>
            <w:tcW w:w="3261" w:type="dxa"/>
          </w:tcPr>
          <w:p w:rsidR="00520F36" w:rsidRPr="00651678" w:rsidRDefault="00520F36" w:rsidP="002931E9">
            <w:pPr>
              <w:spacing w:before="0"/>
              <w:rPr>
                <w:b/>
                <w:bCs/>
              </w:rPr>
            </w:pPr>
            <w:r w:rsidRPr="00651678">
              <w:rPr>
                <w:b/>
                <w:bCs/>
              </w:rPr>
              <w:t>Document C17/</w:t>
            </w:r>
            <w:r w:rsidR="005C14F8" w:rsidRPr="00651678">
              <w:rPr>
                <w:b/>
                <w:bCs/>
              </w:rPr>
              <w:t>95</w:t>
            </w:r>
            <w:r w:rsidRPr="00651678">
              <w:rPr>
                <w:b/>
                <w:bCs/>
              </w:rPr>
              <w:t>-F</w:t>
            </w:r>
          </w:p>
        </w:tc>
      </w:tr>
      <w:tr w:rsidR="00520F36" w:rsidRPr="00651678">
        <w:trPr>
          <w:cantSplit/>
          <w:trHeight w:val="20"/>
        </w:trPr>
        <w:tc>
          <w:tcPr>
            <w:tcW w:w="6912" w:type="dxa"/>
            <w:vMerge/>
          </w:tcPr>
          <w:p w:rsidR="00520F36" w:rsidRPr="00651678" w:rsidRDefault="00520F36" w:rsidP="002931E9">
            <w:pPr>
              <w:shd w:val="solid" w:color="FFFFFF" w:fill="FFFFFF"/>
              <w:spacing w:before="180"/>
              <w:rPr>
                <w:smallCaps/>
              </w:rPr>
            </w:pPr>
            <w:bookmarkStart w:id="5" w:name="ddate" w:colFirst="1" w:colLast="1"/>
            <w:bookmarkEnd w:id="3"/>
            <w:bookmarkEnd w:id="4"/>
          </w:p>
        </w:tc>
        <w:tc>
          <w:tcPr>
            <w:tcW w:w="3261" w:type="dxa"/>
          </w:tcPr>
          <w:p w:rsidR="00520F36" w:rsidRPr="00651678" w:rsidRDefault="005C14F8" w:rsidP="002931E9">
            <w:pPr>
              <w:spacing w:before="0"/>
              <w:rPr>
                <w:b/>
                <w:bCs/>
              </w:rPr>
            </w:pPr>
            <w:r w:rsidRPr="00651678">
              <w:rPr>
                <w:b/>
                <w:bCs/>
              </w:rPr>
              <w:t>1er mai</w:t>
            </w:r>
            <w:r w:rsidR="00520F36" w:rsidRPr="00651678">
              <w:rPr>
                <w:b/>
                <w:bCs/>
              </w:rPr>
              <w:t xml:space="preserve"> 2017</w:t>
            </w:r>
          </w:p>
        </w:tc>
      </w:tr>
      <w:tr w:rsidR="00520F36" w:rsidRPr="00651678">
        <w:trPr>
          <w:cantSplit/>
          <w:trHeight w:val="20"/>
        </w:trPr>
        <w:tc>
          <w:tcPr>
            <w:tcW w:w="6912" w:type="dxa"/>
            <w:vMerge/>
          </w:tcPr>
          <w:p w:rsidR="00520F36" w:rsidRPr="00651678" w:rsidRDefault="00520F36" w:rsidP="002931E9">
            <w:pPr>
              <w:shd w:val="solid" w:color="FFFFFF" w:fill="FFFFFF"/>
              <w:spacing w:before="180"/>
              <w:rPr>
                <w:smallCaps/>
              </w:rPr>
            </w:pPr>
            <w:bookmarkStart w:id="6" w:name="dorlang" w:colFirst="1" w:colLast="1"/>
            <w:bookmarkEnd w:id="5"/>
          </w:p>
        </w:tc>
        <w:tc>
          <w:tcPr>
            <w:tcW w:w="3261" w:type="dxa"/>
          </w:tcPr>
          <w:p w:rsidR="00520F36" w:rsidRPr="00651678" w:rsidRDefault="00520F36" w:rsidP="002931E9">
            <w:pPr>
              <w:spacing w:before="0"/>
              <w:rPr>
                <w:b/>
                <w:bCs/>
              </w:rPr>
            </w:pPr>
            <w:r w:rsidRPr="00651678">
              <w:rPr>
                <w:b/>
                <w:bCs/>
              </w:rPr>
              <w:t>Original: anglais</w:t>
            </w:r>
          </w:p>
        </w:tc>
      </w:tr>
      <w:tr w:rsidR="00520F36" w:rsidRPr="00651678">
        <w:trPr>
          <w:cantSplit/>
        </w:trPr>
        <w:tc>
          <w:tcPr>
            <w:tcW w:w="10173" w:type="dxa"/>
            <w:gridSpan w:val="2"/>
          </w:tcPr>
          <w:p w:rsidR="00520F36" w:rsidRPr="00651678" w:rsidRDefault="005C14F8" w:rsidP="002931E9">
            <w:pPr>
              <w:pStyle w:val="Source"/>
            </w:pPr>
            <w:bookmarkStart w:id="7" w:name="dsource" w:colFirst="0" w:colLast="0"/>
            <w:bookmarkEnd w:id="6"/>
            <w:r w:rsidRPr="00651678">
              <w:t>Note du Secrétaire général</w:t>
            </w:r>
          </w:p>
        </w:tc>
      </w:tr>
      <w:tr w:rsidR="00520F36" w:rsidRPr="00651678">
        <w:trPr>
          <w:cantSplit/>
        </w:trPr>
        <w:tc>
          <w:tcPr>
            <w:tcW w:w="10173" w:type="dxa"/>
            <w:gridSpan w:val="2"/>
          </w:tcPr>
          <w:p w:rsidR="00520F36" w:rsidRPr="00651678" w:rsidRDefault="005C14F8" w:rsidP="00C6071C">
            <w:pPr>
              <w:pStyle w:val="Title1"/>
            </w:pPr>
            <w:bookmarkStart w:id="8" w:name="dtitle1" w:colFirst="0" w:colLast="0"/>
            <w:bookmarkEnd w:id="7"/>
            <w:r w:rsidRPr="00651678">
              <w:t>contribution de la république fédérative du brésil</w:t>
            </w:r>
          </w:p>
        </w:tc>
      </w:tr>
      <w:tr w:rsidR="00C6071C" w:rsidRPr="00651678">
        <w:trPr>
          <w:cantSplit/>
        </w:trPr>
        <w:tc>
          <w:tcPr>
            <w:tcW w:w="10173" w:type="dxa"/>
            <w:gridSpan w:val="2"/>
          </w:tcPr>
          <w:p w:rsidR="00C6071C" w:rsidRPr="00651678" w:rsidRDefault="00C6071C" w:rsidP="002931E9">
            <w:pPr>
              <w:pStyle w:val="Title1"/>
            </w:pPr>
            <w:r w:rsidRPr="00651678">
              <w:t>examen du règlement des télécommunications internationales</w:t>
            </w:r>
          </w:p>
        </w:tc>
      </w:tr>
    </w:tbl>
    <w:p w:rsidR="00C6071C" w:rsidRPr="00651678" w:rsidRDefault="00C6071C" w:rsidP="002931E9">
      <w:bookmarkStart w:id="9" w:name="lt_pId012"/>
      <w:bookmarkEnd w:id="8"/>
    </w:p>
    <w:p w:rsidR="00C6071C" w:rsidRPr="00651678" w:rsidRDefault="00C6071C" w:rsidP="002931E9"/>
    <w:p w:rsidR="005C14F8" w:rsidRPr="00651678" w:rsidRDefault="005C14F8" w:rsidP="002931E9">
      <w:r w:rsidRPr="00651678">
        <w:t xml:space="preserve">J'ai l'honneur de transmettre aux Etats Membres du Conseil une contribution soumise par </w:t>
      </w:r>
      <w:bookmarkEnd w:id="9"/>
      <w:r w:rsidRPr="00651678">
        <w:t xml:space="preserve">la </w:t>
      </w:r>
      <w:r w:rsidRPr="00651678">
        <w:rPr>
          <w:b/>
          <w:bCs/>
        </w:rPr>
        <w:t>République fédérative du Brésil</w:t>
      </w:r>
      <w:r w:rsidRPr="00651678">
        <w:t>.</w:t>
      </w:r>
    </w:p>
    <w:p w:rsidR="005C14F8" w:rsidRPr="00651678" w:rsidRDefault="005C14F8" w:rsidP="002931E9"/>
    <w:p w:rsidR="00C6071C" w:rsidRPr="00651678" w:rsidRDefault="00C6071C" w:rsidP="002931E9"/>
    <w:p w:rsidR="00C6071C" w:rsidRPr="00651678" w:rsidRDefault="00C6071C" w:rsidP="00C6071C">
      <w:pPr>
        <w:tabs>
          <w:tab w:val="clear" w:pos="2268"/>
          <w:tab w:val="clear" w:pos="2835"/>
          <w:tab w:val="center" w:pos="7088"/>
        </w:tabs>
      </w:pPr>
      <w:r w:rsidRPr="00651678">
        <w:tab/>
      </w:r>
      <w:r w:rsidRPr="00651678">
        <w:tab/>
      </w:r>
      <w:r w:rsidRPr="00651678">
        <w:tab/>
      </w:r>
      <w:r w:rsidRPr="00651678">
        <w:tab/>
        <w:t>Houlin ZHAO</w:t>
      </w:r>
      <w:r w:rsidRPr="00651678">
        <w:br/>
      </w:r>
      <w:r w:rsidRPr="00651678">
        <w:tab/>
      </w:r>
      <w:r w:rsidRPr="00651678">
        <w:tab/>
      </w:r>
      <w:r w:rsidRPr="00651678">
        <w:tab/>
      </w:r>
      <w:r w:rsidRPr="00651678">
        <w:tab/>
        <w:t>Secrétaire général</w:t>
      </w:r>
    </w:p>
    <w:p w:rsidR="005C14F8" w:rsidRPr="00651678" w:rsidRDefault="005C14F8" w:rsidP="002931E9"/>
    <w:p w:rsidR="005C14F8" w:rsidRPr="00651678" w:rsidRDefault="005C14F8" w:rsidP="002931E9"/>
    <w:p w:rsidR="005C14F8" w:rsidRPr="00651678" w:rsidRDefault="005C14F8" w:rsidP="002931E9">
      <w:pPr>
        <w:tabs>
          <w:tab w:val="clear" w:pos="567"/>
          <w:tab w:val="clear" w:pos="1134"/>
          <w:tab w:val="clear" w:pos="1701"/>
          <w:tab w:val="clear" w:pos="2268"/>
          <w:tab w:val="clear" w:pos="2835"/>
        </w:tabs>
        <w:overflowPunct/>
        <w:autoSpaceDE/>
        <w:autoSpaceDN/>
        <w:adjustRightInd/>
        <w:spacing w:before="0"/>
        <w:textAlignment w:val="auto"/>
      </w:pPr>
      <w:r w:rsidRPr="00651678">
        <w:br w:type="page"/>
      </w:r>
    </w:p>
    <w:p w:rsidR="005C14F8" w:rsidRPr="00651678" w:rsidRDefault="005C14F8" w:rsidP="00B10108">
      <w:pPr>
        <w:pStyle w:val="Source"/>
      </w:pPr>
      <w:r w:rsidRPr="00651678">
        <w:lastRenderedPageBreak/>
        <w:t>Brésil (République fédérative du)</w:t>
      </w:r>
    </w:p>
    <w:p w:rsidR="005C14F8" w:rsidRPr="00651678" w:rsidRDefault="005C14F8" w:rsidP="00B10108">
      <w:pPr>
        <w:pStyle w:val="Title1"/>
      </w:pPr>
      <w:r w:rsidRPr="00651678">
        <w:t>examen du règlement des télécommunications internationales</w:t>
      </w:r>
    </w:p>
    <w:p w:rsidR="005C14F8" w:rsidRPr="00651678" w:rsidRDefault="005C14F8" w:rsidP="00B10108">
      <w:pPr>
        <w:pStyle w:val="Headingb"/>
        <w:spacing w:before="360"/>
      </w:pPr>
      <w:r w:rsidRPr="00651678">
        <w:t>Introduction</w:t>
      </w:r>
    </w:p>
    <w:p w:rsidR="005C14F8" w:rsidRPr="00651678" w:rsidRDefault="005C14F8" w:rsidP="00547AFB">
      <w:r w:rsidRPr="00651678">
        <w:t xml:space="preserve">Le Brésil a été un acteur actif de la Conférence mondiale des télécommunications internationales </w:t>
      </w:r>
      <w:r w:rsidR="00547AFB" w:rsidRPr="00651678">
        <w:t xml:space="preserve">de 2012 </w:t>
      </w:r>
      <w:r w:rsidRPr="00651678">
        <w:t>(CMTI-12). Nous avons participé à toutes les réunions du GTC chargé de sa préparation et sou</w:t>
      </w:r>
      <w:r w:rsidR="00547AFB" w:rsidRPr="00651678">
        <w:t>mis de nombreuses contributions.</w:t>
      </w:r>
      <w:r w:rsidRPr="00651678">
        <w:t xml:space="preserve"> </w:t>
      </w:r>
      <w:r w:rsidR="00547AFB" w:rsidRPr="00651678">
        <w:t>N</w:t>
      </w:r>
      <w:r w:rsidRPr="00651678">
        <w:t>ous avons présenté 77 propositions à la CMTI-12 et étions cosignataires de 17 propositions présentées par la CITEL. Notre délégation à la Conférence comptait 40 délégués</w:t>
      </w:r>
      <w:r w:rsidR="00547AFB" w:rsidRPr="00651678">
        <w:t>,</w:t>
      </w:r>
      <w:r w:rsidRPr="00651678">
        <w:t xml:space="preserve"> qui ont participé ac</w:t>
      </w:r>
      <w:r w:rsidR="00547AFB" w:rsidRPr="00651678">
        <w:t>tivement à toutes les séances. A</w:t>
      </w:r>
      <w:r w:rsidRPr="00651678">
        <w:t xml:space="preserve"> l'issue de la Conférence, nous avons signé les Actes finals de la CMTI-12 sans formuler aucune réserve. Le Brésil observe et respecte strictement le Règlement des télécommunications internationales (RTI) dans ses versions de 1988 et 2012.</w:t>
      </w:r>
    </w:p>
    <w:p w:rsidR="005C14F8" w:rsidRPr="00651678" w:rsidRDefault="005C14F8" w:rsidP="002931E9">
      <w:r w:rsidRPr="00651678">
        <w:t>On trouvera dans le présent document la position du Brésil concernant le processus d'examen du RTI. Le Brésil croit comprendre que les principales questio</w:t>
      </w:r>
      <w:r w:rsidR="00547AFB" w:rsidRPr="00651678">
        <w:t>ns à l'étude sont les suivantes</w:t>
      </w:r>
      <w:r w:rsidRPr="00651678">
        <w:t>:</w:t>
      </w:r>
    </w:p>
    <w:p w:rsidR="005C14F8" w:rsidRPr="00651678" w:rsidRDefault="00547AFB" w:rsidP="00547AFB">
      <w:pPr>
        <w:pStyle w:val="enumlev1"/>
      </w:pPr>
      <w:r w:rsidRPr="00651678">
        <w:t>•</w:t>
      </w:r>
      <w:r w:rsidRPr="00651678">
        <w:tab/>
      </w:r>
      <w:r w:rsidR="005C14F8" w:rsidRPr="00651678">
        <w:t>l'applicabilité du</w:t>
      </w:r>
      <w:r w:rsidRPr="00651678">
        <w:t xml:space="preserve"> RTI, y compris les questions de son</w:t>
      </w:r>
      <w:r w:rsidR="005C14F8" w:rsidRPr="00651678">
        <w:t xml:space="preserve"> champ d'applicati</w:t>
      </w:r>
      <w:r w:rsidRPr="00651678">
        <w:t>on et du rythme de l'innovation</w:t>
      </w:r>
      <w:r w:rsidR="005C14F8" w:rsidRPr="00651678">
        <w:t>;</w:t>
      </w:r>
    </w:p>
    <w:p w:rsidR="005C14F8" w:rsidRPr="00651678" w:rsidRDefault="00547AFB" w:rsidP="00547AFB">
      <w:pPr>
        <w:pStyle w:val="enumlev1"/>
      </w:pPr>
      <w:r w:rsidRPr="00651678">
        <w:t>•</w:t>
      </w:r>
      <w:r w:rsidRPr="00651678">
        <w:tab/>
      </w:r>
      <w:r w:rsidR="005C14F8" w:rsidRPr="00651678">
        <w:t>la nécessité de procéde</w:t>
      </w:r>
      <w:r w:rsidRPr="00651678">
        <w:t>r à un examen périodique du RTI</w:t>
      </w:r>
      <w:r w:rsidR="005C14F8" w:rsidRPr="00651678">
        <w:t>;</w:t>
      </w:r>
    </w:p>
    <w:p w:rsidR="005C14F8" w:rsidRPr="00651678" w:rsidRDefault="00547AFB" w:rsidP="00547AFB">
      <w:pPr>
        <w:pStyle w:val="enumlev1"/>
      </w:pPr>
      <w:r w:rsidRPr="00651678">
        <w:t>•</w:t>
      </w:r>
      <w:r w:rsidRPr="00651678">
        <w:tab/>
      </w:r>
      <w:r w:rsidR="005C14F8" w:rsidRPr="00651678">
        <w:t>le</w:t>
      </w:r>
      <w:r w:rsidRPr="00651678">
        <w:t>s</w:t>
      </w:r>
      <w:r w:rsidR="005C14F8" w:rsidRPr="00651678">
        <w:t xml:space="preserve"> coût</w:t>
      </w:r>
      <w:r w:rsidRPr="00651678">
        <w:t>s</w:t>
      </w:r>
      <w:r w:rsidR="005C14F8" w:rsidRPr="00651678">
        <w:t xml:space="preserve"> </w:t>
      </w:r>
      <w:r w:rsidRPr="00651678">
        <w:t>liés à</w:t>
      </w:r>
      <w:r w:rsidR="005C14F8" w:rsidRPr="00651678">
        <w:t xml:space="preserve"> la tenue d'une nouvelle </w:t>
      </w:r>
      <w:r w:rsidR="004F4FD2" w:rsidRPr="00651678">
        <w:t>C</w:t>
      </w:r>
      <w:r w:rsidR="005C14F8" w:rsidRPr="00651678">
        <w:t>onférence mondiale des télécommun</w:t>
      </w:r>
      <w:r w:rsidRPr="00651678">
        <w:t>ications internationales (CMTI)</w:t>
      </w:r>
      <w:r w:rsidR="005C14F8" w:rsidRPr="00651678">
        <w:t>;</w:t>
      </w:r>
    </w:p>
    <w:p w:rsidR="005C14F8" w:rsidRPr="00651678" w:rsidRDefault="00547AFB" w:rsidP="00547AFB">
      <w:pPr>
        <w:pStyle w:val="enumlev1"/>
      </w:pPr>
      <w:r w:rsidRPr="00651678">
        <w:t>•</w:t>
      </w:r>
      <w:r w:rsidRPr="00651678">
        <w:tab/>
      </w:r>
      <w:r w:rsidR="005C14F8" w:rsidRPr="00651678">
        <w:t>les incidences sur la coopération internationale et la réputation de l'UIT.</w:t>
      </w:r>
    </w:p>
    <w:p w:rsidR="005C14F8" w:rsidRPr="00651678" w:rsidRDefault="00547AFB" w:rsidP="00547AFB">
      <w:pPr>
        <w:pStyle w:val="Headingb"/>
      </w:pPr>
      <w:r w:rsidRPr="00651678">
        <w:t>Applicabilité du RTI</w:t>
      </w:r>
      <w:r w:rsidR="005C14F8" w:rsidRPr="00651678">
        <w:t>:</w:t>
      </w:r>
    </w:p>
    <w:p w:rsidR="005C14F8" w:rsidRPr="00651678" w:rsidRDefault="005C14F8" w:rsidP="00547AFB">
      <w:r w:rsidRPr="00651678">
        <w:t>Deux grands points de vue se dégagent concernant l'applicabilité du RTI:</w:t>
      </w:r>
    </w:p>
    <w:p w:rsidR="005C14F8" w:rsidRPr="00651678" w:rsidRDefault="00547AFB" w:rsidP="00547AFB">
      <w:pPr>
        <w:pStyle w:val="enumlev1"/>
      </w:pPr>
      <w:r w:rsidRPr="00651678">
        <w:t>1)</w:t>
      </w:r>
      <w:r w:rsidRPr="00651678">
        <w:tab/>
      </w:r>
      <w:r w:rsidR="005C14F8" w:rsidRPr="00651678">
        <w:t>"Point de vue 1": le RTI est inutile car la concurrence sur le marché, les politiques réglementaires au niveau national et/ou les accords bilatéraux suffisent pour optimiser la fourniture des télécommu</w:t>
      </w:r>
      <w:r w:rsidRPr="00651678">
        <w:t>nications/TIC au niveau mondial.</w:t>
      </w:r>
    </w:p>
    <w:p w:rsidR="005C14F8" w:rsidRPr="00651678" w:rsidRDefault="00547AFB" w:rsidP="00547AFB">
      <w:pPr>
        <w:pStyle w:val="enumlev1"/>
      </w:pPr>
      <w:r w:rsidRPr="00651678">
        <w:t>2)</w:t>
      </w:r>
      <w:r w:rsidRPr="00651678">
        <w:tab/>
      </w:r>
      <w:r w:rsidR="005C14F8" w:rsidRPr="00651678">
        <w:t>"Point de vue 2": le RTI est nécessaire car il établit des principes communs qui optimisent la fourniture des télécommunications/TIC au niveau mondial.</w:t>
      </w:r>
    </w:p>
    <w:p w:rsidR="005C14F8" w:rsidRPr="00651678" w:rsidRDefault="005C14F8" w:rsidP="00547AFB">
      <w:r w:rsidRPr="00651678">
        <w:t xml:space="preserve">Ces deux points de </w:t>
      </w:r>
      <w:r w:rsidR="00547AFB" w:rsidRPr="00651678">
        <w:t>vue sont radicalement opposés. E</w:t>
      </w:r>
      <w:r w:rsidRPr="00651678">
        <w:t xml:space="preserve">tant donné que l'adhésion au RTI est facultative, si les positions concernant l'applicabilité </w:t>
      </w:r>
      <w:r w:rsidR="00547AFB" w:rsidRPr="00651678">
        <w:t>de ce traité</w:t>
      </w:r>
      <w:r w:rsidRPr="00651678">
        <w:t xml:space="preserve"> continue</w:t>
      </w:r>
      <w:r w:rsidR="00547AFB" w:rsidRPr="00651678">
        <w:t>nt</w:t>
      </w:r>
      <w:r w:rsidRPr="00651678">
        <w:t xml:space="preserve"> d'être opposée</w:t>
      </w:r>
      <w:r w:rsidR="00547AFB" w:rsidRPr="00651678">
        <w:t>s</w:t>
      </w:r>
      <w:r w:rsidRPr="00651678">
        <w:t xml:space="preserve">, une nouvelle CMTI produirait les mêmes résultats que la CMTI-12, à savoir l'absence de consensus et </w:t>
      </w:r>
      <w:r w:rsidR="00547AFB" w:rsidRPr="00651678">
        <w:t>une division au sein des Etats Membres. Certains E</w:t>
      </w:r>
      <w:r w:rsidRPr="00651678">
        <w:t>tats Membres partageant le point de vue 1 pourrai</w:t>
      </w:r>
      <w:r w:rsidR="00DC5D1B" w:rsidRPr="00651678">
        <w:t>en</w:t>
      </w:r>
      <w:r w:rsidRPr="00651678">
        <w:t>t même ne pas assister à une nouvelle CMTI.</w:t>
      </w:r>
    </w:p>
    <w:p w:rsidR="005C14F8" w:rsidRPr="00651678" w:rsidRDefault="005C14F8" w:rsidP="00DC5D1B">
      <w:r w:rsidRPr="00651678">
        <w:t xml:space="preserve">Même au sein des pays signataires, il n'existe </w:t>
      </w:r>
      <w:r w:rsidR="00DC5D1B" w:rsidRPr="00651678">
        <w:t>pas d'</w:t>
      </w:r>
      <w:r w:rsidRPr="00651678">
        <w:t xml:space="preserve">instance supérieure chargée de superviser et de faire </w:t>
      </w:r>
      <w:r w:rsidR="00DC5D1B" w:rsidRPr="00651678">
        <w:t xml:space="preserve">appliquer </w:t>
      </w:r>
      <w:r w:rsidRPr="00651678">
        <w:t xml:space="preserve">le RTI. Par conséquent, l'efficacité et l'applicabilité du RTI </w:t>
      </w:r>
      <w:r w:rsidR="00DC5D1B" w:rsidRPr="00651678">
        <w:t>reposent</w:t>
      </w:r>
      <w:r w:rsidRPr="00651678">
        <w:t xml:space="preserve"> avant tout</w:t>
      </w:r>
      <w:r w:rsidR="00DC5D1B" w:rsidRPr="00651678">
        <w:t xml:space="preserve"> sur </w:t>
      </w:r>
      <w:r w:rsidRPr="00651678">
        <w:t>un engagement actif et délibéré en v</w:t>
      </w:r>
      <w:r w:rsidR="00DC5D1B" w:rsidRPr="00651678">
        <w:t>ue de collaborer pour résoudre l</w:t>
      </w:r>
      <w:r w:rsidRPr="00651678">
        <w:t>es problèmes communs concernant la fourniture des télécommunications/TIC</w:t>
      </w:r>
      <w:r w:rsidR="00DC5D1B" w:rsidRPr="00651678">
        <w:t xml:space="preserve"> au niveau mondial</w:t>
      </w:r>
      <w:r w:rsidRPr="00651678">
        <w:t>.</w:t>
      </w:r>
    </w:p>
    <w:p w:rsidR="005C14F8" w:rsidRPr="00651678" w:rsidRDefault="00BD18A4" w:rsidP="00BD18A4">
      <w:r w:rsidRPr="00651678">
        <w:t>Avant de décider de réviser le RTI e</w:t>
      </w:r>
      <w:r w:rsidR="005C14F8" w:rsidRPr="00651678">
        <w:t>t de tenir une nouvelle CMTI</w:t>
      </w:r>
      <w:r w:rsidRPr="00651678">
        <w:t>,</w:t>
      </w:r>
      <w:r w:rsidR="005C14F8" w:rsidRPr="00651678">
        <w:t xml:space="preserve"> </w:t>
      </w:r>
      <w:r w:rsidRPr="00651678">
        <w:t xml:space="preserve">il faudra parvenir à </w:t>
      </w:r>
      <w:r w:rsidR="005C14F8" w:rsidRPr="00651678">
        <w:t xml:space="preserve">un consensus rassemblant une large majorité ou la totalité des acteurs sur le fait que le RTI est important pour les télécommunications/TIC transfrontières. En d'autres termes, </w:t>
      </w:r>
      <w:r w:rsidRPr="00651678">
        <w:t>pour qu'une telle décision soit prise</w:t>
      </w:r>
      <w:r w:rsidR="007B7577">
        <w:t>,</w:t>
      </w:r>
      <w:r w:rsidRPr="00651678">
        <w:t xml:space="preserve"> </w:t>
      </w:r>
      <w:r w:rsidR="005C14F8" w:rsidRPr="00651678">
        <w:t>la quasi-totalité des acteurs devrai</w:t>
      </w:r>
      <w:r w:rsidRPr="00651678">
        <w:t>en</w:t>
      </w:r>
      <w:r w:rsidR="005C14F8" w:rsidRPr="00651678">
        <w:t xml:space="preserve">t partager le </w:t>
      </w:r>
      <w:r w:rsidRPr="00651678">
        <w:t xml:space="preserve">second </w:t>
      </w:r>
      <w:r w:rsidR="005C14F8" w:rsidRPr="00651678">
        <w:t>point de vue.</w:t>
      </w:r>
    </w:p>
    <w:p w:rsidR="005C14F8" w:rsidRPr="00651678" w:rsidRDefault="005C14F8" w:rsidP="004F4FD2">
      <w:r w:rsidRPr="00651678">
        <w:lastRenderedPageBreak/>
        <w:t xml:space="preserve">En ce qui concerne le </w:t>
      </w:r>
      <w:r w:rsidRPr="00651678">
        <w:rPr>
          <w:b/>
          <w:bCs/>
        </w:rPr>
        <w:t>champ d'application du RTI</w:t>
      </w:r>
      <w:r w:rsidRPr="00651678">
        <w:t xml:space="preserve">, chacun des 193 </w:t>
      </w:r>
      <w:r w:rsidR="00FD2D11" w:rsidRPr="00651678">
        <w:t>E</w:t>
      </w:r>
      <w:r w:rsidRPr="00651678">
        <w:t xml:space="preserve">tats Membres de l'UIT rencontre, en matière de réglementation, des problèmes qui lui sont propres, en fonction de sa situation, du niveau de développement technique/économique de son marché national et du niveau d'intervention/réglementation dont il a besoin. Le RTI ne permet pas de résoudre des problèmes qui se rapportent à un domaine limité et </w:t>
      </w:r>
      <w:r w:rsidR="00FD2D11" w:rsidRPr="00651678">
        <w:t xml:space="preserve">ne </w:t>
      </w:r>
      <w:r w:rsidRPr="00651678">
        <w:t>concerne</w:t>
      </w:r>
      <w:r w:rsidR="00FD2D11" w:rsidRPr="00651678">
        <w:t>nt</w:t>
      </w:r>
      <w:r w:rsidRPr="00651678">
        <w:t xml:space="preserve"> </w:t>
      </w:r>
      <w:r w:rsidR="00FD2D11" w:rsidRPr="00651678">
        <w:t>que certains</w:t>
      </w:r>
      <w:r w:rsidRPr="00651678">
        <w:t xml:space="preserve"> pays. Le RTI devrait établir des règles communes pour gérer l'interdépendance entre toutes les nations dans le domaine de la fourniture des télécommunications/TIC et </w:t>
      </w:r>
      <w:r w:rsidR="00FD2D11" w:rsidRPr="00651678">
        <w:t>prévoir l</w:t>
      </w:r>
      <w:r w:rsidRPr="00651678">
        <w:t>es trois engagements ci</w:t>
      </w:r>
      <w:r w:rsidR="00FD2D11" w:rsidRPr="00651678">
        <w:noBreakHyphen/>
      </w:r>
      <w:r w:rsidRPr="00651678">
        <w:t xml:space="preserve">après </w:t>
      </w:r>
      <w:r w:rsidR="00FD2D11" w:rsidRPr="00651678">
        <w:t>pour</w:t>
      </w:r>
      <w:r w:rsidRPr="00651678">
        <w:t xml:space="preserve"> </w:t>
      </w:r>
      <w:r w:rsidR="004F4FD2">
        <w:t xml:space="preserve">les </w:t>
      </w:r>
      <w:r w:rsidRPr="00651678">
        <w:t>signataires</w:t>
      </w:r>
      <w:r w:rsidRPr="00651678">
        <w:rPr>
          <w:rStyle w:val="FootnoteReference"/>
        </w:rPr>
        <w:footnoteReference w:id="1"/>
      </w:r>
      <w:r w:rsidRPr="00651678">
        <w:t>:</w:t>
      </w:r>
    </w:p>
    <w:p w:rsidR="005C14F8" w:rsidRPr="00651678" w:rsidRDefault="00FD2D11" w:rsidP="00F6359E">
      <w:pPr>
        <w:pStyle w:val="enumlev1"/>
      </w:pPr>
      <w:r w:rsidRPr="00651678">
        <w:t>•</w:t>
      </w:r>
      <w:r w:rsidRPr="00651678">
        <w:tab/>
      </w:r>
      <w:r w:rsidR="005C14F8" w:rsidRPr="00651678">
        <w:t xml:space="preserve">renforcer la gestion au niveau national des </w:t>
      </w:r>
      <w:r w:rsidR="00F6359E" w:rsidRPr="00651678">
        <w:t>répercussions</w:t>
      </w:r>
      <w:r w:rsidR="005C14F8" w:rsidRPr="00651678">
        <w:t xml:space="preserve"> transfrontières (par exemple, atteinte aux droits de proprié</w:t>
      </w:r>
      <w:r w:rsidRPr="00651678">
        <w:t>té intellectuelle liée</w:t>
      </w:r>
      <w:r w:rsidR="00F6359E" w:rsidRPr="00651678">
        <w:t>s</w:t>
      </w:r>
      <w:r w:rsidRPr="00651678">
        <w:t xml:space="preserve"> aux TIC)</w:t>
      </w:r>
      <w:r w:rsidR="005C14F8" w:rsidRPr="00651678">
        <w:t>;</w:t>
      </w:r>
    </w:p>
    <w:p w:rsidR="005C14F8" w:rsidRPr="00651678" w:rsidRDefault="00FD2D11" w:rsidP="00FD2D11">
      <w:pPr>
        <w:pStyle w:val="enumlev1"/>
      </w:pPr>
      <w:r w:rsidRPr="00651678">
        <w:t>•</w:t>
      </w:r>
      <w:r w:rsidRPr="00651678">
        <w:tab/>
      </w:r>
      <w:r w:rsidR="005C14F8" w:rsidRPr="00651678">
        <w:t>protég</w:t>
      </w:r>
      <w:r w:rsidRPr="00651678">
        <w:t>er la souveraineté de tous les E</w:t>
      </w:r>
      <w:r w:rsidR="005C14F8" w:rsidRPr="00651678">
        <w:t>tats</w:t>
      </w:r>
      <w:r w:rsidR="00F6359E" w:rsidRPr="00651678">
        <w:t>,</w:t>
      </w:r>
      <w:r w:rsidR="005C14F8" w:rsidRPr="00651678">
        <w:t xml:space="preserve"> quels qu'ils soient</w:t>
      </w:r>
      <w:r w:rsidR="00F6359E" w:rsidRPr="00651678">
        <w:t>,</w:t>
      </w:r>
      <w:r w:rsidR="005C14F8" w:rsidRPr="00651678">
        <w:t xml:space="preserve"> en cas d'attaque (par exemple, </w:t>
      </w:r>
      <w:r w:rsidRPr="00651678">
        <w:t>menace</w:t>
      </w:r>
      <w:r w:rsidR="00F6359E" w:rsidRPr="00651678">
        <w:t>s</w:t>
      </w:r>
      <w:r w:rsidRPr="00651678">
        <w:t xml:space="preserve"> liée</w:t>
      </w:r>
      <w:r w:rsidR="00F6359E" w:rsidRPr="00651678">
        <w:t>s</w:t>
      </w:r>
      <w:r w:rsidRPr="00651678">
        <w:t xml:space="preserve"> à la cybersécurité)</w:t>
      </w:r>
      <w:r w:rsidR="005C14F8" w:rsidRPr="00651678">
        <w:t>;</w:t>
      </w:r>
    </w:p>
    <w:p w:rsidR="005C14F8" w:rsidRPr="00651678" w:rsidRDefault="00FD2D11" w:rsidP="00F6359E">
      <w:pPr>
        <w:pStyle w:val="enumlev1"/>
      </w:pPr>
      <w:r w:rsidRPr="00651678">
        <w:t>•</w:t>
      </w:r>
      <w:r w:rsidRPr="00651678">
        <w:tab/>
      </w:r>
      <w:r w:rsidR="005C14F8" w:rsidRPr="00651678">
        <w:t xml:space="preserve">coopérer </w:t>
      </w:r>
      <w:r w:rsidR="00F6359E" w:rsidRPr="00651678">
        <w:t>afin de</w:t>
      </w:r>
      <w:r w:rsidR="005C14F8" w:rsidRPr="00651678">
        <w:t xml:space="preserve"> limiter les risques </w:t>
      </w:r>
      <w:r w:rsidR="00F6359E" w:rsidRPr="00651678">
        <w:t>po</w:t>
      </w:r>
      <w:r w:rsidR="005C14F8" w:rsidRPr="00651678">
        <w:t xml:space="preserve">ur les systèmes mondiaux (par exemple, </w:t>
      </w:r>
      <w:r w:rsidR="00F6359E" w:rsidRPr="00651678">
        <w:t>défaillance</w:t>
      </w:r>
      <w:r w:rsidR="005C14F8" w:rsidRPr="00651678">
        <w:t xml:space="preserve"> de l'infrastructure de communication).</w:t>
      </w:r>
    </w:p>
    <w:p w:rsidR="005C14F8" w:rsidRPr="00651678" w:rsidRDefault="005C14F8" w:rsidP="00CB7E6D">
      <w:r w:rsidRPr="00651678">
        <w:t>Pour que le</w:t>
      </w:r>
      <w:r w:rsidR="00FD2D11" w:rsidRPr="00651678">
        <w:t xml:space="preserve"> RTI puisse être appliqué, les E</w:t>
      </w:r>
      <w:r w:rsidRPr="00651678">
        <w:t xml:space="preserve">tats Membres devraient </w:t>
      </w:r>
      <w:r w:rsidR="00CB7E6D" w:rsidRPr="00651678">
        <w:t>être désireux de</w:t>
      </w:r>
      <w:r w:rsidRPr="00651678">
        <w:t xml:space="preserve"> s'engager en faveur de ces trois objectifs de coopération internationale.</w:t>
      </w:r>
    </w:p>
    <w:p w:rsidR="005C14F8" w:rsidRPr="00651678" w:rsidRDefault="005C14F8" w:rsidP="00CB7E6D">
      <w:r w:rsidRPr="00651678">
        <w:t xml:space="preserve">En ce qui concerne le </w:t>
      </w:r>
      <w:r w:rsidRPr="00651678">
        <w:rPr>
          <w:b/>
          <w:bCs/>
        </w:rPr>
        <w:t>rythme de l'innovation dans le domaine des télécommunications/TIC</w:t>
      </w:r>
      <w:r w:rsidRPr="00651678">
        <w:t xml:space="preserve">, ces technologies évoluent à une vitesse </w:t>
      </w:r>
      <w:r w:rsidR="00CB7E6D" w:rsidRPr="00651678">
        <w:t>extraordinaire,</w:t>
      </w:r>
      <w:r w:rsidRPr="00651678">
        <w:t xml:space="preserve"> </w:t>
      </w:r>
      <w:r w:rsidR="00CB7E6D" w:rsidRPr="00651678">
        <w:t>ce qui</w:t>
      </w:r>
      <w:r w:rsidRPr="00651678">
        <w:t xml:space="preserve"> se traduit souvent par </w:t>
      </w:r>
      <w:r w:rsidR="00CB7E6D" w:rsidRPr="00651678">
        <w:t xml:space="preserve">l'apparition </w:t>
      </w:r>
      <w:r w:rsidRPr="00651678">
        <w:t>de nouveaux problèmes en matière de réglementation et</w:t>
      </w:r>
      <w:r w:rsidR="00CB7E6D" w:rsidRPr="00651678">
        <w:t>,</w:t>
      </w:r>
      <w:r w:rsidRPr="00651678">
        <w:t xml:space="preserve"> même</w:t>
      </w:r>
      <w:r w:rsidR="00CB7E6D" w:rsidRPr="00651678">
        <w:t>,</w:t>
      </w:r>
      <w:r w:rsidRPr="00651678">
        <w:t xml:space="preserve"> par la création de nouveaux secteurs d'activité. Les règles régissant ce secteur dynamique devrai</w:t>
      </w:r>
      <w:r w:rsidR="00CB7E6D" w:rsidRPr="00651678">
        <w:t>en</w:t>
      </w:r>
      <w:r w:rsidRPr="00651678">
        <w:t>t rester pertinente</w:t>
      </w:r>
      <w:r w:rsidR="00CB7E6D" w:rsidRPr="00651678">
        <w:t>s</w:t>
      </w:r>
      <w:r w:rsidRPr="00651678">
        <w:t xml:space="preserve"> malgré le rythme soutenu de l'innovation, ce qui signifie qu'elle</w:t>
      </w:r>
      <w:r w:rsidR="00CB7E6D" w:rsidRPr="00651678">
        <w:t>s</w:t>
      </w:r>
      <w:r w:rsidRPr="00651678">
        <w:t xml:space="preserve"> devrai</w:t>
      </w:r>
      <w:r w:rsidR="00CB7E6D" w:rsidRPr="00651678">
        <w:t>en</w:t>
      </w:r>
      <w:r w:rsidRPr="00651678">
        <w:t>t s'appliquer à des fonctionnalités qui évoluent peu dans le temps.</w:t>
      </w:r>
    </w:p>
    <w:p w:rsidR="005C14F8" w:rsidRPr="00651678" w:rsidRDefault="005C14F8" w:rsidP="00651678">
      <w:r w:rsidRPr="00651678">
        <w:t xml:space="preserve">La CMTI-12 a eu lieu 24 ans après la Conférence administrative mondiale télégraphique et téléphonique de 1988 (CAMTT-88). Les dirigeants ont </w:t>
      </w:r>
      <w:r w:rsidR="00CB7E6D" w:rsidRPr="00651678">
        <w:t>commencé à demander qu'</w:t>
      </w:r>
      <w:r w:rsidRPr="00651678">
        <w:t xml:space="preserve">une nouvelle conférence </w:t>
      </w:r>
      <w:r w:rsidR="00CB7E6D" w:rsidRPr="00651678">
        <w:t xml:space="preserve">soit organisée </w:t>
      </w:r>
      <w:r w:rsidRPr="00651678">
        <w:t>moins de 10 ans après la CAMTT-88</w:t>
      </w:r>
      <w:r w:rsidR="00CB7E6D" w:rsidRPr="00651678">
        <w:t>,</w:t>
      </w:r>
      <w:r w:rsidRPr="00651678">
        <w:t xml:space="preserve"> cette demande </w:t>
      </w:r>
      <w:r w:rsidR="00CB7E6D" w:rsidRPr="00651678">
        <w:t>dev</w:t>
      </w:r>
      <w:r w:rsidR="00651678">
        <w:t>en</w:t>
      </w:r>
      <w:r w:rsidR="00CB7E6D" w:rsidRPr="00651678">
        <w:t xml:space="preserve">ant </w:t>
      </w:r>
      <w:r w:rsidRPr="00651678">
        <w:t>officielle à la Conférence de plénipotentiaires de 1998 avec l'a</w:t>
      </w:r>
      <w:r w:rsidR="00CB7E6D" w:rsidRPr="00651678">
        <w:t>doption</w:t>
      </w:r>
      <w:r w:rsidRPr="00651678">
        <w:t xml:space="preserve"> de la Résolution 79. Il a ensuite fallu plus de 14 ans pour que la CMTI-12 ait lieu et le nouveau RTI </w:t>
      </w:r>
      <w:r w:rsidR="00CB7E6D" w:rsidRPr="00651678">
        <w:t>n'</w:t>
      </w:r>
      <w:r w:rsidRPr="00651678">
        <w:t>est en</w:t>
      </w:r>
      <w:r w:rsidR="00CB7E6D" w:rsidRPr="00651678">
        <w:t>tré en vigueur qu'en 2015 pour s</w:t>
      </w:r>
      <w:r w:rsidRPr="00651678">
        <w:t>es 89 signataires.</w:t>
      </w:r>
    </w:p>
    <w:p w:rsidR="005C14F8" w:rsidRPr="00651678" w:rsidRDefault="005C14F8" w:rsidP="002C4396">
      <w:r w:rsidRPr="00651678">
        <w:t xml:space="preserve">Pour être efficace, le RTI doit rester d'actualité pendant le long laps de temps s'écoulant entre deux CMTI et/ou régir des </w:t>
      </w:r>
      <w:r w:rsidR="002C4396" w:rsidRPr="00651678">
        <w:t>éléments</w:t>
      </w:r>
      <w:r w:rsidRPr="00651678">
        <w:t xml:space="preserve"> et des principes des télécommunications/TIC qui évoluent peu dans le temps.</w:t>
      </w:r>
    </w:p>
    <w:p w:rsidR="005C14F8" w:rsidRPr="00651678" w:rsidRDefault="005C14F8" w:rsidP="002C4396">
      <w:pPr>
        <w:pStyle w:val="Headingb"/>
      </w:pPr>
      <w:r w:rsidRPr="00651678">
        <w:t>Nécessité de procéder à un examen périodique du RTI</w:t>
      </w:r>
    </w:p>
    <w:p w:rsidR="005C14F8" w:rsidRPr="00651678" w:rsidRDefault="005C14F8" w:rsidP="009C277D">
      <w:r w:rsidRPr="00651678">
        <w:t>Le RTI est l'un des principaux instruments de l'Union et</w:t>
      </w:r>
      <w:r w:rsidR="009C277D" w:rsidRPr="00651678">
        <w:t>,</w:t>
      </w:r>
      <w:r w:rsidRPr="00651678">
        <w:t xml:space="preserve"> </w:t>
      </w:r>
      <w:r w:rsidR="009C277D" w:rsidRPr="00651678">
        <w:t xml:space="preserve">à ce titre, il </w:t>
      </w:r>
      <w:r w:rsidRPr="00651678">
        <w:t xml:space="preserve">devrait </w:t>
      </w:r>
      <w:r w:rsidR="009C277D" w:rsidRPr="00651678">
        <w:t>être e</w:t>
      </w:r>
      <w:r w:rsidRPr="00651678">
        <w:t xml:space="preserve">xaminé fréquemment par les parties concernées et l'UIT. Cet examen devrait porter sur l'applicabilité du RTI à court, moyen et long </w:t>
      </w:r>
      <w:r w:rsidR="00651678">
        <w:t>terme, compte tenu des critères</w:t>
      </w:r>
      <w:r w:rsidRPr="00651678">
        <w:t xml:space="preserve"> susmentionné</w:t>
      </w:r>
      <w:r w:rsidR="009C277D" w:rsidRPr="00651678">
        <w:t>s concernant son applicabilité</w:t>
      </w:r>
      <w:r w:rsidRPr="00651678">
        <w:t>.</w:t>
      </w:r>
    </w:p>
    <w:p w:rsidR="005C14F8" w:rsidRPr="00651678" w:rsidRDefault="009C277D" w:rsidP="009C277D">
      <w:r w:rsidRPr="00651678">
        <w:t>Néanmoins, c</w:t>
      </w:r>
      <w:r w:rsidR="005C14F8" w:rsidRPr="00651678">
        <w:t xml:space="preserve">e processus ne devrait pas se traduire par la création de groupes formels relevant du Conseil de l'UIT ou de l'UIT-T, avec les coûts financiers et les coûts d'opportunité qui </w:t>
      </w:r>
      <w:r w:rsidRPr="00651678">
        <w:t>en découleraient</w:t>
      </w:r>
      <w:r w:rsidR="005C14F8" w:rsidRPr="00651678">
        <w:t xml:space="preserve"> pour toutes les parties concernées. Dans le cadre de leur mandat, le Conseil </w:t>
      </w:r>
      <w:r w:rsidRPr="00651678">
        <w:t xml:space="preserve">et </w:t>
      </w:r>
      <w:r w:rsidR="005C14F8" w:rsidRPr="00651678">
        <w:lastRenderedPageBreak/>
        <w:t>l'UIT</w:t>
      </w:r>
      <w:r w:rsidRPr="00651678">
        <w:noBreakHyphen/>
      </w:r>
      <w:r w:rsidR="005C14F8" w:rsidRPr="00651678">
        <w:t>T ont déjà la possibilité d'examiner régulièrement le RTI. Le Conseil de l'UIT et l'UIT-T pourrai</w:t>
      </w:r>
      <w:r w:rsidRPr="00651678">
        <w:t>en</w:t>
      </w:r>
      <w:r w:rsidR="005C14F8" w:rsidRPr="00651678">
        <w:t xml:space="preserve">t </w:t>
      </w:r>
      <w:r w:rsidRPr="00651678">
        <w:t>se pencher sur</w:t>
      </w:r>
      <w:r w:rsidR="005C14F8" w:rsidRPr="00651678">
        <w:t xml:space="preserve"> la nécessité de procéder à un examen du RTI et de tenir une nouvelle CMTI sur la base de contributions soumises par les Membres, sans qu'il soit nécessaire d'avoir des groupes de travail formels.</w:t>
      </w:r>
    </w:p>
    <w:p w:rsidR="005C14F8" w:rsidRPr="00651678" w:rsidRDefault="005C14F8" w:rsidP="009C277D">
      <w:r w:rsidRPr="00651678">
        <w:t xml:space="preserve">L'UIT (c'est-à-dire le Conseil ou l'UIT-T) pourrait tenir à jour un document évolutif contenant les propositions de révision du RTI. </w:t>
      </w:r>
      <w:r w:rsidR="009C277D" w:rsidRPr="00651678">
        <w:t>Dès lors que</w:t>
      </w:r>
      <w:r w:rsidRPr="00651678">
        <w:t xml:space="preserve"> ce document fera</w:t>
      </w:r>
      <w:r w:rsidR="009C277D" w:rsidRPr="00651678">
        <w:t>it</w:t>
      </w:r>
      <w:r w:rsidRPr="00651678">
        <w:t xml:space="preserve"> l'objet d'un niveau de consensus suffisant et sera suffisamment abouti, le Conseil pourrait examiner la possibilité de réviser officiellement le RTI.</w:t>
      </w:r>
    </w:p>
    <w:p w:rsidR="005C14F8" w:rsidRPr="00651678" w:rsidRDefault="009C277D" w:rsidP="009C277D">
      <w:pPr>
        <w:pStyle w:val="Headingb"/>
      </w:pPr>
      <w:r w:rsidRPr="00651678">
        <w:t>Tenue d'une nouvelle CMTI: rapport coûts-</w:t>
      </w:r>
      <w:r w:rsidR="005C14F8" w:rsidRPr="00651678">
        <w:t>avantages</w:t>
      </w:r>
    </w:p>
    <w:p w:rsidR="005C14F8" w:rsidRPr="00651678" w:rsidRDefault="005C14F8" w:rsidP="00F052DB">
      <w:r w:rsidRPr="00651678">
        <w:t>Le processus de révision du RTI qui a eu lieu en 2</w:t>
      </w:r>
      <w:r w:rsidR="00760E55" w:rsidRPr="00651678">
        <w:t>011/2012 a été à l'origine d'</w:t>
      </w:r>
      <w:r w:rsidRPr="00651678">
        <w:t>important</w:t>
      </w:r>
      <w:r w:rsidR="00760E55" w:rsidRPr="00651678">
        <w:t>s</w:t>
      </w:r>
      <w:r w:rsidRPr="00651678">
        <w:t xml:space="preserve"> désaccord</w:t>
      </w:r>
      <w:r w:rsidR="00760E55" w:rsidRPr="00651678">
        <w:t>s</w:t>
      </w:r>
      <w:r w:rsidRPr="00651678">
        <w:t xml:space="preserve"> entre les parties défendant l'un ou l'autre des deux points de vue décrit</w:t>
      </w:r>
      <w:r w:rsidR="00760E55" w:rsidRPr="00651678">
        <w:t>s</w:t>
      </w:r>
      <w:r w:rsidRPr="00651678">
        <w:t xml:space="preserve"> ci-dessus, d</w:t>
      </w:r>
      <w:r w:rsidR="00760E55" w:rsidRPr="00651678">
        <w:t>ès le</w:t>
      </w:r>
      <w:r w:rsidRPr="00651678">
        <w:t xml:space="preserve"> processus de préparation dans le cadre du Groupe de travail du Conseil </w:t>
      </w:r>
      <w:r w:rsidR="00760E55" w:rsidRPr="00651678">
        <w:t xml:space="preserve">et </w:t>
      </w:r>
      <w:r w:rsidRPr="00651678">
        <w:t>jusqu'à la fin de la CMTI</w:t>
      </w:r>
      <w:r w:rsidR="009C277D" w:rsidRPr="00651678">
        <w:noBreakHyphen/>
      </w:r>
      <w:r w:rsidRPr="00651678">
        <w:t xml:space="preserve">12. </w:t>
      </w:r>
      <w:r w:rsidR="00760E55" w:rsidRPr="00651678">
        <w:t>Seule la</w:t>
      </w:r>
      <w:r w:rsidRPr="00651678">
        <w:t xml:space="preserve"> reformulation plus vague </w:t>
      </w:r>
      <w:r w:rsidR="00760E55" w:rsidRPr="00651678">
        <w:t>du libellé des articles et sous-</w:t>
      </w:r>
      <w:r w:rsidRPr="00651678">
        <w:t>sections les plus importants</w:t>
      </w:r>
      <w:r w:rsidR="00F052DB" w:rsidRPr="00651678">
        <w:t xml:space="preserve"> du traité</w:t>
      </w:r>
      <w:r w:rsidR="00760E55" w:rsidRPr="00651678">
        <w:t xml:space="preserve"> a permis de parvenir à un consensus sur certains points, ce qui s'est traduit par</w:t>
      </w:r>
      <w:r w:rsidRPr="00651678">
        <w:t xml:space="preserve"> l'adoption de dispositions d</w:t>
      </w:r>
      <w:r w:rsidR="00760E55" w:rsidRPr="00651678">
        <w:t>ont</w:t>
      </w:r>
      <w:r w:rsidRPr="00651678">
        <w:t xml:space="preserve"> l'application e</w:t>
      </w:r>
      <w:r w:rsidR="00760E55" w:rsidRPr="00651678">
        <w:t>s</w:t>
      </w:r>
      <w:r w:rsidRPr="00651678">
        <w:t>t pour ainsi dire facultative pour les signataires. Il s'agit là des résultats</w:t>
      </w:r>
      <w:r w:rsidR="00760E55" w:rsidRPr="00651678">
        <w:t>,</w:t>
      </w:r>
      <w:r w:rsidRPr="00651678">
        <w:t xml:space="preserve"> ou avantages</w:t>
      </w:r>
      <w:r w:rsidR="00760E55" w:rsidRPr="00651678">
        <w:t>,</w:t>
      </w:r>
      <w:r w:rsidRPr="00651678">
        <w:t xml:space="preserve"> de la CMTI-12.</w:t>
      </w:r>
    </w:p>
    <w:p w:rsidR="005C14F8" w:rsidRPr="00651678" w:rsidRDefault="005C14F8" w:rsidP="00760E55">
      <w:r w:rsidRPr="00651678">
        <w:t>Plus de 2</w:t>
      </w:r>
      <w:r w:rsidR="004F4FD2">
        <w:t> </w:t>
      </w:r>
      <w:r w:rsidRPr="00651678">
        <w:t>000 délégués ont participé à la CMTI-12 pendant 13 jours de réunion pour un coût de 1,9</w:t>
      </w:r>
      <w:r w:rsidR="009C277D" w:rsidRPr="00651678">
        <w:t> </w:t>
      </w:r>
      <w:r w:rsidRPr="00651678">
        <w:t xml:space="preserve">million CHF (147 000 CHF par jour). Ce coût (1,9 million CHF) est identique à celui de la Conférence de plénipotentiaires de 2014, </w:t>
      </w:r>
      <w:r w:rsidR="00760E55" w:rsidRPr="00651678">
        <w:t>alors que</w:t>
      </w:r>
      <w:r w:rsidRPr="00651678">
        <w:t xml:space="preserve"> cette </w:t>
      </w:r>
      <w:r w:rsidR="00760E55" w:rsidRPr="00651678">
        <w:t>C</w:t>
      </w:r>
      <w:r w:rsidRPr="00651678">
        <w:t>onférence a duré trois semaines (95</w:t>
      </w:r>
      <w:r w:rsidR="00760E55" w:rsidRPr="00651678">
        <w:t> </w:t>
      </w:r>
      <w:r w:rsidRPr="00651678">
        <w:t xml:space="preserve">000 CHF par jour). Le coût total d'une CMTI devrait comprendre les réunions de préparation, les coûts supportés par le pays hôte avant la CMTI et les frais de voyage pour toutes les délégations et toutes les personnes </w:t>
      </w:r>
      <w:r w:rsidR="00760E55" w:rsidRPr="00651678">
        <w:t>concerné</w:t>
      </w:r>
      <w:r w:rsidRPr="00651678">
        <w:t xml:space="preserve">es. </w:t>
      </w:r>
      <w:r w:rsidR="00760E55" w:rsidRPr="00651678">
        <w:t>En outre</w:t>
      </w:r>
      <w:r w:rsidRPr="00651678">
        <w:t>, les coûts d'opportunité (c'est-à-dire les coûts liés au fait de ne pas utiliser pour d'autres activités le budget et le temps prévu pour la CMTI-12) ont été importants pour l'UIT et toutes les parties concernées. Par exemple, le Brés</w:t>
      </w:r>
      <w:r w:rsidR="00760E55" w:rsidRPr="00651678">
        <w:t>il a organisé une réunion multi-</w:t>
      </w:r>
      <w:r w:rsidRPr="00651678">
        <w:t>partie</w:t>
      </w:r>
      <w:r w:rsidR="00760E55" w:rsidRPr="00651678">
        <w:t>s prenantes de quatre heures toutes les</w:t>
      </w:r>
      <w:r w:rsidRPr="00651678">
        <w:t xml:space="preserve"> semaine</w:t>
      </w:r>
      <w:r w:rsidR="00760E55" w:rsidRPr="00651678">
        <w:t>s</w:t>
      </w:r>
      <w:r w:rsidRPr="00651678">
        <w:t xml:space="preserve"> pendant un an avant la CMTI-12 pour préparer la Conférence. Tous ces éléments correspondent au</w:t>
      </w:r>
      <w:r w:rsidR="00760E55" w:rsidRPr="00651678">
        <w:t>x</w:t>
      </w:r>
      <w:r w:rsidRPr="00651678">
        <w:t xml:space="preserve"> coût</w:t>
      </w:r>
      <w:r w:rsidR="00760E55" w:rsidRPr="00651678">
        <w:t>s</w:t>
      </w:r>
      <w:r w:rsidRPr="00651678">
        <w:t>.</w:t>
      </w:r>
    </w:p>
    <w:p w:rsidR="005C14F8" w:rsidRPr="00651678" w:rsidRDefault="005C14F8" w:rsidP="00760E55">
      <w:r w:rsidRPr="00651678">
        <w:t>Une nouvelle CMTI ne</w:t>
      </w:r>
      <w:r w:rsidR="00760E55" w:rsidRPr="00651678">
        <w:t xml:space="preserve"> devrait être organisée que si s</w:t>
      </w:r>
      <w:r w:rsidRPr="00651678">
        <w:t xml:space="preserve">es résultats </w:t>
      </w:r>
      <w:r w:rsidR="00760E55" w:rsidRPr="00651678">
        <w:t>entraînent</w:t>
      </w:r>
      <w:r w:rsidRPr="00651678">
        <w:t xml:space="preserve"> des retombées concrètes sur le marché des télécommunications/TIC compensant le coût financi</w:t>
      </w:r>
      <w:r w:rsidR="00760E55" w:rsidRPr="00651678">
        <w:t>er et le coût d'opportunité de s</w:t>
      </w:r>
      <w:r w:rsidRPr="00651678">
        <w:t>a tenue.</w:t>
      </w:r>
    </w:p>
    <w:p w:rsidR="005C14F8" w:rsidRPr="00651678" w:rsidRDefault="005C14F8" w:rsidP="00E7614E">
      <w:pPr>
        <w:pStyle w:val="Headingb"/>
      </w:pPr>
      <w:r w:rsidRPr="00651678">
        <w:t xml:space="preserve">Incidences sur la coopération internationale et </w:t>
      </w:r>
      <w:r w:rsidR="00E7614E" w:rsidRPr="00651678">
        <w:t>l'image</w:t>
      </w:r>
      <w:r w:rsidRPr="00651678">
        <w:t xml:space="preserve"> de l'UIT</w:t>
      </w:r>
    </w:p>
    <w:p w:rsidR="005C14F8" w:rsidRPr="00651678" w:rsidRDefault="005C14F8" w:rsidP="00E7614E">
      <w:r w:rsidRPr="00651678">
        <w:t xml:space="preserve">Quatre-vingt-neuf pays ont signé les </w:t>
      </w:r>
      <w:r w:rsidR="00E7614E" w:rsidRPr="00651678">
        <w:t>A</w:t>
      </w:r>
      <w:r w:rsidRPr="00651678">
        <w:t xml:space="preserve">ctes finals de la CMTI-12, dont le Brésil, mais un clivage très net est apparu: aucun pays développé n'était au nombre des signataires. La CMTI-12 n'a pas permis de parvenir à un consensus et en essayant d'y parvenir, elle a élaboré un traité </w:t>
      </w:r>
      <w:r w:rsidR="00E7614E" w:rsidRPr="00651678">
        <w:t>ayant des effets très limités</w:t>
      </w:r>
      <w:r w:rsidRPr="00651678">
        <w:t xml:space="preserve">, même pour les 89 signataires. </w:t>
      </w:r>
      <w:r w:rsidR="00E7614E" w:rsidRPr="00651678">
        <w:t>L'image</w:t>
      </w:r>
      <w:r w:rsidRPr="00651678">
        <w:t xml:space="preserve"> de l'UIT en tant que cadre efficace pour </w:t>
      </w:r>
      <w:r w:rsidR="00E7614E" w:rsidRPr="00651678">
        <w:t>parvenir à un</w:t>
      </w:r>
      <w:r w:rsidRPr="00651678">
        <w:t xml:space="preserve"> consensus et promouvoir la coopération internationale a été mis</w:t>
      </w:r>
      <w:r w:rsidR="00E7614E" w:rsidRPr="00651678">
        <w:t>e</w:t>
      </w:r>
      <w:r w:rsidRPr="00651678">
        <w:t xml:space="preserve"> à mal. De nombreuses parties prenantes de premier plan </w:t>
      </w:r>
      <w:r w:rsidR="00E7614E" w:rsidRPr="00651678">
        <w:t>ne font</w:t>
      </w:r>
      <w:r w:rsidRPr="00651678">
        <w:t xml:space="preserve"> ainsi plus confiance </w:t>
      </w:r>
      <w:r w:rsidR="00E7614E" w:rsidRPr="00651678">
        <w:t>à</w:t>
      </w:r>
      <w:r w:rsidRPr="00651678">
        <w:t xml:space="preserve"> l'Union.</w:t>
      </w:r>
    </w:p>
    <w:p w:rsidR="005C14F8" w:rsidRPr="00651678" w:rsidRDefault="005C14F8" w:rsidP="00E7614E">
      <w:r w:rsidRPr="00651678">
        <w:t xml:space="preserve">L'UIT ne peut </w:t>
      </w:r>
      <w:r w:rsidR="00E7614E" w:rsidRPr="00651678">
        <w:t xml:space="preserve">pas </w:t>
      </w:r>
      <w:r w:rsidRPr="00651678">
        <w:t>prendre le risque qu'une telle situation se reproduise.</w:t>
      </w:r>
    </w:p>
    <w:p w:rsidR="005C14F8" w:rsidRPr="00651678" w:rsidRDefault="005C14F8" w:rsidP="00E7614E">
      <w:r w:rsidRPr="00651678">
        <w:t>Si tou</w:t>
      </w:r>
      <w:r w:rsidR="00E7614E" w:rsidRPr="00651678">
        <w:t>te</w:t>
      </w:r>
      <w:r w:rsidRPr="00651678">
        <w:t xml:space="preserve">s les </w:t>
      </w:r>
      <w:r w:rsidR="00E7614E" w:rsidRPr="00651678">
        <w:t>condition</w:t>
      </w:r>
      <w:r w:rsidRPr="00651678">
        <w:t>s susmentionné</w:t>
      </w:r>
      <w:r w:rsidR="00E7614E" w:rsidRPr="00651678">
        <w:t>e</w:t>
      </w:r>
      <w:r w:rsidRPr="00651678">
        <w:t>s sont réuni</w:t>
      </w:r>
      <w:r w:rsidR="00E7614E" w:rsidRPr="00651678">
        <w:t>e</w:t>
      </w:r>
      <w:r w:rsidRPr="00651678">
        <w:t xml:space="preserve">s, un large consensus se dégagera concernant l'organisation d'une révision du RTI. Dans ce cas, un groupe de travail du Conseil devrait être </w:t>
      </w:r>
      <w:r w:rsidR="00E7614E" w:rsidRPr="00651678">
        <w:t>créé pour</w:t>
      </w:r>
      <w:r w:rsidRPr="00651678">
        <w:t xml:space="preserve"> mener à bien le processus de préparation de manière transparente, inclusive, efficace et consciencieuse. Ce processus devrait faire intervenir tous les membres de l'UIT sur un pied d'égalité, et toutes les parties prenantes dans le cadre de consultation</w:t>
      </w:r>
      <w:r w:rsidR="00E7614E" w:rsidRPr="00651678">
        <w:t>s</w:t>
      </w:r>
      <w:r w:rsidRPr="00651678">
        <w:t xml:space="preserve"> ouvert</w:t>
      </w:r>
      <w:r w:rsidR="00E7614E" w:rsidRPr="00651678">
        <w:t>es</w:t>
      </w:r>
      <w:r w:rsidRPr="00651678">
        <w:t>, inclusi</w:t>
      </w:r>
      <w:r w:rsidR="00E7614E" w:rsidRPr="00651678">
        <w:t>ves</w:t>
      </w:r>
      <w:r w:rsidRPr="00651678">
        <w:t xml:space="preserve"> et transparent</w:t>
      </w:r>
      <w:r w:rsidR="00E7614E" w:rsidRPr="00651678">
        <w:t>es</w:t>
      </w:r>
      <w:r w:rsidRPr="00651678">
        <w:t>.</w:t>
      </w:r>
    </w:p>
    <w:p w:rsidR="005C14F8" w:rsidRPr="00651678" w:rsidRDefault="005C14F8" w:rsidP="00E7614E">
      <w:r w:rsidRPr="00651678">
        <w:lastRenderedPageBreak/>
        <w:t>Le GTC devrait transmettre une proposition de traité largement accepté</w:t>
      </w:r>
      <w:r w:rsidR="00E7614E" w:rsidRPr="00651678">
        <w:t>e</w:t>
      </w:r>
      <w:r w:rsidRPr="00651678">
        <w:t xml:space="preserve"> à une nouvelle CMTI, qui </w:t>
      </w:r>
      <w:r w:rsidR="00E7614E" w:rsidRPr="00651678">
        <w:t xml:space="preserve">n'aurait à </w:t>
      </w:r>
      <w:r w:rsidRPr="00651678">
        <w:t xml:space="preserve">examiner </w:t>
      </w:r>
      <w:r w:rsidR="00E7614E" w:rsidRPr="00651678">
        <w:t>que</w:t>
      </w:r>
      <w:r w:rsidRPr="00651678">
        <w:t xml:space="preserve"> des points de détail.</w:t>
      </w:r>
    </w:p>
    <w:p w:rsidR="00E7614E" w:rsidRPr="00651678" w:rsidRDefault="00E7614E" w:rsidP="0032202E">
      <w:pPr>
        <w:pStyle w:val="Reasons"/>
      </w:pPr>
    </w:p>
    <w:p w:rsidR="00E7614E" w:rsidRPr="00651678" w:rsidRDefault="00E7614E">
      <w:pPr>
        <w:jc w:val="center"/>
      </w:pPr>
      <w:r w:rsidRPr="00651678">
        <w:t>______________</w:t>
      </w:r>
    </w:p>
    <w:p w:rsidR="00571EEA" w:rsidRPr="00651678" w:rsidRDefault="00571EEA" w:rsidP="002931E9"/>
    <w:sectPr w:rsidR="00571EEA" w:rsidRPr="00651678"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F8" w:rsidRDefault="005C14F8">
      <w:r>
        <w:separator/>
      </w:r>
    </w:p>
  </w:endnote>
  <w:endnote w:type="continuationSeparator" w:id="0">
    <w:p w:rsidR="005C14F8" w:rsidRDefault="005C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E1A6F">
    <w:pPr>
      <w:pStyle w:val="Footer"/>
    </w:pPr>
    <w:r>
      <w:fldChar w:fldCharType="begin"/>
    </w:r>
    <w:r>
      <w:instrText xml:space="preserve"> FILENAME \p \* MERGEFORMAT </w:instrText>
    </w:r>
    <w:r>
      <w:fldChar w:fldCharType="separate"/>
    </w:r>
    <w:r w:rsidR="004F4FD2">
      <w:t>P:\FRA\SG\CONSEIL\C17\000\095F.docx</w:t>
    </w:r>
    <w:r>
      <w:fldChar w:fldCharType="end"/>
    </w:r>
    <w:r w:rsidR="00732045">
      <w:tab/>
    </w:r>
    <w:r w:rsidR="002F1B76">
      <w:fldChar w:fldCharType="begin"/>
    </w:r>
    <w:r w:rsidR="00732045">
      <w:instrText xml:space="preserve"> savedate \@ dd.MM.yy </w:instrText>
    </w:r>
    <w:r w:rsidR="002F1B76">
      <w:fldChar w:fldCharType="separate"/>
    </w:r>
    <w:r w:rsidR="007B7577">
      <w:t>10.05.17</w:t>
    </w:r>
    <w:r w:rsidR="002F1B76">
      <w:fldChar w:fldCharType="end"/>
    </w:r>
    <w:r w:rsidR="00732045">
      <w:tab/>
    </w:r>
    <w:r w:rsidR="002F1B76">
      <w:fldChar w:fldCharType="begin"/>
    </w:r>
    <w:r w:rsidR="00732045">
      <w:instrText xml:space="preserve"> printdate \@ dd.MM.yy </w:instrText>
    </w:r>
    <w:r w:rsidR="002F1B76">
      <w:fldChar w:fldCharType="separate"/>
    </w:r>
    <w:r w:rsidR="004F4FD2">
      <w:t>10.05.17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2931E9" w:rsidRDefault="005E1A6F" w:rsidP="002931E9">
    <w:pPr>
      <w:pStyle w:val="Footer"/>
    </w:pPr>
    <w:r>
      <w:fldChar w:fldCharType="begin"/>
    </w:r>
    <w:r>
      <w:instrText xml:space="preserve"> FILENAME \p  \* MERGEFORMAT </w:instrText>
    </w:r>
    <w:r>
      <w:fldChar w:fldCharType="separate"/>
    </w:r>
    <w:r w:rsidR="004F4FD2">
      <w:t>P:\FRA\SG\CONSEIL\C17\000\095F.docx</w:t>
    </w:r>
    <w:r>
      <w:fldChar w:fldCharType="end"/>
    </w:r>
    <w:r w:rsidR="002931E9">
      <w:t xml:space="preserve"> (417491)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F8" w:rsidRDefault="005C14F8">
      <w:r>
        <w:t>____________________</w:t>
      </w:r>
    </w:p>
  </w:footnote>
  <w:footnote w:type="continuationSeparator" w:id="0">
    <w:p w:rsidR="005C14F8" w:rsidRDefault="005C14F8">
      <w:r>
        <w:continuationSeparator/>
      </w:r>
    </w:p>
  </w:footnote>
  <w:footnote w:id="1">
    <w:p w:rsidR="005C14F8" w:rsidRPr="005C14F8" w:rsidRDefault="005C14F8" w:rsidP="00CB7E6D">
      <w:pPr>
        <w:pStyle w:val="FootnoteText"/>
        <w:rPr>
          <w:lang w:val="en-US"/>
        </w:rPr>
      </w:pPr>
      <w:r>
        <w:rPr>
          <w:rStyle w:val="FootnoteReference"/>
        </w:rPr>
        <w:footnoteRef/>
      </w:r>
      <w:r w:rsidR="00CB7E6D">
        <w:rPr>
          <w:lang w:val="en-US"/>
        </w:rPr>
        <w:tab/>
      </w:r>
      <w:r w:rsidRPr="005C14F8">
        <w:rPr>
          <w:lang w:val="en-US"/>
        </w:rPr>
        <w:t>Kaul</w:t>
      </w:r>
      <w:r w:rsidR="00CB7E6D">
        <w:rPr>
          <w:lang w:val="en-US"/>
        </w:rPr>
        <w:t>,</w:t>
      </w:r>
      <w:r w:rsidRPr="005C14F8">
        <w:rPr>
          <w:lang w:val="en-US"/>
        </w:rPr>
        <w:t xml:space="preserve"> Inge (20</w:t>
      </w:r>
      <w:r w:rsidR="00CB7E6D">
        <w:rPr>
          <w:lang w:val="en-US"/>
        </w:rPr>
        <w:t>13), "Meeting Global Challenges</w:t>
      </w:r>
      <w:r w:rsidRPr="005C14F8">
        <w:rPr>
          <w:lang w:val="en-US"/>
        </w:rPr>
        <w:t xml:space="preserve">: Assessing Governance Readiness", dans Hertie School of Governance, </w:t>
      </w:r>
      <w:r w:rsidRPr="005C14F8">
        <w:rPr>
          <w:i/>
          <w:iCs/>
          <w:lang w:val="en-US"/>
        </w:rPr>
        <w:t>The Governance Report</w:t>
      </w:r>
      <w:r w:rsidRPr="005C14F8">
        <w:rPr>
          <w:lang w:val="en-US"/>
        </w:rPr>
        <w:t xml:space="preserve">, </w:t>
      </w:r>
      <w:r w:rsidR="00651678" w:rsidRPr="005C14F8">
        <w:rPr>
          <w:lang w:val="en-US"/>
        </w:rPr>
        <w:t>Oxford:</w:t>
      </w:r>
      <w:r w:rsidRPr="005C14F8">
        <w:rPr>
          <w:lang w:val="en-US"/>
        </w:rPr>
        <w:t xml:space="preserve"> Oxford University Press, 2013, Chapitre</w:t>
      </w:r>
      <w:r w:rsidR="00CB7E6D">
        <w:rPr>
          <w:lang w:val="en-US"/>
        </w:rPr>
        <w:t> </w:t>
      </w:r>
      <w:r w:rsidRPr="005C14F8">
        <w:rPr>
          <w:lang w:val="en-US"/>
        </w:rPr>
        <w:t>2, pages 33-58.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E1A6F">
      <w:rPr>
        <w:noProof/>
      </w:rPr>
      <w:t>5</w:t>
    </w:r>
    <w:r>
      <w:rPr>
        <w:noProof/>
      </w:rPr>
      <w:fldChar w:fldCharType="end"/>
    </w:r>
  </w:p>
  <w:p w:rsidR="00732045" w:rsidRDefault="00732045" w:rsidP="0093234A">
    <w:pPr>
      <w:pStyle w:val="Header"/>
    </w:pPr>
    <w:r>
      <w:t>C1</w:t>
    </w:r>
    <w:r w:rsidR="0093234A">
      <w:t>7</w:t>
    </w:r>
    <w:r w:rsidR="005C14F8">
      <w:t>/95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E5333"/>
    <w:multiLevelType w:val="hybridMultilevel"/>
    <w:tmpl w:val="14102E36"/>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26E525A"/>
    <w:multiLevelType w:val="hybridMultilevel"/>
    <w:tmpl w:val="1FC2AB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A1B3191"/>
    <w:multiLevelType w:val="hybridMultilevel"/>
    <w:tmpl w:val="7BDE7F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F8"/>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931E9"/>
    <w:rsid w:val="002A5D44"/>
    <w:rsid w:val="002C4396"/>
    <w:rsid w:val="002E0BC4"/>
    <w:rsid w:val="002F1B76"/>
    <w:rsid w:val="00355FF5"/>
    <w:rsid w:val="00361350"/>
    <w:rsid w:val="004038CB"/>
    <w:rsid w:val="0040546F"/>
    <w:rsid w:val="0042404A"/>
    <w:rsid w:val="0044618F"/>
    <w:rsid w:val="0046769A"/>
    <w:rsid w:val="00475FB3"/>
    <w:rsid w:val="004C37A9"/>
    <w:rsid w:val="004F259E"/>
    <w:rsid w:val="004F4FD2"/>
    <w:rsid w:val="00511F1D"/>
    <w:rsid w:val="00520F36"/>
    <w:rsid w:val="00540615"/>
    <w:rsid w:val="00540A6D"/>
    <w:rsid w:val="00547AFB"/>
    <w:rsid w:val="00571EEA"/>
    <w:rsid w:val="00575417"/>
    <w:rsid w:val="005768E1"/>
    <w:rsid w:val="005C14F8"/>
    <w:rsid w:val="005C3890"/>
    <w:rsid w:val="005E1A6F"/>
    <w:rsid w:val="005F7BFE"/>
    <w:rsid w:val="00600017"/>
    <w:rsid w:val="006235CA"/>
    <w:rsid w:val="00651678"/>
    <w:rsid w:val="006643AB"/>
    <w:rsid w:val="007210CD"/>
    <w:rsid w:val="00732045"/>
    <w:rsid w:val="007369DB"/>
    <w:rsid w:val="00760E55"/>
    <w:rsid w:val="007956C2"/>
    <w:rsid w:val="007A187E"/>
    <w:rsid w:val="007B7577"/>
    <w:rsid w:val="007C72C2"/>
    <w:rsid w:val="007D4436"/>
    <w:rsid w:val="007F257A"/>
    <w:rsid w:val="007F3665"/>
    <w:rsid w:val="00800037"/>
    <w:rsid w:val="00861D73"/>
    <w:rsid w:val="008A4E87"/>
    <w:rsid w:val="008D76E6"/>
    <w:rsid w:val="0092392D"/>
    <w:rsid w:val="0093234A"/>
    <w:rsid w:val="009C277D"/>
    <w:rsid w:val="009C307F"/>
    <w:rsid w:val="00A2113E"/>
    <w:rsid w:val="00A23A51"/>
    <w:rsid w:val="00A24607"/>
    <w:rsid w:val="00A25CD3"/>
    <w:rsid w:val="00A82767"/>
    <w:rsid w:val="00AA332F"/>
    <w:rsid w:val="00AA7BBB"/>
    <w:rsid w:val="00AB64A8"/>
    <w:rsid w:val="00AC0266"/>
    <w:rsid w:val="00AD24EC"/>
    <w:rsid w:val="00B10108"/>
    <w:rsid w:val="00B309F9"/>
    <w:rsid w:val="00B32B60"/>
    <w:rsid w:val="00B61619"/>
    <w:rsid w:val="00BB4545"/>
    <w:rsid w:val="00BD18A4"/>
    <w:rsid w:val="00BD5873"/>
    <w:rsid w:val="00C04BE3"/>
    <w:rsid w:val="00C25D29"/>
    <w:rsid w:val="00C27A7C"/>
    <w:rsid w:val="00C6071C"/>
    <w:rsid w:val="00CA08ED"/>
    <w:rsid w:val="00CB7E6D"/>
    <w:rsid w:val="00CF183B"/>
    <w:rsid w:val="00D375CD"/>
    <w:rsid w:val="00D553A2"/>
    <w:rsid w:val="00D774D3"/>
    <w:rsid w:val="00D904E8"/>
    <w:rsid w:val="00D978E4"/>
    <w:rsid w:val="00DA08C3"/>
    <w:rsid w:val="00DB5A3E"/>
    <w:rsid w:val="00DC22AA"/>
    <w:rsid w:val="00DC5D1B"/>
    <w:rsid w:val="00DF74DD"/>
    <w:rsid w:val="00E25AD0"/>
    <w:rsid w:val="00E7614E"/>
    <w:rsid w:val="00EB6350"/>
    <w:rsid w:val="00F052DB"/>
    <w:rsid w:val="00F15B57"/>
    <w:rsid w:val="00F427DB"/>
    <w:rsid w:val="00F6359E"/>
    <w:rsid w:val="00FA5EB1"/>
    <w:rsid w:val="00FA7439"/>
    <w:rsid w:val="00FC4EC0"/>
    <w:rsid w:val="00FD2D1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00F76D-A259-40C3-B5A7-308629F1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5C1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83</TotalTime>
  <Pages>5</Pages>
  <Words>1600</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Jones, Jacqueline</cp:lastModifiedBy>
  <cp:revision>17</cp:revision>
  <cp:lastPrinted>2017-05-10T13:07:00Z</cp:lastPrinted>
  <dcterms:created xsi:type="dcterms:W3CDTF">2017-05-10T12:12:00Z</dcterms:created>
  <dcterms:modified xsi:type="dcterms:W3CDTF">2017-05-10T14:18:00Z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