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4B3E22" w:rsidRPr="00AC71F5" w14:paraId="25AECD67" w14:textId="77777777">
        <w:trPr>
          <w:cantSplit/>
        </w:trPr>
        <w:tc>
          <w:tcPr>
            <w:tcW w:w="6911" w:type="dxa"/>
          </w:tcPr>
          <w:p w14:paraId="0DA28312" w14:textId="77777777" w:rsidR="004B3E22" w:rsidRPr="00AC71F5" w:rsidRDefault="004B3E22" w:rsidP="004B3E22">
            <w:pPr>
              <w:spacing w:before="360" w:after="48" w:line="240" w:lineRule="atLeast"/>
              <w:rPr>
                <w:position w:val="6"/>
                <w:lang w:val="en-US"/>
              </w:rPr>
            </w:pPr>
            <w:bookmarkStart w:id="0" w:name="dc06"/>
            <w:bookmarkEnd w:id="0"/>
            <w:r w:rsidRPr="00AC71F5">
              <w:rPr>
                <w:b/>
                <w:bCs/>
                <w:position w:val="6"/>
                <w:sz w:val="30"/>
                <w:szCs w:val="30"/>
                <w:lang w:val="en-US"/>
              </w:rPr>
              <w:t>Council 2017</w:t>
            </w:r>
            <w:r w:rsidRPr="00AC71F5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AC71F5">
              <w:rPr>
                <w:b/>
                <w:bCs/>
                <w:position w:val="6"/>
                <w:szCs w:val="24"/>
                <w:lang w:val="en-US"/>
              </w:rPr>
              <w:t>Geneva, 15-25 May 2017</w:t>
            </w:r>
          </w:p>
        </w:tc>
        <w:tc>
          <w:tcPr>
            <w:tcW w:w="3120" w:type="dxa"/>
          </w:tcPr>
          <w:p w14:paraId="2E8B00EA" w14:textId="77777777" w:rsidR="004B3E22" w:rsidRPr="00AC71F5" w:rsidRDefault="004B3E22" w:rsidP="004B3E22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 w:rsidRPr="00AC71F5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259C68EA" wp14:editId="7C71A8F4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E22" w:rsidRPr="00AC71F5" w14:paraId="66C53A26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E0AAB54" w14:textId="77777777" w:rsidR="004B3E22" w:rsidRPr="00AC71F5" w:rsidRDefault="004B3E2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A5B9739" w14:textId="77777777" w:rsidR="004B3E22" w:rsidRPr="00AC71F5" w:rsidRDefault="004B3E22">
            <w:pPr>
              <w:spacing w:before="0" w:line="240" w:lineRule="atLeast"/>
              <w:rPr>
                <w:szCs w:val="24"/>
                <w:lang w:val="en-US"/>
              </w:rPr>
            </w:pPr>
          </w:p>
        </w:tc>
      </w:tr>
      <w:tr w:rsidR="004B3E22" w:rsidRPr="00AC71F5" w14:paraId="749A4ABC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754B8D8" w14:textId="77777777" w:rsidR="004B3E22" w:rsidRPr="00AC71F5" w:rsidRDefault="004B3E2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84405AB" w14:textId="77777777" w:rsidR="004B3E22" w:rsidRPr="00AC71F5" w:rsidRDefault="004B3E22">
            <w:pPr>
              <w:spacing w:before="0" w:line="240" w:lineRule="atLeast"/>
              <w:rPr>
                <w:szCs w:val="24"/>
                <w:lang w:val="en-US"/>
              </w:rPr>
            </w:pPr>
          </w:p>
        </w:tc>
      </w:tr>
      <w:tr w:rsidR="004B3E22" w:rsidRPr="00AC71F5" w14:paraId="6EA0D1AA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E31F16D" w14:textId="0F23C644" w:rsidR="004B3E22" w:rsidRPr="00AC71F5" w:rsidRDefault="004B3E22" w:rsidP="00E979CE">
            <w:pPr>
              <w:tabs>
                <w:tab w:val="left" w:pos="851"/>
              </w:tabs>
              <w:spacing w:before="0" w:line="240" w:lineRule="atLeast"/>
              <w:rPr>
                <w:b/>
                <w:lang w:val="en-US"/>
              </w:rPr>
            </w:pPr>
            <w:bookmarkStart w:id="2" w:name="dmeeting" w:colFirst="0" w:colLast="0"/>
            <w:bookmarkStart w:id="3" w:name="dnum" w:colFirst="1" w:colLast="1"/>
            <w:r w:rsidRPr="00AC71F5">
              <w:rPr>
                <w:b/>
                <w:lang w:val="en-US"/>
              </w:rPr>
              <w:t xml:space="preserve">Agenda item: </w:t>
            </w:r>
            <w:r w:rsidR="00E979CE">
              <w:rPr>
                <w:b/>
                <w:lang w:val="en-US"/>
              </w:rPr>
              <w:t>PL 1.9</w:t>
            </w:r>
          </w:p>
        </w:tc>
        <w:tc>
          <w:tcPr>
            <w:tcW w:w="3120" w:type="dxa"/>
          </w:tcPr>
          <w:p w14:paraId="3D07C86D" w14:textId="55FD5471" w:rsidR="004B3E22" w:rsidRPr="00AC71F5" w:rsidRDefault="004B3E22" w:rsidP="00E979CE">
            <w:pPr>
              <w:tabs>
                <w:tab w:val="left" w:pos="851"/>
              </w:tabs>
              <w:spacing w:before="0" w:line="240" w:lineRule="atLeast"/>
              <w:rPr>
                <w:b/>
                <w:lang w:val="en-US"/>
              </w:rPr>
            </w:pPr>
            <w:r w:rsidRPr="00AC71F5">
              <w:rPr>
                <w:b/>
                <w:lang w:val="en-US"/>
              </w:rPr>
              <w:t>Document C17/</w:t>
            </w:r>
            <w:r w:rsidR="00E979CE">
              <w:rPr>
                <w:b/>
                <w:lang w:val="en-US"/>
              </w:rPr>
              <w:t>95</w:t>
            </w:r>
            <w:r w:rsidRPr="00AC71F5">
              <w:rPr>
                <w:b/>
                <w:lang w:val="en-US"/>
              </w:rPr>
              <w:t>-E</w:t>
            </w:r>
          </w:p>
        </w:tc>
      </w:tr>
      <w:tr w:rsidR="004B3E22" w:rsidRPr="00AC71F5" w14:paraId="7AFFB10B" w14:textId="77777777">
        <w:trPr>
          <w:cantSplit/>
          <w:trHeight w:val="23"/>
        </w:trPr>
        <w:tc>
          <w:tcPr>
            <w:tcW w:w="6911" w:type="dxa"/>
            <w:vMerge/>
          </w:tcPr>
          <w:p w14:paraId="2A985F52" w14:textId="77777777" w:rsidR="004B3E22" w:rsidRPr="00AC71F5" w:rsidRDefault="004B3E22">
            <w:pPr>
              <w:tabs>
                <w:tab w:val="left" w:pos="851"/>
              </w:tabs>
              <w:spacing w:line="240" w:lineRule="atLeast"/>
              <w:rPr>
                <w:b/>
                <w:lang w:val="en-US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328D8A4E" w14:textId="1D9ABE30" w:rsidR="004B3E22" w:rsidRPr="00AC71F5" w:rsidRDefault="00E979CE" w:rsidP="00E979CE">
            <w:pPr>
              <w:tabs>
                <w:tab w:val="left" w:pos="993"/>
              </w:tabs>
              <w:spacing w:befor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 May</w:t>
            </w:r>
            <w:r w:rsidR="004B3E22" w:rsidRPr="00AC71F5">
              <w:rPr>
                <w:b/>
                <w:lang w:val="en-US"/>
              </w:rPr>
              <w:t xml:space="preserve"> 2017</w:t>
            </w:r>
          </w:p>
        </w:tc>
      </w:tr>
      <w:tr w:rsidR="004B3E22" w:rsidRPr="00AC71F5" w14:paraId="5728FD87" w14:textId="77777777">
        <w:trPr>
          <w:cantSplit/>
          <w:trHeight w:val="23"/>
        </w:trPr>
        <w:tc>
          <w:tcPr>
            <w:tcW w:w="6911" w:type="dxa"/>
            <w:vMerge/>
          </w:tcPr>
          <w:p w14:paraId="3E37E39D" w14:textId="77777777" w:rsidR="004B3E22" w:rsidRPr="00AC71F5" w:rsidRDefault="004B3E22">
            <w:pPr>
              <w:tabs>
                <w:tab w:val="left" w:pos="851"/>
              </w:tabs>
              <w:spacing w:line="240" w:lineRule="atLeast"/>
              <w:rPr>
                <w:b/>
                <w:lang w:val="en-US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0123D82E" w14:textId="77777777" w:rsidR="004B3E22" w:rsidRPr="00AC71F5" w:rsidRDefault="004B3E22" w:rsidP="004B3E22">
            <w:pPr>
              <w:tabs>
                <w:tab w:val="left" w:pos="993"/>
              </w:tabs>
              <w:spacing w:before="0"/>
              <w:rPr>
                <w:b/>
                <w:lang w:val="en-US"/>
              </w:rPr>
            </w:pPr>
            <w:r w:rsidRPr="00AC71F5">
              <w:rPr>
                <w:b/>
                <w:lang w:val="en-US"/>
              </w:rPr>
              <w:t>Original: English</w:t>
            </w:r>
          </w:p>
        </w:tc>
      </w:tr>
      <w:tr w:rsidR="004B3E22" w:rsidRPr="00AC71F5" w14:paraId="5758BF40" w14:textId="77777777">
        <w:trPr>
          <w:cantSplit/>
        </w:trPr>
        <w:tc>
          <w:tcPr>
            <w:tcW w:w="10031" w:type="dxa"/>
            <w:gridSpan w:val="2"/>
          </w:tcPr>
          <w:p w14:paraId="5A931350" w14:textId="0506365B" w:rsidR="004B3E22" w:rsidRPr="00AC71F5" w:rsidRDefault="00E979CE">
            <w:pPr>
              <w:pStyle w:val="Source"/>
              <w:rPr>
                <w:lang w:val="en-US"/>
              </w:rPr>
            </w:pPr>
            <w:bookmarkStart w:id="6" w:name="dsource" w:colFirst="0" w:colLast="0"/>
            <w:bookmarkEnd w:id="5"/>
            <w:r w:rsidRPr="002F1511">
              <w:t>Note by the Secretary-General</w:t>
            </w:r>
          </w:p>
        </w:tc>
      </w:tr>
      <w:tr w:rsidR="004B3E22" w:rsidRPr="00AC71F5" w14:paraId="6201A446" w14:textId="77777777">
        <w:trPr>
          <w:cantSplit/>
        </w:trPr>
        <w:tc>
          <w:tcPr>
            <w:tcW w:w="10031" w:type="dxa"/>
            <w:gridSpan w:val="2"/>
          </w:tcPr>
          <w:p w14:paraId="02ADD644" w14:textId="625995B9" w:rsidR="004B3E22" w:rsidRPr="00AC71F5" w:rsidRDefault="00E979CE" w:rsidP="00FD0D83">
            <w:pPr>
              <w:pStyle w:val="Title1"/>
              <w:rPr>
                <w:lang w:val="en-US"/>
              </w:rPr>
            </w:pPr>
            <w:bookmarkStart w:id="7" w:name="dtitle1" w:colFirst="0" w:colLast="0"/>
            <w:bookmarkEnd w:id="6"/>
            <w:r>
              <w:rPr>
                <w:lang w:val="en-US"/>
              </w:rPr>
              <w:t>contribution from the federative republic of brazil</w:t>
            </w:r>
          </w:p>
        </w:tc>
      </w:tr>
      <w:tr w:rsidR="00E979CE" w:rsidRPr="00AC71F5" w14:paraId="42CDAFC2" w14:textId="77777777">
        <w:trPr>
          <w:cantSplit/>
        </w:trPr>
        <w:tc>
          <w:tcPr>
            <w:tcW w:w="10031" w:type="dxa"/>
            <w:gridSpan w:val="2"/>
          </w:tcPr>
          <w:p w14:paraId="4F5D2127" w14:textId="03CA4D97" w:rsidR="00E979CE" w:rsidRDefault="00E979CE" w:rsidP="00E979CE">
            <w:pPr>
              <w:pStyle w:val="Title1"/>
              <w:rPr>
                <w:lang w:val="en-US"/>
              </w:rPr>
            </w:pPr>
            <w:r w:rsidRPr="00AC71F5">
              <w:rPr>
                <w:lang w:val="en-US"/>
              </w:rPr>
              <w:t>REVIEW OF THE INTERNATIONAL TELECOMMUNICATION REGULATIONS</w:t>
            </w:r>
          </w:p>
        </w:tc>
      </w:tr>
    </w:tbl>
    <w:p w14:paraId="4422322A" w14:textId="46A7D8A6" w:rsidR="00E979CE" w:rsidRPr="00403482" w:rsidRDefault="00E979CE" w:rsidP="00E979CE">
      <w:pPr>
        <w:spacing w:before="600"/>
        <w:jc w:val="both"/>
        <w:rPr>
          <w:rFonts w:asciiTheme="minorHAnsi" w:hAnsiTheme="minorHAnsi"/>
          <w:szCs w:val="24"/>
        </w:rPr>
      </w:pPr>
      <w:bookmarkStart w:id="8" w:name="dstart"/>
      <w:bookmarkStart w:id="9" w:name="dbreak"/>
      <w:bookmarkEnd w:id="7"/>
      <w:bookmarkEnd w:id="8"/>
      <w:bookmarkEnd w:id="9"/>
      <w:r w:rsidRPr="00403482">
        <w:rPr>
          <w:rFonts w:asciiTheme="minorHAnsi" w:hAnsiTheme="minorHAnsi"/>
          <w:szCs w:val="24"/>
        </w:rPr>
        <w:t xml:space="preserve">I have the honour to transmit to the Member States of the Council a contribution submitted by </w:t>
      </w:r>
      <w:r w:rsidRPr="000E0778">
        <w:rPr>
          <w:rFonts w:asciiTheme="minorHAnsi" w:hAnsiTheme="minorHAnsi"/>
          <w:b/>
          <w:bCs/>
          <w:szCs w:val="24"/>
        </w:rPr>
        <w:t xml:space="preserve">the </w:t>
      </w:r>
      <w:r>
        <w:rPr>
          <w:rFonts w:asciiTheme="minorHAnsi" w:hAnsiTheme="minorHAnsi"/>
          <w:b/>
          <w:bCs/>
          <w:szCs w:val="24"/>
        </w:rPr>
        <w:t>Federative Republic of Brazil</w:t>
      </w:r>
      <w:r>
        <w:rPr>
          <w:rFonts w:asciiTheme="minorHAnsi" w:hAnsiTheme="minorHAnsi"/>
          <w:szCs w:val="24"/>
        </w:rPr>
        <w:t>.</w:t>
      </w:r>
    </w:p>
    <w:p w14:paraId="6EEB4414" w14:textId="77777777" w:rsidR="00E979CE" w:rsidRPr="00403482" w:rsidRDefault="00E979CE" w:rsidP="0001486F">
      <w:pPr>
        <w:spacing w:before="840"/>
        <w:jc w:val="both"/>
        <w:rPr>
          <w:rFonts w:asciiTheme="minorHAnsi" w:hAnsiTheme="minorHAnsi"/>
          <w:szCs w:val="24"/>
        </w:rPr>
      </w:pPr>
    </w:p>
    <w:p w14:paraId="529FB6C4" w14:textId="77777777" w:rsidR="00E979CE" w:rsidRPr="00403482" w:rsidRDefault="00E979CE" w:rsidP="00E979CE">
      <w:pPr>
        <w:tabs>
          <w:tab w:val="clear" w:pos="2268"/>
          <w:tab w:val="clear" w:pos="2835"/>
          <w:tab w:val="center" w:pos="7088"/>
        </w:tabs>
      </w:pPr>
      <w:r w:rsidRPr="00403482">
        <w:tab/>
      </w:r>
      <w:r w:rsidRPr="00403482">
        <w:tab/>
      </w:r>
      <w:r w:rsidRPr="00403482">
        <w:tab/>
      </w:r>
      <w:r w:rsidRPr="00403482">
        <w:tab/>
        <w:t>Houlin ZHAO</w:t>
      </w:r>
      <w:r w:rsidRPr="00403482">
        <w:br/>
      </w:r>
      <w:r w:rsidRPr="00403482">
        <w:tab/>
      </w:r>
      <w:r w:rsidRPr="00403482">
        <w:tab/>
      </w:r>
      <w:r w:rsidRPr="00403482">
        <w:tab/>
      </w:r>
      <w:r w:rsidRPr="00403482">
        <w:tab/>
        <w:t>Secretary-General</w:t>
      </w:r>
    </w:p>
    <w:p w14:paraId="73DE84EE" w14:textId="77777777" w:rsidR="004B3E22" w:rsidRPr="00AC71F5" w:rsidRDefault="004B3E2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AC71F5">
        <w:rPr>
          <w:lang w:val="en-US"/>
        </w:rPr>
        <w:br w:type="page"/>
      </w:r>
      <w:bookmarkStart w:id="10" w:name="_GoBack"/>
      <w:bookmarkEnd w:id="10"/>
    </w:p>
    <w:p w14:paraId="39A0F9B1" w14:textId="6F97D48A" w:rsidR="00E979CE" w:rsidRDefault="00E979CE" w:rsidP="00E979CE">
      <w:pPr>
        <w:pStyle w:val="Source"/>
        <w:rPr>
          <w:lang w:val="en-US"/>
        </w:rPr>
      </w:pPr>
      <w:r w:rsidRPr="00AC71F5">
        <w:rPr>
          <w:lang w:val="en-US"/>
        </w:rPr>
        <w:lastRenderedPageBreak/>
        <w:t>Brazil (Federative Republic of)</w:t>
      </w:r>
    </w:p>
    <w:p w14:paraId="64F7C36C" w14:textId="1010E5EC" w:rsidR="00E979CE" w:rsidRDefault="00E979CE" w:rsidP="00E979CE">
      <w:pPr>
        <w:pStyle w:val="Title1"/>
        <w:rPr>
          <w:b/>
          <w:szCs w:val="24"/>
          <w:lang w:val="en-US"/>
        </w:rPr>
      </w:pPr>
      <w:r w:rsidRPr="00AC71F5">
        <w:rPr>
          <w:lang w:val="en-US"/>
        </w:rPr>
        <w:t>REVIEW OF THE INTERNATIONAL TELECOMMUNICATION REGULATIONS</w:t>
      </w:r>
    </w:p>
    <w:p w14:paraId="3A9E9479" w14:textId="77777777" w:rsidR="00BC6BF4" w:rsidRPr="00BC6BF4" w:rsidRDefault="00BC6BF4" w:rsidP="004A3D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rPr>
          <w:b/>
          <w:szCs w:val="24"/>
          <w:lang w:val="en-US"/>
        </w:rPr>
      </w:pPr>
      <w:r w:rsidRPr="00BC6BF4">
        <w:rPr>
          <w:b/>
          <w:szCs w:val="24"/>
          <w:lang w:val="en-US"/>
        </w:rPr>
        <w:t>Introduction</w:t>
      </w:r>
    </w:p>
    <w:p w14:paraId="7B8BA464" w14:textId="27287DA1" w:rsidR="00613834" w:rsidRPr="00BC6BF4" w:rsidRDefault="00613834" w:rsidP="004A3D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Cs w:val="24"/>
          <w:lang w:val="en-US"/>
        </w:rPr>
      </w:pPr>
      <w:r w:rsidRPr="004A3D93">
        <w:rPr>
          <w:spacing w:val="-2"/>
          <w:szCs w:val="24"/>
          <w:lang w:val="en-US"/>
        </w:rPr>
        <w:t xml:space="preserve">Brazil was an active </w:t>
      </w:r>
      <w:r w:rsidR="005D47A1" w:rsidRPr="004A3D93">
        <w:rPr>
          <w:spacing w:val="-2"/>
          <w:szCs w:val="24"/>
          <w:lang w:val="en-US"/>
        </w:rPr>
        <w:t>supporter</w:t>
      </w:r>
      <w:r w:rsidRPr="004A3D93">
        <w:rPr>
          <w:spacing w:val="-2"/>
          <w:szCs w:val="24"/>
          <w:lang w:val="en-US"/>
        </w:rPr>
        <w:t xml:space="preserve"> </w:t>
      </w:r>
      <w:r w:rsidR="005D47A1" w:rsidRPr="004A3D93">
        <w:rPr>
          <w:spacing w:val="-2"/>
          <w:szCs w:val="24"/>
          <w:lang w:val="en-US"/>
        </w:rPr>
        <w:t>of</w:t>
      </w:r>
      <w:r w:rsidRPr="004A3D93">
        <w:rPr>
          <w:spacing w:val="-2"/>
          <w:szCs w:val="24"/>
          <w:lang w:val="en-US"/>
        </w:rPr>
        <w:t xml:space="preserve"> </w:t>
      </w:r>
      <w:r w:rsidR="005D47A1" w:rsidRPr="004A3D93">
        <w:rPr>
          <w:spacing w:val="-2"/>
          <w:szCs w:val="24"/>
          <w:lang w:val="en-US"/>
        </w:rPr>
        <w:t>the 2012 World Conference on International Telecommunications</w:t>
      </w:r>
      <w:r w:rsidR="005D47A1">
        <w:rPr>
          <w:szCs w:val="24"/>
          <w:lang w:val="en-US"/>
        </w:rPr>
        <w:t xml:space="preserve"> (</w:t>
      </w:r>
      <w:r>
        <w:rPr>
          <w:szCs w:val="24"/>
          <w:lang w:val="en-US"/>
        </w:rPr>
        <w:t>WCIT-12</w:t>
      </w:r>
      <w:r w:rsidR="005D47A1">
        <w:rPr>
          <w:szCs w:val="24"/>
          <w:lang w:val="en-US"/>
        </w:rPr>
        <w:t>)</w:t>
      </w:r>
      <w:r>
        <w:rPr>
          <w:szCs w:val="24"/>
          <w:lang w:val="en-US"/>
        </w:rPr>
        <w:t xml:space="preserve">. We participated in all CWG preparatory meetings with numerous contributions. We presented 77 proposals </w:t>
      </w:r>
      <w:r w:rsidR="005D47A1">
        <w:rPr>
          <w:szCs w:val="24"/>
          <w:lang w:val="en-US"/>
        </w:rPr>
        <w:t>to</w:t>
      </w:r>
      <w:r>
        <w:rPr>
          <w:szCs w:val="24"/>
          <w:lang w:val="en-US"/>
        </w:rPr>
        <w:t xml:space="preserve"> WCIT-12, and </w:t>
      </w:r>
      <w:r w:rsidR="005D47A1">
        <w:rPr>
          <w:szCs w:val="24"/>
          <w:lang w:val="en-US"/>
        </w:rPr>
        <w:t>co-signed</w:t>
      </w:r>
      <w:r>
        <w:rPr>
          <w:szCs w:val="24"/>
          <w:lang w:val="en-US"/>
        </w:rPr>
        <w:t xml:space="preserve"> 17 CITEL proposals. </w:t>
      </w:r>
      <w:r w:rsidR="005D47A1">
        <w:rPr>
          <w:szCs w:val="24"/>
          <w:lang w:val="en-US"/>
        </w:rPr>
        <w:t xml:space="preserve">We brought 40 delegates to the Conference, and participated actively in all meetings. In the end, we signed the Final Acts of WCIT-12 without any reservations. Brazil firmly observes and complies with the </w:t>
      </w:r>
      <w:r w:rsidR="000C39A2">
        <w:rPr>
          <w:szCs w:val="24"/>
          <w:lang w:val="en-US"/>
        </w:rPr>
        <w:t>1998 and 2012 International Telecommunication Regulations (ITRs)</w:t>
      </w:r>
      <w:r w:rsidR="005D47A1">
        <w:rPr>
          <w:szCs w:val="24"/>
          <w:lang w:val="en-US"/>
        </w:rPr>
        <w:t>.</w:t>
      </w:r>
    </w:p>
    <w:p w14:paraId="14F34118" w14:textId="4BDE8E39" w:rsidR="007B3942" w:rsidRDefault="00E660E1" w:rsidP="004A3D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Cs w:val="24"/>
          <w:lang w:val="en-US"/>
        </w:rPr>
      </w:pPr>
      <w:r w:rsidRPr="00BC6BF4">
        <w:rPr>
          <w:szCs w:val="24"/>
          <w:lang w:val="en-US"/>
        </w:rPr>
        <w:t xml:space="preserve">This document presents Brazil’s views on </w:t>
      </w:r>
      <w:r w:rsidR="000C39A2">
        <w:rPr>
          <w:szCs w:val="24"/>
          <w:lang w:val="en-US"/>
        </w:rPr>
        <w:t>ITR review process.</w:t>
      </w:r>
      <w:r w:rsidR="00D5763E">
        <w:rPr>
          <w:szCs w:val="24"/>
          <w:lang w:val="en-US"/>
        </w:rPr>
        <w:t xml:space="preserve"> </w:t>
      </w:r>
      <w:r w:rsidR="00085A19">
        <w:rPr>
          <w:szCs w:val="24"/>
          <w:lang w:val="en-US"/>
        </w:rPr>
        <w:t>Brazil</w:t>
      </w:r>
      <w:r w:rsidR="003E2A9C">
        <w:rPr>
          <w:szCs w:val="24"/>
          <w:lang w:val="en-US"/>
        </w:rPr>
        <w:t xml:space="preserve"> understand</w:t>
      </w:r>
      <w:r w:rsidR="00085A19">
        <w:rPr>
          <w:szCs w:val="24"/>
          <w:lang w:val="en-US"/>
        </w:rPr>
        <w:t>s that</w:t>
      </w:r>
      <w:r w:rsidR="003E2A9C">
        <w:rPr>
          <w:szCs w:val="24"/>
          <w:lang w:val="en-US"/>
        </w:rPr>
        <w:t xml:space="preserve"> the main issues under discussion are </w:t>
      </w:r>
      <w:r w:rsidR="00085A19">
        <w:rPr>
          <w:szCs w:val="24"/>
          <w:lang w:val="en-US"/>
        </w:rPr>
        <w:t>the following</w:t>
      </w:r>
      <w:r w:rsidR="00B13059" w:rsidRPr="00AC71F5">
        <w:rPr>
          <w:szCs w:val="24"/>
          <w:lang w:val="en-US"/>
        </w:rPr>
        <w:t xml:space="preserve">: </w:t>
      </w:r>
    </w:p>
    <w:p w14:paraId="5314F362" w14:textId="6C3CF3E3" w:rsidR="007B3942" w:rsidRDefault="007B3942" w:rsidP="004A3D93">
      <w:pPr>
        <w:pStyle w:val="ListParagraph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contextualSpacing w:val="0"/>
        <w:rPr>
          <w:szCs w:val="24"/>
          <w:lang w:val="en-US"/>
        </w:rPr>
      </w:pPr>
      <w:r>
        <w:rPr>
          <w:szCs w:val="24"/>
          <w:lang w:val="en-US"/>
        </w:rPr>
        <w:t xml:space="preserve">the </w:t>
      </w:r>
      <w:r w:rsidR="005A44C9">
        <w:rPr>
          <w:szCs w:val="24"/>
          <w:lang w:val="en-US"/>
        </w:rPr>
        <w:t>applicability</w:t>
      </w:r>
      <w:r w:rsidR="00B13059" w:rsidRPr="007B3942">
        <w:rPr>
          <w:szCs w:val="24"/>
          <w:lang w:val="en-US"/>
        </w:rPr>
        <w:t xml:space="preserve"> of </w:t>
      </w:r>
      <w:r>
        <w:rPr>
          <w:szCs w:val="24"/>
          <w:lang w:val="en-US"/>
        </w:rPr>
        <w:t xml:space="preserve">the </w:t>
      </w:r>
      <w:r w:rsidRPr="007B3942">
        <w:rPr>
          <w:szCs w:val="24"/>
          <w:lang w:val="en-US"/>
        </w:rPr>
        <w:t>ITRs</w:t>
      </w:r>
      <w:r w:rsidR="00925386">
        <w:rPr>
          <w:szCs w:val="24"/>
          <w:lang w:val="en-US"/>
        </w:rPr>
        <w:t xml:space="preserve">, including the issues of scope and </w:t>
      </w:r>
      <w:r w:rsidR="00A90C8D">
        <w:rPr>
          <w:szCs w:val="24"/>
          <w:lang w:val="en-US"/>
        </w:rPr>
        <w:t>pace</w:t>
      </w:r>
      <w:r w:rsidR="00BB6F50">
        <w:rPr>
          <w:szCs w:val="24"/>
          <w:lang w:val="en-US"/>
        </w:rPr>
        <w:t xml:space="preserve"> of innovation</w:t>
      </w:r>
      <w:r w:rsidR="00B13059" w:rsidRPr="007B3942">
        <w:rPr>
          <w:szCs w:val="24"/>
          <w:lang w:val="en-US"/>
        </w:rPr>
        <w:t xml:space="preserve">; </w:t>
      </w:r>
    </w:p>
    <w:p w14:paraId="65C9E33F" w14:textId="205321F9" w:rsidR="007B3942" w:rsidRDefault="007B3942" w:rsidP="004A3D93">
      <w:pPr>
        <w:pStyle w:val="ListParagraph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contextualSpacing w:val="0"/>
        <w:rPr>
          <w:szCs w:val="24"/>
          <w:lang w:val="en-US"/>
        </w:rPr>
      </w:pPr>
      <w:r>
        <w:rPr>
          <w:szCs w:val="24"/>
          <w:lang w:val="en-US"/>
        </w:rPr>
        <w:t>the n</w:t>
      </w:r>
      <w:r w:rsidR="00B13059" w:rsidRPr="007B3942">
        <w:rPr>
          <w:szCs w:val="24"/>
          <w:lang w:val="en-US"/>
        </w:rPr>
        <w:t xml:space="preserve">eed for </w:t>
      </w:r>
      <w:r w:rsidR="00E660E1">
        <w:rPr>
          <w:szCs w:val="24"/>
          <w:lang w:val="en-US"/>
        </w:rPr>
        <w:t xml:space="preserve">a </w:t>
      </w:r>
      <w:r w:rsidR="00B13059" w:rsidRPr="007B3942">
        <w:rPr>
          <w:szCs w:val="24"/>
          <w:lang w:val="en-US"/>
        </w:rPr>
        <w:t xml:space="preserve">periodic review of </w:t>
      </w:r>
      <w:r>
        <w:rPr>
          <w:szCs w:val="24"/>
          <w:lang w:val="en-US"/>
        </w:rPr>
        <w:t>the ITRs</w:t>
      </w:r>
      <w:r w:rsidR="00B13059" w:rsidRPr="007B3942">
        <w:rPr>
          <w:szCs w:val="24"/>
          <w:lang w:val="en-US"/>
        </w:rPr>
        <w:t xml:space="preserve">; </w:t>
      </w:r>
    </w:p>
    <w:p w14:paraId="0D1FD044" w14:textId="53D07848" w:rsidR="007B3942" w:rsidRDefault="007B3942" w:rsidP="004A3D93">
      <w:pPr>
        <w:pStyle w:val="ListParagraph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contextualSpacing w:val="0"/>
        <w:rPr>
          <w:szCs w:val="24"/>
          <w:lang w:val="en-US"/>
        </w:rPr>
      </w:pPr>
      <w:r>
        <w:rPr>
          <w:szCs w:val="24"/>
          <w:lang w:val="en-US"/>
        </w:rPr>
        <w:t xml:space="preserve">the </w:t>
      </w:r>
      <w:r w:rsidR="00DC600D">
        <w:rPr>
          <w:szCs w:val="24"/>
          <w:lang w:val="en-US"/>
        </w:rPr>
        <w:t>costs</w:t>
      </w:r>
      <w:r w:rsidR="00821688" w:rsidRPr="007B3942">
        <w:rPr>
          <w:szCs w:val="24"/>
          <w:lang w:val="en-US"/>
        </w:rPr>
        <w:t xml:space="preserve"> </w:t>
      </w:r>
      <w:r w:rsidR="00B13059" w:rsidRPr="007B3942">
        <w:rPr>
          <w:szCs w:val="24"/>
          <w:lang w:val="en-US"/>
        </w:rPr>
        <w:t xml:space="preserve">of </w:t>
      </w:r>
      <w:r>
        <w:rPr>
          <w:szCs w:val="24"/>
          <w:lang w:val="en-US"/>
        </w:rPr>
        <w:t>holding</w:t>
      </w:r>
      <w:r w:rsidR="00B13059" w:rsidRPr="007B3942">
        <w:rPr>
          <w:szCs w:val="24"/>
          <w:lang w:val="en-US"/>
        </w:rPr>
        <w:t xml:space="preserve"> a new </w:t>
      </w:r>
      <w:r>
        <w:rPr>
          <w:szCs w:val="24"/>
          <w:lang w:val="en-US"/>
        </w:rPr>
        <w:t>World Conference on International Telecommunications</w:t>
      </w:r>
      <w:r w:rsidR="00821688">
        <w:rPr>
          <w:szCs w:val="24"/>
          <w:lang w:val="en-US"/>
        </w:rPr>
        <w:t xml:space="preserve"> (WCIT);</w:t>
      </w:r>
    </w:p>
    <w:p w14:paraId="18857528" w14:textId="74F0EA45" w:rsidR="00B13059" w:rsidRDefault="007B3942" w:rsidP="004A3D93">
      <w:pPr>
        <w:pStyle w:val="ListParagraph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contextualSpacing w:val="0"/>
        <w:rPr>
          <w:szCs w:val="24"/>
          <w:lang w:val="en-US"/>
        </w:rPr>
      </w:pPr>
      <w:proofErr w:type="gramStart"/>
      <w:r>
        <w:rPr>
          <w:szCs w:val="24"/>
          <w:lang w:val="en-US"/>
        </w:rPr>
        <w:t>the</w:t>
      </w:r>
      <w:proofErr w:type="gramEnd"/>
      <w:r w:rsidR="0082168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</w:t>
      </w:r>
      <w:r w:rsidR="00B13059" w:rsidRPr="007B3942">
        <w:rPr>
          <w:szCs w:val="24"/>
          <w:lang w:val="en-US"/>
        </w:rPr>
        <w:t>mpacts on international cooperation and ITU's reputation.</w:t>
      </w:r>
    </w:p>
    <w:p w14:paraId="28568323" w14:textId="77777777" w:rsidR="00A105C3" w:rsidRPr="00A105C3" w:rsidRDefault="00A105C3" w:rsidP="004A3D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rPr>
          <w:b/>
          <w:szCs w:val="24"/>
          <w:lang w:val="en-US"/>
        </w:rPr>
      </w:pPr>
      <w:r w:rsidRPr="00A105C3">
        <w:rPr>
          <w:b/>
          <w:szCs w:val="24"/>
          <w:lang w:val="en-US"/>
        </w:rPr>
        <w:t>Applicability of the ITR</w:t>
      </w:r>
      <w:r w:rsidR="00861C93">
        <w:rPr>
          <w:b/>
          <w:szCs w:val="24"/>
          <w:lang w:val="en-US"/>
        </w:rPr>
        <w:t>s</w:t>
      </w:r>
      <w:r w:rsidRPr="00A105C3">
        <w:rPr>
          <w:b/>
          <w:szCs w:val="24"/>
          <w:lang w:val="en-US"/>
        </w:rPr>
        <w:t>:</w:t>
      </w:r>
    </w:p>
    <w:p w14:paraId="19F19A0D" w14:textId="23FBBEC1" w:rsidR="00215361" w:rsidRPr="00AC71F5" w:rsidRDefault="00215361" w:rsidP="004A3D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Cs w:val="24"/>
          <w:lang w:val="en-US"/>
        </w:rPr>
      </w:pPr>
      <w:r w:rsidRPr="00AC71F5">
        <w:rPr>
          <w:szCs w:val="24"/>
          <w:lang w:val="en-US"/>
        </w:rPr>
        <w:t xml:space="preserve">There are two </w:t>
      </w:r>
      <w:r w:rsidR="00BC6BF4">
        <w:rPr>
          <w:szCs w:val="24"/>
          <w:lang w:val="en-US"/>
        </w:rPr>
        <w:t xml:space="preserve">predominant </w:t>
      </w:r>
      <w:r w:rsidR="00C74916">
        <w:rPr>
          <w:szCs w:val="24"/>
          <w:lang w:val="en-US"/>
        </w:rPr>
        <w:t>view</w:t>
      </w:r>
      <w:r w:rsidRPr="00AC71F5">
        <w:rPr>
          <w:szCs w:val="24"/>
          <w:lang w:val="en-US"/>
        </w:rPr>
        <w:t xml:space="preserve">points </w:t>
      </w:r>
      <w:r>
        <w:rPr>
          <w:szCs w:val="24"/>
          <w:lang w:val="en-US"/>
        </w:rPr>
        <w:t xml:space="preserve">on the </w:t>
      </w:r>
      <w:r w:rsidR="00861C93">
        <w:rPr>
          <w:szCs w:val="24"/>
          <w:lang w:val="en-US"/>
        </w:rPr>
        <w:t>applicability</w:t>
      </w:r>
      <w:r w:rsidR="00575785">
        <w:rPr>
          <w:szCs w:val="24"/>
          <w:lang w:val="en-US"/>
        </w:rPr>
        <w:t xml:space="preserve"> of the </w:t>
      </w:r>
      <w:r>
        <w:rPr>
          <w:szCs w:val="24"/>
          <w:lang w:val="en-US"/>
        </w:rPr>
        <w:t>ITRs</w:t>
      </w:r>
      <w:r w:rsidRPr="00AC71F5">
        <w:rPr>
          <w:szCs w:val="24"/>
          <w:lang w:val="en-US"/>
        </w:rPr>
        <w:t>:</w:t>
      </w:r>
    </w:p>
    <w:p w14:paraId="64AFB15F" w14:textId="7691E56A" w:rsidR="00215361" w:rsidRPr="00AC71F5" w:rsidRDefault="0068542D" w:rsidP="004A3D93">
      <w:pPr>
        <w:pStyle w:val="ListParagraph"/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contextualSpacing w:val="0"/>
        <w:rPr>
          <w:szCs w:val="24"/>
          <w:lang w:val="en-US"/>
        </w:rPr>
      </w:pPr>
      <w:r>
        <w:rPr>
          <w:szCs w:val="24"/>
          <w:lang w:val="en-US"/>
        </w:rPr>
        <w:t>“</w:t>
      </w:r>
      <w:r w:rsidR="004F6E03">
        <w:rPr>
          <w:szCs w:val="24"/>
          <w:lang w:val="en-US"/>
        </w:rPr>
        <w:t>View 1</w:t>
      </w:r>
      <w:r>
        <w:rPr>
          <w:szCs w:val="24"/>
          <w:lang w:val="en-US"/>
        </w:rPr>
        <w:t>”</w:t>
      </w:r>
      <w:r w:rsidR="004F6E03">
        <w:rPr>
          <w:szCs w:val="24"/>
          <w:lang w:val="en-US"/>
        </w:rPr>
        <w:t xml:space="preserve">: </w:t>
      </w:r>
      <w:r w:rsidR="00870601">
        <w:rPr>
          <w:szCs w:val="24"/>
          <w:lang w:val="en-US"/>
        </w:rPr>
        <w:t xml:space="preserve">the ITRs are </w:t>
      </w:r>
      <w:r w:rsidR="00215361" w:rsidRPr="00AC71F5">
        <w:rPr>
          <w:szCs w:val="24"/>
          <w:lang w:val="en-US"/>
        </w:rPr>
        <w:t xml:space="preserve">unnecessary </w:t>
      </w:r>
      <w:r w:rsidR="00870601">
        <w:rPr>
          <w:szCs w:val="24"/>
          <w:lang w:val="en-US"/>
        </w:rPr>
        <w:t>because</w:t>
      </w:r>
      <w:r w:rsidR="00215361" w:rsidRPr="00AC71F5">
        <w:rPr>
          <w:szCs w:val="24"/>
          <w:lang w:val="en-US"/>
        </w:rPr>
        <w:t xml:space="preserve"> </w:t>
      </w:r>
      <w:r w:rsidR="00C81750">
        <w:rPr>
          <w:szCs w:val="24"/>
          <w:lang w:val="en-US"/>
        </w:rPr>
        <w:t xml:space="preserve">market </w:t>
      </w:r>
      <w:r w:rsidR="00215361" w:rsidRPr="00AC71F5">
        <w:rPr>
          <w:szCs w:val="24"/>
          <w:lang w:val="en-US"/>
        </w:rPr>
        <w:t>competition</w:t>
      </w:r>
      <w:r w:rsidR="00A90C8D">
        <w:rPr>
          <w:szCs w:val="24"/>
          <w:lang w:val="en-US"/>
        </w:rPr>
        <w:t>,</w:t>
      </w:r>
      <w:r w:rsidR="00215361" w:rsidRPr="00AC71F5">
        <w:rPr>
          <w:szCs w:val="24"/>
          <w:lang w:val="en-US"/>
        </w:rPr>
        <w:t xml:space="preserve"> national regulatory policies</w:t>
      </w:r>
      <w:r w:rsidR="00A90C8D">
        <w:rPr>
          <w:szCs w:val="24"/>
          <w:lang w:val="en-US"/>
        </w:rPr>
        <w:t>,</w:t>
      </w:r>
      <w:r w:rsidR="00215361" w:rsidRPr="00AC71F5">
        <w:rPr>
          <w:szCs w:val="24"/>
          <w:lang w:val="en-US"/>
        </w:rPr>
        <w:t xml:space="preserve"> </w:t>
      </w:r>
      <w:r w:rsidR="00D714E3">
        <w:rPr>
          <w:szCs w:val="24"/>
          <w:lang w:val="en-US"/>
        </w:rPr>
        <w:t>and</w:t>
      </w:r>
      <w:r w:rsidR="00A90C8D">
        <w:rPr>
          <w:szCs w:val="24"/>
          <w:lang w:val="en-US"/>
        </w:rPr>
        <w:t>/or</w:t>
      </w:r>
      <w:r w:rsidR="00D714E3">
        <w:rPr>
          <w:szCs w:val="24"/>
          <w:lang w:val="en-US"/>
        </w:rPr>
        <w:t xml:space="preserve"> bilateral agreements </w:t>
      </w:r>
      <w:r w:rsidR="00215361" w:rsidRPr="00AC71F5">
        <w:rPr>
          <w:szCs w:val="24"/>
          <w:lang w:val="en-US"/>
        </w:rPr>
        <w:t xml:space="preserve">are sufficient </w:t>
      </w:r>
      <w:r w:rsidR="00D714E3">
        <w:rPr>
          <w:szCs w:val="24"/>
          <w:lang w:val="en-US"/>
        </w:rPr>
        <w:t>to optimize the global</w:t>
      </w:r>
      <w:r w:rsidR="00215361" w:rsidRPr="00AC71F5">
        <w:rPr>
          <w:szCs w:val="24"/>
          <w:lang w:val="en-US"/>
        </w:rPr>
        <w:t xml:space="preserve"> </w:t>
      </w:r>
      <w:r w:rsidR="00D714E3">
        <w:rPr>
          <w:szCs w:val="24"/>
          <w:lang w:val="en-US"/>
        </w:rPr>
        <w:t>provision</w:t>
      </w:r>
      <w:r w:rsidR="00215361" w:rsidRPr="00AC71F5">
        <w:rPr>
          <w:szCs w:val="24"/>
          <w:lang w:val="en-US"/>
        </w:rPr>
        <w:t xml:space="preserve"> of telecommunication</w:t>
      </w:r>
      <w:r w:rsidR="00215361">
        <w:rPr>
          <w:szCs w:val="24"/>
          <w:lang w:val="en-US"/>
        </w:rPr>
        <w:t>/ICT</w:t>
      </w:r>
      <w:r w:rsidR="00D714E3">
        <w:rPr>
          <w:szCs w:val="24"/>
          <w:lang w:val="en-US"/>
        </w:rPr>
        <w:t>s</w:t>
      </w:r>
      <w:r w:rsidR="00215361">
        <w:rPr>
          <w:szCs w:val="24"/>
          <w:lang w:val="en-US"/>
        </w:rPr>
        <w:t>;</w:t>
      </w:r>
    </w:p>
    <w:p w14:paraId="433482BF" w14:textId="77777777" w:rsidR="00215361" w:rsidRPr="00AC71F5" w:rsidRDefault="0068542D" w:rsidP="004A3D93">
      <w:pPr>
        <w:pStyle w:val="ListParagraph"/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contextualSpacing w:val="0"/>
        <w:rPr>
          <w:szCs w:val="24"/>
          <w:lang w:val="en-US"/>
        </w:rPr>
      </w:pPr>
      <w:r>
        <w:rPr>
          <w:szCs w:val="24"/>
          <w:lang w:val="en-US"/>
        </w:rPr>
        <w:t>“</w:t>
      </w:r>
      <w:r w:rsidR="004F6E03">
        <w:rPr>
          <w:szCs w:val="24"/>
          <w:lang w:val="en-US"/>
        </w:rPr>
        <w:t>View 2</w:t>
      </w:r>
      <w:r>
        <w:rPr>
          <w:szCs w:val="24"/>
          <w:lang w:val="en-US"/>
        </w:rPr>
        <w:t>”</w:t>
      </w:r>
      <w:r w:rsidR="004F6E03">
        <w:rPr>
          <w:szCs w:val="24"/>
          <w:lang w:val="en-US"/>
        </w:rPr>
        <w:t xml:space="preserve">: </w:t>
      </w:r>
      <w:r w:rsidR="00215361">
        <w:rPr>
          <w:szCs w:val="24"/>
          <w:lang w:val="en-US"/>
        </w:rPr>
        <w:t>the ITRs</w:t>
      </w:r>
      <w:r w:rsidR="00215361" w:rsidRPr="00AC71F5">
        <w:rPr>
          <w:szCs w:val="24"/>
          <w:lang w:val="en-US"/>
        </w:rPr>
        <w:t xml:space="preserve"> </w:t>
      </w:r>
      <w:r w:rsidR="00D14568">
        <w:rPr>
          <w:szCs w:val="24"/>
          <w:lang w:val="en-US"/>
        </w:rPr>
        <w:t xml:space="preserve">are </w:t>
      </w:r>
      <w:r w:rsidR="00861C93">
        <w:rPr>
          <w:szCs w:val="24"/>
          <w:lang w:val="en-US"/>
        </w:rPr>
        <w:t>necessary</w:t>
      </w:r>
      <w:r w:rsidR="00D714E3">
        <w:rPr>
          <w:szCs w:val="24"/>
          <w:lang w:val="en-US"/>
        </w:rPr>
        <w:t xml:space="preserve"> because they establish </w:t>
      </w:r>
      <w:r w:rsidR="00C81750">
        <w:rPr>
          <w:szCs w:val="24"/>
          <w:lang w:val="en-US"/>
        </w:rPr>
        <w:t xml:space="preserve">common principles that optimize </w:t>
      </w:r>
      <w:r w:rsidR="00D714E3">
        <w:rPr>
          <w:szCs w:val="24"/>
          <w:lang w:val="en-US"/>
        </w:rPr>
        <w:t xml:space="preserve">the </w:t>
      </w:r>
      <w:r w:rsidR="00C81750">
        <w:rPr>
          <w:szCs w:val="24"/>
          <w:lang w:val="en-US"/>
        </w:rPr>
        <w:t xml:space="preserve">global </w:t>
      </w:r>
      <w:r w:rsidR="00D714E3">
        <w:rPr>
          <w:szCs w:val="24"/>
          <w:lang w:val="en-US"/>
        </w:rPr>
        <w:t>provision</w:t>
      </w:r>
      <w:r w:rsidR="00215361" w:rsidRPr="00AC71F5">
        <w:rPr>
          <w:szCs w:val="24"/>
          <w:lang w:val="en-US"/>
        </w:rPr>
        <w:t xml:space="preserve"> </w:t>
      </w:r>
      <w:r w:rsidR="00D714E3">
        <w:rPr>
          <w:szCs w:val="24"/>
          <w:lang w:val="en-US"/>
        </w:rPr>
        <w:t xml:space="preserve">of </w:t>
      </w:r>
      <w:r w:rsidR="00215361" w:rsidRPr="00AC71F5">
        <w:rPr>
          <w:szCs w:val="24"/>
          <w:lang w:val="en-US"/>
        </w:rPr>
        <w:t>telecommunication</w:t>
      </w:r>
      <w:r w:rsidR="004F6E03">
        <w:rPr>
          <w:szCs w:val="24"/>
          <w:lang w:val="en-US"/>
        </w:rPr>
        <w:t>/ICTs</w:t>
      </w:r>
      <w:r w:rsidR="00215361" w:rsidRPr="00AC71F5">
        <w:rPr>
          <w:szCs w:val="24"/>
          <w:lang w:val="en-US"/>
        </w:rPr>
        <w:t>.</w:t>
      </w:r>
    </w:p>
    <w:p w14:paraId="561AF8E3" w14:textId="77777777" w:rsidR="00A90C8D" w:rsidRDefault="00D14568" w:rsidP="004A3D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Cs w:val="24"/>
          <w:lang w:val="en-US"/>
        </w:rPr>
      </w:pPr>
      <w:r>
        <w:rPr>
          <w:szCs w:val="24"/>
          <w:lang w:val="en-US"/>
        </w:rPr>
        <w:t>Views 1 and 2 are</w:t>
      </w:r>
      <w:r w:rsidR="00A105C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polar opposites of each other</w:t>
      </w:r>
      <w:r w:rsidR="00A105C3">
        <w:rPr>
          <w:szCs w:val="24"/>
          <w:lang w:val="en-US"/>
        </w:rPr>
        <w:t>.</w:t>
      </w:r>
      <w:r>
        <w:rPr>
          <w:szCs w:val="24"/>
          <w:lang w:val="en-US"/>
        </w:rPr>
        <w:t xml:space="preserve"> </w:t>
      </w:r>
      <w:r w:rsidR="00920D7E">
        <w:rPr>
          <w:szCs w:val="24"/>
          <w:lang w:val="en-US"/>
        </w:rPr>
        <w:t xml:space="preserve">Since </w:t>
      </w:r>
      <w:r w:rsidR="005B4395">
        <w:rPr>
          <w:szCs w:val="24"/>
          <w:lang w:val="en-US"/>
        </w:rPr>
        <w:t>acce</w:t>
      </w:r>
      <w:r w:rsidR="00920D7E">
        <w:rPr>
          <w:szCs w:val="24"/>
          <w:lang w:val="en-US"/>
        </w:rPr>
        <w:t>ding to the ITRs is optional</w:t>
      </w:r>
      <w:r w:rsidR="00575785">
        <w:rPr>
          <w:szCs w:val="24"/>
          <w:lang w:val="en-US"/>
        </w:rPr>
        <w:t xml:space="preserve">, if the views </w:t>
      </w:r>
      <w:r w:rsidR="002B050D">
        <w:rPr>
          <w:szCs w:val="24"/>
          <w:lang w:val="en-US"/>
        </w:rPr>
        <w:t xml:space="preserve">on the applicability of the ITRs </w:t>
      </w:r>
      <w:r w:rsidR="00575785">
        <w:rPr>
          <w:szCs w:val="24"/>
          <w:lang w:val="en-US"/>
        </w:rPr>
        <w:t xml:space="preserve">continue to be polarized, </w:t>
      </w:r>
      <w:r w:rsidR="002B050D">
        <w:rPr>
          <w:szCs w:val="24"/>
          <w:lang w:val="en-US"/>
        </w:rPr>
        <w:t xml:space="preserve">a new WCIT would produce the same outcomes of WCIT-12: no consensus and </w:t>
      </w:r>
      <w:r w:rsidR="0083790F">
        <w:rPr>
          <w:szCs w:val="24"/>
          <w:lang w:val="en-US"/>
        </w:rPr>
        <w:t>a rift among Member States</w:t>
      </w:r>
      <w:r w:rsidR="002B050D">
        <w:rPr>
          <w:szCs w:val="24"/>
          <w:lang w:val="en-US"/>
        </w:rPr>
        <w:t>.</w:t>
      </w:r>
      <w:r w:rsidR="005140D2">
        <w:rPr>
          <w:szCs w:val="24"/>
          <w:lang w:val="en-US"/>
        </w:rPr>
        <w:t xml:space="preserve"> </w:t>
      </w:r>
      <w:r w:rsidR="0068542D">
        <w:rPr>
          <w:szCs w:val="24"/>
          <w:lang w:val="en-US"/>
        </w:rPr>
        <w:t>Some V</w:t>
      </w:r>
      <w:r w:rsidR="005140D2">
        <w:rPr>
          <w:szCs w:val="24"/>
          <w:lang w:val="en-US"/>
        </w:rPr>
        <w:t xml:space="preserve">iew 1 Member States possibly would not even attend </w:t>
      </w:r>
      <w:r w:rsidR="00BC6BF4">
        <w:rPr>
          <w:szCs w:val="24"/>
          <w:lang w:val="en-US"/>
        </w:rPr>
        <w:t>a new</w:t>
      </w:r>
      <w:r w:rsidR="005140D2">
        <w:rPr>
          <w:szCs w:val="24"/>
          <w:lang w:val="en-US"/>
        </w:rPr>
        <w:t xml:space="preserve"> </w:t>
      </w:r>
      <w:r w:rsidR="00BC6BF4">
        <w:rPr>
          <w:szCs w:val="24"/>
          <w:lang w:val="en-US"/>
        </w:rPr>
        <w:t>WCIT</w:t>
      </w:r>
      <w:r w:rsidR="005140D2">
        <w:rPr>
          <w:szCs w:val="24"/>
          <w:lang w:val="en-US"/>
        </w:rPr>
        <w:t>.</w:t>
      </w:r>
      <w:r w:rsidR="00925386">
        <w:rPr>
          <w:szCs w:val="24"/>
          <w:lang w:val="en-US"/>
        </w:rPr>
        <w:t xml:space="preserve"> </w:t>
      </w:r>
    </w:p>
    <w:p w14:paraId="5088AF2E" w14:textId="5A3D033B" w:rsidR="00A20B2F" w:rsidRDefault="00A20B2F" w:rsidP="004A3D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Cs w:val="24"/>
          <w:lang w:val="en-US"/>
        </w:rPr>
      </w:pPr>
      <w:r>
        <w:rPr>
          <w:szCs w:val="24"/>
          <w:lang w:val="en-US"/>
        </w:rPr>
        <w:t xml:space="preserve">Even among signatory countries, there are no higher bodies to oversee and enforce compliance to the ITRs, and therefore the effectiveness and applicability of the ITRs fundamentally depend on </w:t>
      </w:r>
      <w:r w:rsidR="00A90C8D">
        <w:rPr>
          <w:szCs w:val="24"/>
          <w:lang w:val="en-US"/>
        </w:rPr>
        <w:t xml:space="preserve">a </w:t>
      </w:r>
      <w:r>
        <w:rPr>
          <w:szCs w:val="24"/>
          <w:lang w:val="en-US"/>
        </w:rPr>
        <w:t xml:space="preserve">proactive, voluntary </w:t>
      </w:r>
      <w:r w:rsidR="00EF2D05">
        <w:rPr>
          <w:szCs w:val="24"/>
          <w:lang w:val="en-US"/>
        </w:rPr>
        <w:t>commitment to</w:t>
      </w:r>
      <w:r>
        <w:rPr>
          <w:szCs w:val="24"/>
          <w:lang w:val="en-US"/>
        </w:rPr>
        <w:t xml:space="preserve"> collaborat</w:t>
      </w:r>
      <w:r w:rsidR="00EF2D05">
        <w:rPr>
          <w:szCs w:val="24"/>
          <w:lang w:val="en-US"/>
        </w:rPr>
        <w:t>e</w:t>
      </w:r>
      <w:r>
        <w:rPr>
          <w:szCs w:val="24"/>
          <w:lang w:val="en-US"/>
        </w:rPr>
        <w:t xml:space="preserve"> to solve common problems</w:t>
      </w:r>
      <w:r w:rsidR="00EF2D05">
        <w:rPr>
          <w:szCs w:val="24"/>
          <w:lang w:val="en-US"/>
        </w:rPr>
        <w:t xml:space="preserve"> in the </w:t>
      </w:r>
      <w:r w:rsidR="00A90C8D">
        <w:rPr>
          <w:szCs w:val="24"/>
          <w:lang w:val="en-US"/>
        </w:rPr>
        <w:t xml:space="preserve">global </w:t>
      </w:r>
      <w:r w:rsidR="00EF2D05">
        <w:rPr>
          <w:szCs w:val="24"/>
          <w:lang w:val="en-US"/>
        </w:rPr>
        <w:t>provision of telecommunication/ICTs.</w:t>
      </w:r>
      <w:r>
        <w:rPr>
          <w:szCs w:val="24"/>
          <w:lang w:val="en-US"/>
        </w:rPr>
        <w:t xml:space="preserve"> </w:t>
      </w:r>
    </w:p>
    <w:p w14:paraId="26B550BA" w14:textId="0645D276" w:rsidR="0083790F" w:rsidRDefault="00F37667" w:rsidP="004A3D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Cs w:val="24"/>
          <w:lang w:val="en-US"/>
        </w:rPr>
      </w:pPr>
      <w:r>
        <w:rPr>
          <w:szCs w:val="24"/>
          <w:lang w:val="en-US"/>
        </w:rPr>
        <w:t>The decision t</w:t>
      </w:r>
      <w:r w:rsidR="0068542D">
        <w:rPr>
          <w:szCs w:val="24"/>
          <w:lang w:val="en-US"/>
        </w:rPr>
        <w:t>o revis</w:t>
      </w:r>
      <w:r>
        <w:rPr>
          <w:szCs w:val="24"/>
          <w:lang w:val="en-US"/>
        </w:rPr>
        <w:t>e</w:t>
      </w:r>
      <w:r w:rsidR="0068542D">
        <w:rPr>
          <w:szCs w:val="24"/>
          <w:lang w:val="en-US"/>
        </w:rPr>
        <w:t xml:space="preserve"> the ITRs and </w:t>
      </w:r>
      <w:r>
        <w:rPr>
          <w:szCs w:val="24"/>
          <w:lang w:val="en-US"/>
        </w:rPr>
        <w:t xml:space="preserve">hold </w:t>
      </w:r>
      <w:r w:rsidR="0068542D">
        <w:rPr>
          <w:szCs w:val="24"/>
          <w:lang w:val="en-US"/>
        </w:rPr>
        <w:t>a new WCIT</w:t>
      </w:r>
      <w:r>
        <w:rPr>
          <w:szCs w:val="24"/>
          <w:lang w:val="en-US"/>
        </w:rPr>
        <w:t xml:space="preserve"> depends on</w:t>
      </w:r>
      <w:r w:rsidR="00A02FFF">
        <w:rPr>
          <w:szCs w:val="24"/>
          <w:lang w:val="en-US"/>
        </w:rPr>
        <w:t xml:space="preserve"> a </w:t>
      </w:r>
      <w:r w:rsidR="00BC6BF4">
        <w:rPr>
          <w:szCs w:val="24"/>
          <w:lang w:val="en-US"/>
        </w:rPr>
        <w:t>total</w:t>
      </w:r>
      <w:r>
        <w:rPr>
          <w:szCs w:val="24"/>
          <w:lang w:val="en-US"/>
        </w:rPr>
        <w:t xml:space="preserve"> or </w:t>
      </w:r>
      <w:r w:rsidR="007B128A">
        <w:rPr>
          <w:szCs w:val="24"/>
          <w:lang w:val="en-US"/>
        </w:rPr>
        <w:t xml:space="preserve">a large </w:t>
      </w:r>
      <w:r>
        <w:rPr>
          <w:szCs w:val="24"/>
          <w:lang w:val="en-US"/>
        </w:rPr>
        <w:t xml:space="preserve">majority </w:t>
      </w:r>
      <w:r w:rsidR="00A02FFF">
        <w:rPr>
          <w:szCs w:val="24"/>
          <w:lang w:val="en-US"/>
        </w:rPr>
        <w:t xml:space="preserve">consensus </w:t>
      </w:r>
      <w:r>
        <w:rPr>
          <w:szCs w:val="24"/>
          <w:lang w:val="en-US"/>
        </w:rPr>
        <w:t>that the</w:t>
      </w:r>
      <w:r w:rsidR="00A02FFF">
        <w:rPr>
          <w:szCs w:val="24"/>
          <w:lang w:val="en-US"/>
        </w:rPr>
        <w:t xml:space="preserve"> ITRs </w:t>
      </w:r>
      <w:r>
        <w:rPr>
          <w:szCs w:val="24"/>
          <w:lang w:val="en-US"/>
        </w:rPr>
        <w:t xml:space="preserve">are important for </w:t>
      </w:r>
      <w:r w:rsidR="00A02FFF">
        <w:rPr>
          <w:szCs w:val="24"/>
          <w:lang w:val="en-US"/>
        </w:rPr>
        <w:t>cross-border telecommunication</w:t>
      </w:r>
      <w:r w:rsidR="00C74916">
        <w:rPr>
          <w:szCs w:val="24"/>
          <w:lang w:val="en-US"/>
        </w:rPr>
        <w:t>/ICTs</w:t>
      </w:r>
      <w:r w:rsidR="0068542D">
        <w:rPr>
          <w:szCs w:val="24"/>
          <w:lang w:val="en-US"/>
        </w:rPr>
        <w:t>.</w:t>
      </w:r>
      <w:r>
        <w:rPr>
          <w:szCs w:val="24"/>
          <w:lang w:val="en-US"/>
        </w:rPr>
        <w:t xml:space="preserve"> In</w:t>
      </w:r>
      <w:r w:rsidR="00BC6BF4">
        <w:rPr>
          <w:szCs w:val="24"/>
          <w:lang w:val="en-US"/>
        </w:rPr>
        <w:t xml:space="preserve"> other words, there should be an almost total</w:t>
      </w:r>
      <w:r w:rsidR="0098730C">
        <w:rPr>
          <w:szCs w:val="24"/>
          <w:lang w:val="en-US"/>
        </w:rPr>
        <w:t xml:space="preserve"> </w:t>
      </w:r>
      <w:r>
        <w:rPr>
          <w:szCs w:val="24"/>
          <w:lang w:val="en-US"/>
        </w:rPr>
        <w:t>convergence to View 2</w:t>
      </w:r>
      <w:r w:rsidR="00BC6BF4">
        <w:rPr>
          <w:szCs w:val="24"/>
          <w:lang w:val="en-US"/>
        </w:rPr>
        <w:t xml:space="preserve"> before such a decision is taken.</w:t>
      </w:r>
    </w:p>
    <w:p w14:paraId="14E6C152" w14:textId="3FA7A500" w:rsidR="00B017B6" w:rsidRDefault="00925386" w:rsidP="004A3D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Cs w:val="24"/>
          <w:lang w:val="en-US"/>
        </w:rPr>
      </w:pPr>
      <w:r>
        <w:rPr>
          <w:szCs w:val="24"/>
          <w:lang w:val="en-US"/>
        </w:rPr>
        <w:t xml:space="preserve">Regarding </w:t>
      </w:r>
      <w:r w:rsidR="00D714E3">
        <w:rPr>
          <w:szCs w:val="24"/>
          <w:lang w:val="en-US"/>
        </w:rPr>
        <w:t xml:space="preserve">the </w:t>
      </w:r>
      <w:r w:rsidR="00D714E3" w:rsidRPr="004F30C1">
        <w:rPr>
          <w:b/>
          <w:szCs w:val="24"/>
          <w:lang w:val="en-US"/>
        </w:rPr>
        <w:t>scope of the ITRs</w:t>
      </w:r>
      <w:r w:rsidR="00D714E3">
        <w:rPr>
          <w:szCs w:val="24"/>
          <w:lang w:val="en-US"/>
        </w:rPr>
        <w:t xml:space="preserve">. </w:t>
      </w:r>
      <w:r w:rsidR="00C81750">
        <w:rPr>
          <w:szCs w:val="24"/>
          <w:lang w:val="en-US"/>
        </w:rPr>
        <w:t>Each of the</w:t>
      </w:r>
      <w:r w:rsidR="00BC6BF4" w:rsidRPr="00AC71F5">
        <w:rPr>
          <w:szCs w:val="24"/>
          <w:lang w:val="en-US"/>
        </w:rPr>
        <w:t xml:space="preserve"> 193 ITU Member States</w:t>
      </w:r>
      <w:r w:rsidR="00B141B5">
        <w:rPr>
          <w:szCs w:val="24"/>
          <w:lang w:val="en-US"/>
        </w:rPr>
        <w:t xml:space="preserve"> </w:t>
      </w:r>
      <w:r w:rsidR="00BB6F50">
        <w:rPr>
          <w:szCs w:val="24"/>
          <w:lang w:val="en-US"/>
        </w:rPr>
        <w:t>face</w:t>
      </w:r>
      <w:r w:rsidR="00C74916">
        <w:rPr>
          <w:szCs w:val="24"/>
          <w:lang w:val="en-US"/>
        </w:rPr>
        <w:t>s</w:t>
      </w:r>
      <w:r w:rsidR="00BC6BF4" w:rsidRPr="00AC71F5">
        <w:rPr>
          <w:szCs w:val="24"/>
          <w:lang w:val="en-US"/>
        </w:rPr>
        <w:t xml:space="preserve"> </w:t>
      </w:r>
      <w:r w:rsidR="004F30C1">
        <w:rPr>
          <w:szCs w:val="24"/>
          <w:lang w:val="en-US"/>
        </w:rPr>
        <w:t>unique</w:t>
      </w:r>
      <w:r w:rsidR="00BC6BF4" w:rsidRPr="00AC71F5">
        <w:rPr>
          <w:szCs w:val="24"/>
          <w:lang w:val="en-US"/>
        </w:rPr>
        <w:t xml:space="preserve"> regulatory challenges depending on context,</w:t>
      </w:r>
      <w:r w:rsidR="00BC6BF4">
        <w:rPr>
          <w:szCs w:val="24"/>
          <w:lang w:val="en-US"/>
        </w:rPr>
        <w:t xml:space="preserve"> </w:t>
      </w:r>
      <w:r w:rsidR="00BC6BF4" w:rsidRPr="00AC71F5">
        <w:rPr>
          <w:szCs w:val="24"/>
          <w:lang w:val="en-US"/>
        </w:rPr>
        <w:t xml:space="preserve">the level of </w:t>
      </w:r>
      <w:r w:rsidR="00C81750">
        <w:rPr>
          <w:szCs w:val="24"/>
          <w:lang w:val="en-US"/>
        </w:rPr>
        <w:t xml:space="preserve">technical/economic </w:t>
      </w:r>
      <w:r w:rsidR="00BC6BF4" w:rsidRPr="00AC71F5">
        <w:rPr>
          <w:szCs w:val="24"/>
          <w:lang w:val="en-US"/>
        </w:rPr>
        <w:t xml:space="preserve">development of each </w:t>
      </w:r>
      <w:r w:rsidR="00BC6BF4">
        <w:rPr>
          <w:szCs w:val="24"/>
          <w:lang w:val="en-US"/>
        </w:rPr>
        <w:t xml:space="preserve">national </w:t>
      </w:r>
      <w:r w:rsidR="00BC6BF4" w:rsidRPr="00AC71F5">
        <w:rPr>
          <w:szCs w:val="24"/>
          <w:lang w:val="en-US"/>
        </w:rPr>
        <w:t xml:space="preserve">market, and the need for intervention/regulation in each country. </w:t>
      </w:r>
      <w:r w:rsidR="00B141B5">
        <w:rPr>
          <w:szCs w:val="24"/>
          <w:lang w:val="en-US"/>
        </w:rPr>
        <w:t xml:space="preserve">The ITRs are not </w:t>
      </w:r>
      <w:r w:rsidR="00BB6F50">
        <w:rPr>
          <w:szCs w:val="24"/>
          <w:lang w:val="en-US"/>
        </w:rPr>
        <w:t>effective</w:t>
      </w:r>
      <w:r w:rsidR="00B141B5">
        <w:rPr>
          <w:szCs w:val="24"/>
          <w:lang w:val="en-US"/>
        </w:rPr>
        <w:t xml:space="preserve"> to solve problems that have a limited scope</w:t>
      </w:r>
      <w:r>
        <w:rPr>
          <w:szCs w:val="24"/>
          <w:lang w:val="en-US"/>
        </w:rPr>
        <w:t xml:space="preserve"> and affect only some countries. The ITRs </w:t>
      </w:r>
      <w:r w:rsidR="00B017B6">
        <w:rPr>
          <w:szCs w:val="24"/>
          <w:lang w:val="en-US"/>
        </w:rPr>
        <w:t xml:space="preserve">should </w:t>
      </w:r>
      <w:r w:rsidR="00EF2D05">
        <w:rPr>
          <w:szCs w:val="24"/>
          <w:lang w:val="en-US"/>
        </w:rPr>
        <w:lastRenderedPageBreak/>
        <w:t>determine common rules</w:t>
      </w:r>
      <w:r>
        <w:rPr>
          <w:szCs w:val="24"/>
          <w:lang w:val="en-US"/>
        </w:rPr>
        <w:t xml:space="preserve"> </w:t>
      </w:r>
      <w:r w:rsidR="00A20B2F">
        <w:rPr>
          <w:szCs w:val="24"/>
          <w:lang w:val="en-US"/>
        </w:rPr>
        <w:t>to</w:t>
      </w:r>
      <w:r>
        <w:rPr>
          <w:szCs w:val="24"/>
          <w:lang w:val="en-US"/>
        </w:rPr>
        <w:t xml:space="preserve"> manage </w:t>
      </w:r>
      <w:r w:rsidR="00B017B6">
        <w:rPr>
          <w:szCs w:val="24"/>
          <w:lang w:val="en-US"/>
        </w:rPr>
        <w:t xml:space="preserve">the interdependence among </w:t>
      </w:r>
      <w:r w:rsidR="007F09A7">
        <w:rPr>
          <w:szCs w:val="24"/>
          <w:lang w:val="en-US"/>
        </w:rPr>
        <w:t xml:space="preserve">all </w:t>
      </w:r>
      <w:r w:rsidR="00B017B6">
        <w:rPr>
          <w:szCs w:val="24"/>
          <w:lang w:val="en-US"/>
        </w:rPr>
        <w:t>nations in the</w:t>
      </w:r>
      <w:r w:rsidR="00EF2D05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provision of telecommunication/ICTs</w:t>
      </w:r>
      <w:r w:rsidR="00BB6F50">
        <w:rPr>
          <w:szCs w:val="24"/>
          <w:lang w:val="en-US"/>
        </w:rPr>
        <w:t>, and</w:t>
      </w:r>
      <w:r w:rsidR="00B017B6">
        <w:rPr>
          <w:szCs w:val="24"/>
          <w:lang w:val="en-US"/>
        </w:rPr>
        <w:t xml:space="preserve"> should reflect the</w:t>
      </w:r>
      <w:r w:rsidR="007F09A7">
        <w:rPr>
          <w:szCs w:val="24"/>
          <w:lang w:val="en-US"/>
        </w:rPr>
        <w:t>se three</w:t>
      </w:r>
      <w:r w:rsidR="00B017B6">
        <w:rPr>
          <w:szCs w:val="24"/>
          <w:lang w:val="en-US"/>
        </w:rPr>
        <w:t xml:space="preserve"> commitment</w:t>
      </w:r>
      <w:r w:rsidR="007F09A7">
        <w:rPr>
          <w:szCs w:val="24"/>
          <w:lang w:val="en-US"/>
        </w:rPr>
        <w:t>s</w:t>
      </w:r>
      <w:r w:rsidR="00B017B6">
        <w:rPr>
          <w:szCs w:val="24"/>
          <w:lang w:val="en-US"/>
        </w:rPr>
        <w:t xml:space="preserve"> by signatories</w:t>
      </w:r>
      <w:r w:rsidR="00BB6F50">
        <w:rPr>
          <w:rStyle w:val="FootnoteReference"/>
          <w:szCs w:val="24"/>
          <w:lang w:val="en-US"/>
        </w:rPr>
        <w:footnoteReference w:id="1"/>
      </w:r>
      <w:r w:rsidR="00B017B6">
        <w:rPr>
          <w:szCs w:val="24"/>
          <w:lang w:val="en-US"/>
        </w:rPr>
        <w:t>:</w:t>
      </w:r>
    </w:p>
    <w:p w14:paraId="739320C8" w14:textId="1D71CA51" w:rsidR="00EF2D05" w:rsidRDefault="00B017B6" w:rsidP="004A3D93">
      <w:pPr>
        <w:pStyle w:val="ListParagraph"/>
        <w:numPr>
          <w:ilvl w:val="0"/>
          <w:numId w:val="6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contextualSpacing w:val="0"/>
        <w:rPr>
          <w:szCs w:val="24"/>
          <w:lang w:val="en-US"/>
        </w:rPr>
      </w:pPr>
      <w:r>
        <w:rPr>
          <w:szCs w:val="24"/>
          <w:lang w:val="en-US"/>
        </w:rPr>
        <w:t xml:space="preserve">to strengthen national-level management of cross-border spillovers (e.g., </w:t>
      </w:r>
      <w:r w:rsidR="009A752C">
        <w:rPr>
          <w:szCs w:val="24"/>
          <w:lang w:val="en-US"/>
        </w:rPr>
        <w:t xml:space="preserve">ICT-related </w:t>
      </w:r>
      <w:r w:rsidR="00CA0C52">
        <w:rPr>
          <w:szCs w:val="24"/>
          <w:lang w:val="en-US"/>
        </w:rPr>
        <w:t>intellectual property rights infringements)</w:t>
      </w:r>
      <w:r>
        <w:rPr>
          <w:szCs w:val="24"/>
          <w:lang w:val="en-US"/>
        </w:rPr>
        <w:t>;</w:t>
      </w:r>
    </w:p>
    <w:p w14:paraId="6E5D891F" w14:textId="6E6B4AC6" w:rsidR="00B017B6" w:rsidRDefault="00B017B6" w:rsidP="004A3D93">
      <w:pPr>
        <w:pStyle w:val="ListParagraph"/>
        <w:numPr>
          <w:ilvl w:val="0"/>
          <w:numId w:val="6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contextualSpacing w:val="0"/>
        <w:rPr>
          <w:szCs w:val="24"/>
          <w:lang w:val="en-US"/>
        </w:rPr>
      </w:pPr>
      <w:r>
        <w:rPr>
          <w:szCs w:val="24"/>
          <w:lang w:val="en-US"/>
        </w:rPr>
        <w:t>to protect a</w:t>
      </w:r>
      <w:r w:rsidR="00BB6F50">
        <w:rPr>
          <w:szCs w:val="24"/>
          <w:lang w:val="en-US"/>
        </w:rPr>
        <w:t>n</w:t>
      </w:r>
      <w:r>
        <w:rPr>
          <w:szCs w:val="24"/>
          <w:lang w:val="en-US"/>
        </w:rPr>
        <w:t>y state’s sovereignty if it comes under attack</w:t>
      </w:r>
      <w:r w:rsidR="00CA0C52">
        <w:rPr>
          <w:szCs w:val="24"/>
          <w:lang w:val="en-US"/>
        </w:rPr>
        <w:t xml:space="preserve"> (e.g., cyber-security threats)</w:t>
      </w:r>
      <w:r>
        <w:rPr>
          <w:szCs w:val="24"/>
          <w:lang w:val="en-US"/>
        </w:rPr>
        <w:t>;</w:t>
      </w:r>
    </w:p>
    <w:p w14:paraId="15625CD4" w14:textId="7614BAA1" w:rsidR="00B017B6" w:rsidRPr="00B017B6" w:rsidRDefault="00B017B6" w:rsidP="004A3D93">
      <w:pPr>
        <w:pStyle w:val="ListParagraph"/>
        <w:numPr>
          <w:ilvl w:val="0"/>
          <w:numId w:val="6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contextualSpacing w:val="0"/>
        <w:rPr>
          <w:szCs w:val="24"/>
          <w:lang w:val="en-US"/>
        </w:rPr>
      </w:pPr>
      <w:proofErr w:type="gramStart"/>
      <w:r>
        <w:rPr>
          <w:szCs w:val="24"/>
          <w:lang w:val="en-US"/>
        </w:rPr>
        <w:t>to</w:t>
      </w:r>
      <w:proofErr w:type="gramEnd"/>
      <w:r>
        <w:rPr>
          <w:szCs w:val="24"/>
          <w:lang w:val="en-US"/>
        </w:rPr>
        <w:t xml:space="preserve"> cooperate in </w:t>
      </w:r>
      <w:r w:rsidR="009A752C">
        <w:rPr>
          <w:szCs w:val="24"/>
          <w:lang w:val="en-US"/>
        </w:rPr>
        <w:t>mitigating</w:t>
      </w:r>
      <w:r>
        <w:rPr>
          <w:szCs w:val="24"/>
          <w:lang w:val="en-US"/>
        </w:rPr>
        <w:t xml:space="preserve"> global system risks</w:t>
      </w:r>
      <w:r w:rsidR="00A5119E">
        <w:rPr>
          <w:szCs w:val="24"/>
          <w:lang w:val="en-US"/>
        </w:rPr>
        <w:t xml:space="preserve"> </w:t>
      </w:r>
      <w:r w:rsidR="009A752C">
        <w:rPr>
          <w:szCs w:val="24"/>
          <w:lang w:val="en-US"/>
        </w:rPr>
        <w:t>(e.g.,</w:t>
      </w:r>
      <w:r w:rsidR="00374AA6">
        <w:rPr>
          <w:szCs w:val="24"/>
          <w:lang w:val="en-US"/>
        </w:rPr>
        <w:t xml:space="preserve"> </w:t>
      </w:r>
      <w:r w:rsidR="00BB6F50">
        <w:rPr>
          <w:szCs w:val="24"/>
          <w:lang w:val="en-US"/>
        </w:rPr>
        <w:t>failure of communications infrastructure</w:t>
      </w:r>
      <w:r w:rsidR="009A752C">
        <w:rPr>
          <w:szCs w:val="24"/>
          <w:lang w:val="en-US"/>
        </w:rPr>
        <w:t>).</w:t>
      </w:r>
    </w:p>
    <w:p w14:paraId="79900083" w14:textId="2CFB12EE" w:rsidR="00EF2D05" w:rsidRDefault="004F30C1" w:rsidP="004A3D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Cs w:val="24"/>
          <w:lang w:val="en-US"/>
        </w:rPr>
      </w:pPr>
      <w:r>
        <w:rPr>
          <w:szCs w:val="24"/>
          <w:lang w:val="en-US"/>
        </w:rPr>
        <w:t>For the ITRs to be applicable, Member States should be willing to commit to these three objectives of international cooperation.</w:t>
      </w:r>
    </w:p>
    <w:p w14:paraId="37FF34BA" w14:textId="62E29CA0" w:rsidR="00BB0D7E" w:rsidRDefault="004F30C1" w:rsidP="004A3D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Cs w:val="24"/>
          <w:lang w:val="en-US"/>
        </w:rPr>
      </w:pPr>
      <w:r>
        <w:rPr>
          <w:szCs w:val="24"/>
          <w:lang w:val="en-US"/>
        </w:rPr>
        <w:t xml:space="preserve">Regarding the </w:t>
      </w:r>
      <w:r w:rsidRPr="004F30C1">
        <w:rPr>
          <w:b/>
          <w:szCs w:val="24"/>
          <w:lang w:val="en-US"/>
        </w:rPr>
        <w:t>pace of innovation of telecommunication/ICTs</w:t>
      </w:r>
      <w:r>
        <w:rPr>
          <w:szCs w:val="24"/>
          <w:lang w:val="en-US"/>
        </w:rPr>
        <w:t>. Telecommunication/ICT</w:t>
      </w:r>
      <w:r w:rsidR="00FB2D69">
        <w:rPr>
          <w:szCs w:val="24"/>
          <w:lang w:val="en-US"/>
        </w:rPr>
        <w:t>s evolve at an incredible pace</w:t>
      </w:r>
      <w:r w:rsidR="00DB56FF">
        <w:rPr>
          <w:szCs w:val="24"/>
          <w:lang w:val="en-US"/>
        </w:rPr>
        <w:t xml:space="preserve">, and this evolution is </w:t>
      </w:r>
      <w:r w:rsidR="00BC6BF4">
        <w:rPr>
          <w:szCs w:val="24"/>
          <w:lang w:val="en-US"/>
        </w:rPr>
        <w:t>frequently</w:t>
      </w:r>
      <w:r w:rsidR="00BC6BF4" w:rsidRPr="00AC71F5">
        <w:rPr>
          <w:szCs w:val="24"/>
          <w:lang w:val="en-US"/>
        </w:rPr>
        <w:t xml:space="preserve"> creating new regulatory challenges</w:t>
      </w:r>
      <w:r w:rsidR="00FF6EA2">
        <w:rPr>
          <w:szCs w:val="24"/>
          <w:lang w:val="en-US"/>
        </w:rPr>
        <w:t xml:space="preserve"> and </w:t>
      </w:r>
      <w:r w:rsidR="00DB56FF">
        <w:rPr>
          <w:szCs w:val="24"/>
          <w:lang w:val="en-US"/>
        </w:rPr>
        <w:t xml:space="preserve">even </w:t>
      </w:r>
      <w:r w:rsidR="00FF6EA2">
        <w:rPr>
          <w:szCs w:val="24"/>
          <w:lang w:val="en-US"/>
        </w:rPr>
        <w:t>new industries.</w:t>
      </w:r>
      <w:r w:rsidR="00DB56FF">
        <w:rPr>
          <w:szCs w:val="24"/>
          <w:lang w:val="en-US"/>
        </w:rPr>
        <w:t xml:space="preserve"> The rules governing this dynamic sector should </w:t>
      </w:r>
      <w:r w:rsidR="006A7C68">
        <w:rPr>
          <w:szCs w:val="24"/>
          <w:lang w:val="en-US"/>
        </w:rPr>
        <w:t>remain</w:t>
      </w:r>
      <w:r w:rsidR="00DB56FF">
        <w:rPr>
          <w:szCs w:val="24"/>
          <w:lang w:val="en-US"/>
        </w:rPr>
        <w:t xml:space="preserve"> relevant independent of the fast pace of innovation, meaning that they </w:t>
      </w:r>
      <w:r w:rsidR="00BB0D7E">
        <w:rPr>
          <w:szCs w:val="24"/>
          <w:lang w:val="en-US"/>
        </w:rPr>
        <w:t xml:space="preserve">should </w:t>
      </w:r>
      <w:r w:rsidR="00DB56FF">
        <w:rPr>
          <w:szCs w:val="24"/>
          <w:lang w:val="en-US"/>
        </w:rPr>
        <w:t xml:space="preserve">govern features that do not change </w:t>
      </w:r>
      <w:r w:rsidR="00BB0D7E">
        <w:rPr>
          <w:szCs w:val="24"/>
          <w:lang w:val="en-US"/>
        </w:rPr>
        <w:t>so much</w:t>
      </w:r>
      <w:r w:rsidR="00A90C8D">
        <w:rPr>
          <w:szCs w:val="24"/>
          <w:lang w:val="en-US"/>
        </w:rPr>
        <w:t xml:space="preserve"> </w:t>
      </w:r>
      <w:r w:rsidR="0050398E">
        <w:rPr>
          <w:szCs w:val="24"/>
          <w:lang w:val="en-US"/>
        </w:rPr>
        <w:t>over</w:t>
      </w:r>
      <w:r w:rsidR="00BB0D7E">
        <w:rPr>
          <w:szCs w:val="24"/>
          <w:lang w:val="en-US"/>
        </w:rPr>
        <w:t xml:space="preserve"> time</w:t>
      </w:r>
      <w:r w:rsidR="00DB56FF">
        <w:rPr>
          <w:szCs w:val="24"/>
          <w:lang w:val="en-US"/>
        </w:rPr>
        <w:t>.</w:t>
      </w:r>
      <w:r w:rsidR="00BB0D7E">
        <w:rPr>
          <w:szCs w:val="24"/>
          <w:lang w:val="en-US"/>
        </w:rPr>
        <w:t xml:space="preserve"> </w:t>
      </w:r>
    </w:p>
    <w:p w14:paraId="301922B7" w14:textId="40874DA6" w:rsidR="00BB0D7E" w:rsidRDefault="00BB0D7E" w:rsidP="004A3D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Cs w:val="24"/>
          <w:lang w:val="en-US"/>
        </w:rPr>
      </w:pPr>
      <w:r>
        <w:rPr>
          <w:szCs w:val="24"/>
          <w:lang w:val="en-US"/>
        </w:rPr>
        <w:t xml:space="preserve">WCIT-12 was held 24 years after WATTC-88. Official calls for another Conference started less than ten years after WATCC-88, </w:t>
      </w:r>
      <w:r w:rsidR="00A90C8D">
        <w:rPr>
          <w:szCs w:val="24"/>
          <w:lang w:val="en-US"/>
        </w:rPr>
        <w:t>and</w:t>
      </w:r>
      <w:r>
        <w:rPr>
          <w:szCs w:val="24"/>
          <w:lang w:val="en-US"/>
        </w:rPr>
        <w:t xml:space="preserve"> officially at PP-98 </w:t>
      </w:r>
      <w:r w:rsidR="00A90C8D">
        <w:rPr>
          <w:szCs w:val="24"/>
          <w:lang w:val="en-US"/>
        </w:rPr>
        <w:t xml:space="preserve">with </w:t>
      </w:r>
      <w:r>
        <w:rPr>
          <w:szCs w:val="24"/>
          <w:lang w:val="en-US"/>
        </w:rPr>
        <w:t>the approval of Resolution 79. It then took more than 14 years for WCIT-12 to take place, and the new ITRs only entered into force in 2015</w:t>
      </w:r>
      <w:r w:rsidR="005B1AD8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for the </w:t>
      </w:r>
      <w:r w:rsidR="00A90C8D">
        <w:rPr>
          <w:szCs w:val="24"/>
          <w:lang w:val="en-US"/>
        </w:rPr>
        <w:t xml:space="preserve">89 </w:t>
      </w:r>
      <w:r>
        <w:rPr>
          <w:szCs w:val="24"/>
          <w:lang w:val="en-US"/>
        </w:rPr>
        <w:t>signatories.</w:t>
      </w:r>
    </w:p>
    <w:p w14:paraId="2DD64DE6" w14:textId="12A841EB" w:rsidR="00BC6BF4" w:rsidRDefault="0050398E" w:rsidP="004A3D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Cs w:val="24"/>
          <w:lang w:val="en-US"/>
        </w:rPr>
      </w:pPr>
      <w:r>
        <w:rPr>
          <w:szCs w:val="24"/>
          <w:lang w:val="en-US"/>
        </w:rPr>
        <w:t xml:space="preserve">For the ITRs to be effective, they must endure the long gap between WCITs, and/or </w:t>
      </w:r>
      <w:r w:rsidR="00BB0D7E">
        <w:rPr>
          <w:szCs w:val="24"/>
          <w:lang w:val="en-US"/>
        </w:rPr>
        <w:t xml:space="preserve">govern elements </w:t>
      </w:r>
      <w:r>
        <w:rPr>
          <w:szCs w:val="24"/>
          <w:lang w:val="en-US"/>
        </w:rPr>
        <w:t xml:space="preserve">and principles of telecommunications/ICTs </w:t>
      </w:r>
      <w:r w:rsidR="00BB0D7E">
        <w:rPr>
          <w:szCs w:val="24"/>
          <w:lang w:val="en-US"/>
        </w:rPr>
        <w:t xml:space="preserve">that do not change so </w:t>
      </w:r>
      <w:r w:rsidR="00A90C8D">
        <w:rPr>
          <w:szCs w:val="24"/>
          <w:lang w:val="en-US"/>
        </w:rPr>
        <w:t>much</w:t>
      </w:r>
      <w:r>
        <w:rPr>
          <w:szCs w:val="24"/>
          <w:lang w:val="en-US"/>
        </w:rPr>
        <w:t xml:space="preserve"> over time.</w:t>
      </w:r>
    </w:p>
    <w:p w14:paraId="2468C4AA" w14:textId="77777777" w:rsidR="00700912" w:rsidRPr="00700912" w:rsidRDefault="00700912" w:rsidP="004A3D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rPr>
          <w:b/>
          <w:szCs w:val="24"/>
          <w:lang w:val="en-US"/>
        </w:rPr>
      </w:pPr>
      <w:r w:rsidRPr="00700912">
        <w:rPr>
          <w:b/>
          <w:szCs w:val="24"/>
          <w:lang w:val="en-US"/>
        </w:rPr>
        <w:t>Need for periodic review of the ITRs</w:t>
      </w:r>
    </w:p>
    <w:p w14:paraId="2E2019CF" w14:textId="2A9F8A9B" w:rsidR="0050398E" w:rsidRDefault="0050398E" w:rsidP="004A3D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Cs w:val="24"/>
          <w:lang w:val="en-US"/>
        </w:rPr>
      </w:pPr>
      <w:r>
        <w:rPr>
          <w:szCs w:val="24"/>
          <w:lang w:val="en-US"/>
        </w:rPr>
        <w:t xml:space="preserve">As </w:t>
      </w:r>
      <w:r w:rsidR="00835844">
        <w:rPr>
          <w:szCs w:val="24"/>
          <w:lang w:val="en-US"/>
        </w:rPr>
        <w:t xml:space="preserve">one of the key </w:t>
      </w:r>
      <w:r>
        <w:rPr>
          <w:szCs w:val="24"/>
          <w:lang w:val="en-US"/>
        </w:rPr>
        <w:t>instrument</w:t>
      </w:r>
      <w:r w:rsidR="00835844">
        <w:rPr>
          <w:szCs w:val="24"/>
          <w:lang w:val="en-US"/>
        </w:rPr>
        <w:t>s</w:t>
      </w:r>
      <w:r>
        <w:rPr>
          <w:szCs w:val="24"/>
          <w:lang w:val="en-US"/>
        </w:rPr>
        <w:t xml:space="preserve"> of the Union, the ITRs should be </w:t>
      </w:r>
      <w:r w:rsidR="00835844">
        <w:rPr>
          <w:szCs w:val="24"/>
          <w:lang w:val="en-US"/>
        </w:rPr>
        <w:t>frequently</w:t>
      </w:r>
      <w:r>
        <w:rPr>
          <w:szCs w:val="24"/>
          <w:lang w:val="en-US"/>
        </w:rPr>
        <w:t xml:space="preserve"> reviewed by the affected parties</w:t>
      </w:r>
      <w:r w:rsidR="00835844">
        <w:rPr>
          <w:szCs w:val="24"/>
          <w:lang w:val="en-US"/>
        </w:rPr>
        <w:t xml:space="preserve"> and the ITU. The review should examine the applicability of the ITRs in the short, medium, and long term, according to the applicability </w:t>
      </w:r>
      <w:r w:rsidR="00A90C8D">
        <w:rPr>
          <w:szCs w:val="24"/>
          <w:lang w:val="en-US"/>
        </w:rPr>
        <w:t>criteria</w:t>
      </w:r>
      <w:r w:rsidR="00835844">
        <w:rPr>
          <w:szCs w:val="24"/>
          <w:lang w:val="en-US"/>
        </w:rPr>
        <w:t xml:space="preserve"> described above.</w:t>
      </w:r>
    </w:p>
    <w:p w14:paraId="1A127001" w14:textId="27A2C02E" w:rsidR="00700912" w:rsidRDefault="00835844" w:rsidP="004A3D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Cs w:val="24"/>
          <w:lang w:val="en-US"/>
        </w:rPr>
      </w:pPr>
      <w:r>
        <w:rPr>
          <w:szCs w:val="24"/>
          <w:lang w:val="en-US"/>
        </w:rPr>
        <w:t xml:space="preserve">This however should not translate to the creation of formal groups at the ITU Council or ITU-T, and in the consequent financial and opportunity costs for all involved. Council and ITU-T’s mandates already allow for an ongoing review of the ITRs. </w:t>
      </w:r>
      <w:r w:rsidR="00700912" w:rsidRPr="00AC71F5">
        <w:rPr>
          <w:szCs w:val="24"/>
          <w:lang w:val="en-US"/>
        </w:rPr>
        <w:t xml:space="preserve">The </w:t>
      </w:r>
      <w:r w:rsidR="00260DA9">
        <w:rPr>
          <w:szCs w:val="24"/>
          <w:lang w:val="en-US"/>
        </w:rPr>
        <w:t xml:space="preserve">ITU Council and ITU-T could examine the need for a review of the ITRs and a new WCIT </w:t>
      </w:r>
      <w:r>
        <w:rPr>
          <w:szCs w:val="24"/>
          <w:lang w:val="en-US"/>
        </w:rPr>
        <w:t>upon Member’s contributions, without the need to maintain formal working groups.</w:t>
      </w:r>
    </w:p>
    <w:p w14:paraId="438BE0F7" w14:textId="29B36BAB" w:rsidR="0004009A" w:rsidRPr="00AC71F5" w:rsidRDefault="0004009A" w:rsidP="004A3D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Cs w:val="24"/>
          <w:lang w:val="en-US"/>
        </w:rPr>
      </w:pPr>
      <w:r>
        <w:rPr>
          <w:szCs w:val="24"/>
          <w:lang w:val="en-US"/>
        </w:rPr>
        <w:t>The ITU (</w:t>
      </w:r>
      <w:proofErr w:type="spellStart"/>
      <w:r>
        <w:rPr>
          <w:szCs w:val="24"/>
          <w:lang w:val="en-US"/>
        </w:rPr>
        <w:t>i.e</w:t>
      </w:r>
      <w:proofErr w:type="spellEnd"/>
      <w:r>
        <w:rPr>
          <w:szCs w:val="24"/>
          <w:lang w:val="en-US"/>
        </w:rPr>
        <w:t xml:space="preserve">, Council or ITU-T) could maintain a living document with proposals for the revision of ITRs. When this document reaches a mature level of consensus and development, Council could examine the possibility of </w:t>
      </w:r>
      <w:r w:rsidR="00A90C8D">
        <w:rPr>
          <w:szCs w:val="24"/>
          <w:lang w:val="en-US"/>
        </w:rPr>
        <w:t xml:space="preserve">formally </w:t>
      </w:r>
      <w:r>
        <w:rPr>
          <w:szCs w:val="24"/>
          <w:lang w:val="en-US"/>
        </w:rPr>
        <w:t>revising the ITRs.</w:t>
      </w:r>
    </w:p>
    <w:p w14:paraId="7C0A5371" w14:textId="183A4F6D" w:rsidR="00260DA9" w:rsidRPr="00DC600D" w:rsidRDefault="00260DA9" w:rsidP="004A3D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rPr>
          <w:b/>
          <w:szCs w:val="24"/>
          <w:lang w:val="en-US"/>
        </w:rPr>
      </w:pPr>
      <w:r w:rsidRPr="00DC600D">
        <w:rPr>
          <w:b/>
          <w:szCs w:val="24"/>
          <w:lang w:val="en-US"/>
        </w:rPr>
        <w:t xml:space="preserve">The </w:t>
      </w:r>
      <w:r w:rsidR="00DC600D">
        <w:rPr>
          <w:b/>
          <w:szCs w:val="24"/>
          <w:lang w:val="en-US"/>
        </w:rPr>
        <w:t>cost-benefits of</w:t>
      </w:r>
      <w:r w:rsidRPr="00DC600D">
        <w:rPr>
          <w:b/>
          <w:szCs w:val="24"/>
          <w:lang w:val="en-US"/>
        </w:rPr>
        <w:t xml:space="preserve"> holding a new WCIT</w:t>
      </w:r>
    </w:p>
    <w:p w14:paraId="0042A039" w14:textId="689F9EBF" w:rsidR="00B13059" w:rsidRPr="00AC71F5" w:rsidRDefault="00B13059" w:rsidP="004A3D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Cs w:val="24"/>
          <w:lang w:val="en-US"/>
        </w:rPr>
      </w:pPr>
      <w:r w:rsidRPr="00AC71F5">
        <w:rPr>
          <w:szCs w:val="24"/>
          <w:lang w:val="en-US"/>
        </w:rPr>
        <w:t xml:space="preserve">The process of </w:t>
      </w:r>
      <w:r w:rsidR="00DC600D">
        <w:rPr>
          <w:szCs w:val="24"/>
          <w:lang w:val="en-US"/>
        </w:rPr>
        <w:t>revising</w:t>
      </w:r>
      <w:r w:rsidRPr="00AC71F5">
        <w:rPr>
          <w:szCs w:val="24"/>
          <w:lang w:val="en-US"/>
        </w:rPr>
        <w:t xml:space="preserve"> the </w:t>
      </w:r>
      <w:r w:rsidR="00DC600D">
        <w:rPr>
          <w:szCs w:val="24"/>
          <w:lang w:val="en-US"/>
        </w:rPr>
        <w:t>ITRs</w:t>
      </w:r>
      <w:r w:rsidRPr="00AC71F5">
        <w:rPr>
          <w:szCs w:val="24"/>
          <w:lang w:val="en-US"/>
        </w:rPr>
        <w:t xml:space="preserve"> in 2011/2012 was highly </w:t>
      </w:r>
      <w:r w:rsidR="00DC600D" w:rsidRPr="00AC71F5">
        <w:rPr>
          <w:szCs w:val="24"/>
          <w:lang w:val="en-US"/>
        </w:rPr>
        <w:t>contentious</w:t>
      </w:r>
      <w:r w:rsidRPr="00AC71F5">
        <w:rPr>
          <w:szCs w:val="24"/>
          <w:lang w:val="en-US"/>
        </w:rPr>
        <w:t xml:space="preserve"> </w:t>
      </w:r>
      <w:r w:rsidR="00DC600D">
        <w:rPr>
          <w:szCs w:val="24"/>
          <w:lang w:val="en-US"/>
        </w:rPr>
        <w:t>among the parties</w:t>
      </w:r>
      <w:r w:rsidRPr="00AC71F5">
        <w:rPr>
          <w:szCs w:val="24"/>
          <w:lang w:val="en-US"/>
        </w:rPr>
        <w:t xml:space="preserve"> </w:t>
      </w:r>
      <w:r w:rsidR="00DC600D">
        <w:rPr>
          <w:szCs w:val="24"/>
          <w:lang w:val="en-US"/>
        </w:rPr>
        <w:t>defending Views 1 and 2</w:t>
      </w:r>
      <w:r w:rsidRPr="00AC71F5">
        <w:rPr>
          <w:szCs w:val="24"/>
          <w:lang w:val="en-US"/>
        </w:rPr>
        <w:t xml:space="preserve"> described above, from the preparation process in the Council Working Group to the end of </w:t>
      </w:r>
      <w:r w:rsidR="00DC600D">
        <w:rPr>
          <w:szCs w:val="24"/>
          <w:lang w:val="en-US"/>
        </w:rPr>
        <w:t>WCIT-12</w:t>
      </w:r>
      <w:r w:rsidRPr="00AC71F5">
        <w:rPr>
          <w:szCs w:val="24"/>
          <w:lang w:val="en-US"/>
        </w:rPr>
        <w:t xml:space="preserve">. Consensus was only achieved </w:t>
      </w:r>
      <w:r w:rsidR="00DC600D">
        <w:rPr>
          <w:szCs w:val="24"/>
          <w:lang w:val="en-US"/>
        </w:rPr>
        <w:t>in specific points by softening</w:t>
      </w:r>
      <w:r w:rsidRPr="00AC71F5">
        <w:rPr>
          <w:szCs w:val="24"/>
          <w:lang w:val="en-US"/>
        </w:rPr>
        <w:t xml:space="preserve"> the </w:t>
      </w:r>
      <w:r w:rsidR="006A7C68">
        <w:rPr>
          <w:szCs w:val="24"/>
          <w:lang w:val="en-US"/>
        </w:rPr>
        <w:t xml:space="preserve">treaty </w:t>
      </w:r>
      <w:r w:rsidRPr="00AC71F5">
        <w:rPr>
          <w:szCs w:val="24"/>
          <w:lang w:val="en-US"/>
        </w:rPr>
        <w:t xml:space="preserve">language in </w:t>
      </w:r>
      <w:r w:rsidR="00DC600D">
        <w:rPr>
          <w:szCs w:val="24"/>
          <w:lang w:val="en-US"/>
        </w:rPr>
        <w:lastRenderedPageBreak/>
        <w:t xml:space="preserve">the most </w:t>
      </w:r>
      <w:r w:rsidR="006A7C68">
        <w:rPr>
          <w:szCs w:val="24"/>
          <w:lang w:val="en-US"/>
        </w:rPr>
        <w:t>crucial</w:t>
      </w:r>
      <w:r w:rsidR="00DC600D">
        <w:rPr>
          <w:szCs w:val="24"/>
          <w:lang w:val="en-US"/>
        </w:rPr>
        <w:t xml:space="preserve"> </w:t>
      </w:r>
      <w:r w:rsidRPr="00AC71F5">
        <w:rPr>
          <w:szCs w:val="24"/>
          <w:lang w:val="en-US"/>
        </w:rPr>
        <w:t xml:space="preserve">articles and subsections, </w:t>
      </w:r>
      <w:r w:rsidR="00DC600D">
        <w:rPr>
          <w:szCs w:val="24"/>
          <w:lang w:val="en-US"/>
        </w:rPr>
        <w:t>resulting in</w:t>
      </w:r>
      <w:r w:rsidRPr="00AC71F5">
        <w:rPr>
          <w:szCs w:val="24"/>
          <w:lang w:val="en-US"/>
        </w:rPr>
        <w:t xml:space="preserve"> provisions </w:t>
      </w:r>
      <w:r w:rsidR="00DC600D">
        <w:rPr>
          <w:szCs w:val="24"/>
          <w:lang w:val="en-US"/>
        </w:rPr>
        <w:t>that a</w:t>
      </w:r>
      <w:r w:rsidRPr="00AC71F5">
        <w:rPr>
          <w:szCs w:val="24"/>
          <w:lang w:val="en-US"/>
        </w:rPr>
        <w:t xml:space="preserve">re practically optional to </w:t>
      </w:r>
      <w:r w:rsidR="00DC600D">
        <w:rPr>
          <w:szCs w:val="24"/>
          <w:lang w:val="en-US"/>
        </w:rPr>
        <w:t>the signatories</w:t>
      </w:r>
      <w:r w:rsidRPr="00AC71F5">
        <w:rPr>
          <w:szCs w:val="24"/>
          <w:lang w:val="en-US"/>
        </w:rPr>
        <w:t>.</w:t>
      </w:r>
      <w:r w:rsidR="00DC600D">
        <w:rPr>
          <w:szCs w:val="24"/>
          <w:lang w:val="en-US"/>
        </w:rPr>
        <w:t xml:space="preserve"> This represents the </w:t>
      </w:r>
      <w:r w:rsidR="00AF1D60">
        <w:rPr>
          <w:szCs w:val="24"/>
          <w:lang w:val="en-US"/>
        </w:rPr>
        <w:t xml:space="preserve">outcomes, or the </w:t>
      </w:r>
      <w:r w:rsidR="00DC600D">
        <w:rPr>
          <w:szCs w:val="24"/>
          <w:lang w:val="en-US"/>
        </w:rPr>
        <w:t>benefits</w:t>
      </w:r>
      <w:r w:rsidR="00A90C8D">
        <w:rPr>
          <w:szCs w:val="24"/>
          <w:lang w:val="en-US"/>
        </w:rPr>
        <w:t xml:space="preserve"> of WCIT-12.</w:t>
      </w:r>
    </w:p>
    <w:p w14:paraId="17096A53" w14:textId="35FC0756" w:rsidR="00B13059" w:rsidRDefault="00DC600D" w:rsidP="004A3D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Cs w:val="24"/>
          <w:lang w:val="en-US"/>
        </w:rPr>
      </w:pPr>
      <w:r>
        <w:rPr>
          <w:szCs w:val="24"/>
          <w:lang w:val="en-US"/>
        </w:rPr>
        <w:t>M</w:t>
      </w:r>
      <w:r w:rsidR="00B13059" w:rsidRPr="00AC71F5">
        <w:rPr>
          <w:szCs w:val="24"/>
          <w:lang w:val="en-US"/>
        </w:rPr>
        <w:t xml:space="preserve">ore than 2,000 delegates participated in </w:t>
      </w:r>
      <w:r>
        <w:rPr>
          <w:szCs w:val="24"/>
          <w:lang w:val="en-US"/>
        </w:rPr>
        <w:t>WCIT</w:t>
      </w:r>
      <w:r w:rsidR="00B13059" w:rsidRPr="00AC71F5">
        <w:rPr>
          <w:szCs w:val="24"/>
          <w:lang w:val="en-US"/>
        </w:rPr>
        <w:t xml:space="preserve">-12. </w:t>
      </w:r>
      <w:r w:rsidR="006A7C68">
        <w:rPr>
          <w:szCs w:val="24"/>
          <w:lang w:val="en-US"/>
        </w:rPr>
        <w:t>It held</w:t>
      </w:r>
      <w:r w:rsidR="00B13059" w:rsidRPr="00AC71F5">
        <w:rPr>
          <w:szCs w:val="24"/>
          <w:lang w:val="en-US"/>
        </w:rPr>
        <w:t xml:space="preserve"> </w:t>
      </w:r>
      <w:r>
        <w:rPr>
          <w:szCs w:val="24"/>
          <w:lang w:val="en-US"/>
        </w:rPr>
        <w:t>13</w:t>
      </w:r>
      <w:r w:rsidR="00B13059" w:rsidRPr="00AC71F5">
        <w:rPr>
          <w:szCs w:val="24"/>
          <w:lang w:val="en-US"/>
        </w:rPr>
        <w:t xml:space="preserve"> days of meetings at a cost of CHF</w:t>
      </w:r>
      <w:r w:rsidR="004A3D93">
        <w:rPr>
          <w:szCs w:val="24"/>
          <w:lang w:val="en-US"/>
        </w:rPr>
        <w:t> </w:t>
      </w:r>
      <w:r w:rsidR="00B13059" w:rsidRPr="00AC71F5">
        <w:rPr>
          <w:szCs w:val="24"/>
          <w:lang w:val="en-US"/>
        </w:rPr>
        <w:t xml:space="preserve">1.9 million (CHF 147,000 per day). PP-14 cost the same, CHF 1.9 million, but it </w:t>
      </w:r>
      <w:r>
        <w:rPr>
          <w:szCs w:val="24"/>
          <w:lang w:val="en-US"/>
        </w:rPr>
        <w:t>was held during</w:t>
      </w:r>
      <w:r w:rsidR="00B13059" w:rsidRPr="00AC71F5">
        <w:rPr>
          <w:szCs w:val="24"/>
          <w:lang w:val="en-US"/>
        </w:rPr>
        <w:t xml:space="preserve"> three weeks (CHF 95</w:t>
      </w:r>
      <w:r>
        <w:rPr>
          <w:szCs w:val="24"/>
          <w:lang w:val="en-US"/>
        </w:rPr>
        <w:t xml:space="preserve">,000 </w:t>
      </w:r>
      <w:r w:rsidR="00B13059" w:rsidRPr="00AC71F5">
        <w:rPr>
          <w:szCs w:val="24"/>
          <w:lang w:val="en-US"/>
        </w:rPr>
        <w:t xml:space="preserve">per day). The total cost of </w:t>
      </w:r>
      <w:r>
        <w:rPr>
          <w:szCs w:val="24"/>
          <w:lang w:val="en-US"/>
        </w:rPr>
        <w:t>WCIT</w:t>
      </w:r>
      <w:r w:rsidR="00B13059" w:rsidRPr="00AC71F5">
        <w:rPr>
          <w:szCs w:val="24"/>
          <w:lang w:val="en-US"/>
        </w:rPr>
        <w:t xml:space="preserve"> should include the preparatory meetings, the </w:t>
      </w:r>
      <w:r w:rsidR="00A90C8D">
        <w:rPr>
          <w:szCs w:val="24"/>
          <w:lang w:val="en-US"/>
        </w:rPr>
        <w:t>pre-WCIT</w:t>
      </w:r>
      <w:r w:rsidR="00A90C8D" w:rsidRPr="00AC71F5">
        <w:rPr>
          <w:szCs w:val="24"/>
          <w:lang w:val="en-US"/>
        </w:rPr>
        <w:t xml:space="preserve"> </w:t>
      </w:r>
      <w:r w:rsidR="00B13059" w:rsidRPr="00AC71F5">
        <w:rPr>
          <w:szCs w:val="24"/>
          <w:lang w:val="en-US"/>
        </w:rPr>
        <w:t>costs of the host country,</w:t>
      </w:r>
      <w:r w:rsidR="006A7C68">
        <w:rPr>
          <w:szCs w:val="24"/>
          <w:lang w:val="en-US"/>
        </w:rPr>
        <w:t xml:space="preserve"> and</w:t>
      </w:r>
      <w:r w:rsidR="00B13059" w:rsidRPr="00AC71F5">
        <w:rPr>
          <w:szCs w:val="24"/>
          <w:lang w:val="en-US"/>
        </w:rPr>
        <w:t xml:space="preserve"> the travel costs of all delegations</w:t>
      </w:r>
      <w:r>
        <w:rPr>
          <w:szCs w:val="24"/>
          <w:lang w:val="en-US"/>
        </w:rPr>
        <w:t xml:space="preserve"> and </w:t>
      </w:r>
      <w:r w:rsidR="00A90C8D">
        <w:rPr>
          <w:szCs w:val="24"/>
          <w:lang w:val="en-US"/>
        </w:rPr>
        <w:t>all</w:t>
      </w:r>
      <w:r>
        <w:rPr>
          <w:szCs w:val="24"/>
          <w:lang w:val="en-US"/>
        </w:rPr>
        <w:t xml:space="preserve"> people involved</w:t>
      </w:r>
      <w:r w:rsidR="00B13059" w:rsidRPr="00AC71F5">
        <w:rPr>
          <w:szCs w:val="24"/>
          <w:lang w:val="en-US"/>
        </w:rPr>
        <w:t xml:space="preserve">. There </w:t>
      </w:r>
      <w:r>
        <w:rPr>
          <w:szCs w:val="24"/>
          <w:lang w:val="en-US"/>
        </w:rPr>
        <w:t>we</w:t>
      </w:r>
      <w:r w:rsidR="00B13059" w:rsidRPr="00AC71F5">
        <w:rPr>
          <w:szCs w:val="24"/>
          <w:lang w:val="en-US"/>
        </w:rPr>
        <w:t xml:space="preserve">re also significant opportunity costs </w:t>
      </w:r>
      <w:r>
        <w:rPr>
          <w:szCs w:val="24"/>
          <w:lang w:val="en-US"/>
        </w:rPr>
        <w:t>for the ITU and all parties involved</w:t>
      </w:r>
      <w:r w:rsidR="00A90C8D">
        <w:rPr>
          <w:szCs w:val="24"/>
          <w:lang w:val="en-US"/>
        </w:rPr>
        <w:t xml:space="preserve"> (</w:t>
      </w:r>
      <w:r w:rsidR="006A7C68">
        <w:rPr>
          <w:szCs w:val="24"/>
          <w:lang w:val="en-US"/>
        </w:rPr>
        <w:t xml:space="preserve">i.e., </w:t>
      </w:r>
      <w:r w:rsidR="00B13059" w:rsidRPr="00AC71F5">
        <w:rPr>
          <w:szCs w:val="24"/>
          <w:lang w:val="en-US"/>
        </w:rPr>
        <w:t xml:space="preserve">not using the budget and time allocated to </w:t>
      </w:r>
      <w:r>
        <w:rPr>
          <w:szCs w:val="24"/>
          <w:lang w:val="en-US"/>
        </w:rPr>
        <w:t>WCIT-12</w:t>
      </w:r>
      <w:r w:rsidR="00B13059" w:rsidRPr="00AC71F5">
        <w:rPr>
          <w:szCs w:val="24"/>
          <w:lang w:val="en-US"/>
        </w:rPr>
        <w:t xml:space="preserve"> for other activities</w:t>
      </w:r>
      <w:r w:rsidR="00A90C8D">
        <w:rPr>
          <w:szCs w:val="24"/>
          <w:lang w:val="en-US"/>
        </w:rPr>
        <w:t>)</w:t>
      </w:r>
      <w:r w:rsidR="00B13059" w:rsidRPr="00AC71F5">
        <w:rPr>
          <w:szCs w:val="24"/>
          <w:lang w:val="en-US"/>
        </w:rPr>
        <w:t>.</w:t>
      </w:r>
      <w:r w:rsidR="00581EB8">
        <w:rPr>
          <w:szCs w:val="24"/>
          <w:lang w:val="en-US"/>
        </w:rPr>
        <w:t xml:space="preserve"> </w:t>
      </w:r>
      <w:r w:rsidR="00AF1D60">
        <w:rPr>
          <w:szCs w:val="24"/>
          <w:lang w:val="en-US"/>
        </w:rPr>
        <w:t xml:space="preserve">Brazil, for example, held weekly four-hour multi-stakeholder meetings for one year prior to WCIT-12 in preparation for </w:t>
      </w:r>
      <w:r w:rsidR="006A7C68">
        <w:rPr>
          <w:szCs w:val="24"/>
          <w:lang w:val="en-US"/>
        </w:rPr>
        <w:t>the Conference</w:t>
      </w:r>
      <w:r w:rsidR="00AF1D60">
        <w:rPr>
          <w:szCs w:val="24"/>
          <w:lang w:val="en-US"/>
        </w:rPr>
        <w:t>. This represents the costs.</w:t>
      </w:r>
    </w:p>
    <w:p w14:paraId="29B4C49A" w14:textId="24B0F621" w:rsidR="00AF1D60" w:rsidRDefault="00AF1D60" w:rsidP="004A3D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Cs w:val="24"/>
          <w:lang w:val="en-US"/>
        </w:rPr>
      </w:pPr>
      <w:r>
        <w:rPr>
          <w:szCs w:val="24"/>
          <w:lang w:val="en-US"/>
        </w:rPr>
        <w:t xml:space="preserve">A new WCIT should only be held if </w:t>
      </w:r>
      <w:r w:rsidR="006A7C68">
        <w:rPr>
          <w:szCs w:val="24"/>
          <w:lang w:val="en-US"/>
        </w:rPr>
        <w:t>its</w:t>
      </w:r>
      <w:r>
        <w:rPr>
          <w:szCs w:val="24"/>
          <w:lang w:val="en-US"/>
        </w:rPr>
        <w:t xml:space="preserve"> outcomes produce concrete results </w:t>
      </w:r>
      <w:r w:rsidR="004A196C">
        <w:rPr>
          <w:szCs w:val="24"/>
          <w:lang w:val="en-US"/>
        </w:rPr>
        <w:t xml:space="preserve">in the telecommunication/ICT market </w:t>
      </w:r>
      <w:r>
        <w:rPr>
          <w:szCs w:val="24"/>
          <w:lang w:val="en-US"/>
        </w:rPr>
        <w:t>that compensate for the financial and opportunity costs of holding a new WCIT.</w:t>
      </w:r>
    </w:p>
    <w:p w14:paraId="297006D2" w14:textId="50B88652" w:rsidR="004A196C" w:rsidRPr="004A196C" w:rsidRDefault="004A196C" w:rsidP="004A3D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rPr>
          <w:b/>
          <w:szCs w:val="24"/>
          <w:lang w:val="en-US"/>
        </w:rPr>
      </w:pPr>
      <w:r w:rsidRPr="004A196C">
        <w:rPr>
          <w:b/>
          <w:szCs w:val="24"/>
          <w:lang w:val="en-US"/>
        </w:rPr>
        <w:t>The impacts on international cooperation and ITU's reputation</w:t>
      </w:r>
    </w:p>
    <w:p w14:paraId="5F40ADCC" w14:textId="6A21BE49" w:rsidR="00B13059" w:rsidRPr="00AC71F5" w:rsidRDefault="00B13059" w:rsidP="004A3D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Cs w:val="24"/>
          <w:lang w:val="en-US"/>
        </w:rPr>
      </w:pPr>
      <w:r w:rsidRPr="00AC71F5">
        <w:rPr>
          <w:szCs w:val="24"/>
          <w:lang w:val="en-US"/>
        </w:rPr>
        <w:t xml:space="preserve">89 countries signed the final acts of </w:t>
      </w:r>
      <w:r w:rsidR="004A196C">
        <w:rPr>
          <w:szCs w:val="24"/>
          <w:lang w:val="en-US"/>
        </w:rPr>
        <w:t>WCIT-</w:t>
      </w:r>
      <w:r w:rsidRPr="00AC71F5">
        <w:rPr>
          <w:szCs w:val="24"/>
          <w:lang w:val="en-US"/>
        </w:rPr>
        <w:t xml:space="preserve">12, including Brazil, but there was a clear polarization: no developed country signed. </w:t>
      </w:r>
      <w:r w:rsidR="004A196C">
        <w:rPr>
          <w:szCs w:val="24"/>
          <w:lang w:val="en-US"/>
        </w:rPr>
        <w:t>WCIT</w:t>
      </w:r>
      <w:r w:rsidRPr="00AC71F5">
        <w:rPr>
          <w:szCs w:val="24"/>
          <w:lang w:val="en-US"/>
        </w:rPr>
        <w:t xml:space="preserve">-12 failed to build consensus, and in an attempt to reach such a consensus, drafted a treaty with </w:t>
      </w:r>
      <w:r w:rsidR="004A196C">
        <w:rPr>
          <w:szCs w:val="24"/>
          <w:lang w:val="en-US"/>
        </w:rPr>
        <w:t>little</w:t>
      </w:r>
      <w:r w:rsidRPr="00AC71F5">
        <w:rPr>
          <w:szCs w:val="24"/>
          <w:lang w:val="en-US"/>
        </w:rPr>
        <w:t xml:space="preserve"> </w:t>
      </w:r>
      <w:r w:rsidR="004A196C">
        <w:rPr>
          <w:szCs w:val="24"/>
          <w:lang w:val="en-US"/>
        </w:rPr>
        <w:t>effective</w:t>
      </w:r>
      <w:r w:rsidRPr="00AC71F5">
        <w:rPr>
          <w:szCs w:val="24"/>
          <w:lang w:val="en-US"/>
        </w:rPr>
        <w:t xml:space="preserve"> impact even for the 89 signatories. The </w:t>
      </w:r>
      <w:r w:rsidR="004A196C">
        <w:rPr>
          <w:szCs w:val="24"/>
          <w:lang w:val="en-US"/>
        </w:rPr>
        <w:t>reputation</w:t>
      </w:r>
      <w:r w:rsidRPr="00AC71F5">
        <w:rPr>
          <w:szCs w:val="24"/>
          <w:lang w:val="en-US"/>
        </w:rPr>
        <w:t xml:space="preserve"> of the ITU as an effective constru</w:t>
      </w:r>
      <w:r w:rsidR="004A196C">
        <w:rPr>
          <w:szCs w:val="24"/>
          <w:lang w:val="en-US"/>
        </w:rPr>
        <w:t>c</w:t>
      </w:r>
      <w:r w:rsidRPr="00AC71F5">
        <w:rPr>
          <w:szCs w:val="24"/>
          <w:lang w:val="en-US"/>
        </w:rPr>
        <w:t xml:space="preserve">tor of consensus and </w:t>
      </w:r>
      <w:r w:rsidR="004A196C">
        <w:rPr>
          <w:szCs w:val="24"/>
          <w:lang w:val="en-US"/>
        </w:rPr>
        <w:t>promoter</w:t>
      </w:r>
      <w:r w:rsidRPr="00AC71F5">
        <w:rPr>
          <w:szCs w:val="24"/>
          <w:lang w:val="en-US"/>
        </w:rPr>
        <w:t xml:space="preserve"> of international cooperation </w:t>
      </w:r>
      <w:r w:rsidR="004A196C">
        <w:rPr>
          <w:szCs w:val="24"/>
          <w:lang w:val="en-US"/>
        </w:rPr>
        <w:t>was</w:t>
      </w:r>
      <w:r w:rsidRPr="00AC71F5">
        <w:rPr>
          <w:szCs w:val="24"/>
          <w:lang w:val="en-US"/>
        </w:rPr>
        <w:t xml:space="preserve"> damaged.</w:t>
      </w:r>
      <w:r w:rsidR="004A196C">
        <w:rPr>
          <w:szCs w:val="24"/>
          <w:lang w:val="en-US"/>
        </w:rPr>
        <w:t xml:space="preserve"> Many key stakeholders lost their trust in </w:t>
      </w:r>
      <w:r w:rsidR="0004009A">
        <w:rPr>
          <w:szCs w:val="24"/>
          <w:lang w:val="en-US"/>
        </w:rPr>
        <w:t xml:space="preserve">the </w:t>
      </w:r>
      <w:r w:rsidR="004A196C">
        <w:rPr>
          <w:szCs w:val="24"/>
          <w:lang w:val="en-US"/>
        </w:rPr>
        <w:t>ITU.</w:t>
      </w:r>
    </w:p>
    <w:p w14:paraId="5092E3C2" w14:textId="6B878D69" w:rsidR="004A196C" w:rsidRDefault="004A196C" w:rsidP="004A3D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Cs w:val="24"/>
          <w:lang w:val="en-US"/>
        </w:rPr>
      </w:pPr>
      <w:r>
        <w:rPr>
          <w:szCs w:val="24"/>
          <w:lang w:val="en-US"/>
        </w:rPr>
        <w:t>The ITU cannot risk attaining a similar result.</w:t>
      </w:r>
    </w:p>
    <w:p w14:paraId="4445EE59" w14:textId="6ABE2793" w:rsidR="00B13059" w:rsidRPr="00AC71F5" w:rsidRDefault="0004009A" w:rsidP="004A3D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Cs w:val="24"/>
          <w:lang w:val="en-US"/>
        </w:rPr>
      </w:pPr>
      <w:r>
        <w:rPr>
          <w:szCs w:val="24"/>
          <w:lang w:val="en-US"/>
        </w:rPr>
        <w:t>If all the criteria described above are met, there will be ample consensus on holding a revision of the ITRs. In that case,</w:t>
      </w:r>
      <w:r w:rsidR="00B13059" w:rsidRPr="00AC71F5">
        <w:rPr>
          <w:szCs w:val="24"/>
          <w:lang w:val="en-US"/>
        </w:rPr>
        <w:t xml:space="preserve"> </w:t>
      </w:r>
      <w:r w:rsidRPr="00AC71F5">
        <w:rPr>
          <w:szCs w:val="24"/>
          <w:lang w:val="en-US"/>
        </w:rPr>
        <w:t xml:space="preserve">a specific Council Working Group should conduct the </w:t>
      </w:r>
      <w:r w:rsidR="006A7C68">
        <w:rPr>
          <w:szCs w:val="24"/>
          <w:lang w:val="en-US"/>
        </w:rPr>
        <w:t>preparatory</w:t>
      </w:r>
      <w:r w:rsidRPr="00AC71F5">
        <w:rPr>
          <w:szCs w:val="24"/>
          <w:lang w:val="en-US"/>
        </w:rPr>
        <w:t xml:space="preserve"> process</w:t>
      </w:r>
      <w:r>
        <w:rPr>
          <w:szCs w:val="24"/>
          <w:lang w:val="en-US"/>
        </w:rPr>
        <w:t xml:space="preserve"> </w:t>
      </w:r>
      <w:r w:rsidR="00B13059" w:rsidRPr="00AC71F5">
        <w:rPr>
          <w:szCs w:val="24"/>
          <w:lang w:val="en-US"/>
        </w:rPr>
        <w:t>with transparency, inclusiveness, efficiency</w:t>
      </w:r>
      <w:r w:rsidR="006A7C68">
        <w:rPr>
          <w:szCs w:val="24"/>
          <w:lang w:val="en-US"/>
        </w:rPr>
        <w:t>, and thoroughness</w:t>
      </w:r>
      <w:r>
        <w:rPr>
          <w:szCs w:val="24"/>
          <w:lang w:val="en-US"/>
        </w:rPr>
        <w:t xml:space="preserve">. The preparatory process should involve all </w:t>
      </w:r>
      <w:r w:rsidR="006A7C68">
        <w:rPr>
          <w:szCs w:val="24"/>
          <w:lang w:val="en-US"/>
        </w:rPr>
        <w:t>ITU members on an equal footing, and all stakeholders though an open, inclusive and transparent consultation process</w:t>
      </w:r>
      <w:r>
        <w:rPr>
          <w:szCs w:val="24"/>
          <w:lang w:val="en-US"/>
        </w:rPr>
        <w:t>.</w:t>
      </w:r>
    </w:p>
    <w:p w14:paraId="49D5AEB6" w14:textId="3ED6EA33" w:rsidR="00264425" w:rsidRDefault="00B13059" w:rsidP="004A3D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Cs w:val="24"/>
          <w:lang w:val="en-US"/>
        </w:rPr>
      </w:pPr>
      <w:r w:rsidRPr="00AC71F5">
        <w:rPr>
          <w:szCs w:val="24"/>
          <w:lang w:val="en-US"/>
        </w:rPr>
        <w:t xml:space="preserve">A new </w:t>
      </w:r>
      <w:r w:rsidR="0004009A">
        <w:rPr>
          <w:szCs w:val="24"/>
          <w:lang w:val="en-US"/>
        </w:rPr>
        <w:t>WCIT</w:t>
      </w:r>
      <w:r w:rsidRPr="00AC71F5">
        <w:rPr>
          <w:szCs w:val="24"/>
          <w:lang w:val="en-US"/>
        </w:rPr>
        <w:t xml:space="preserve"> should receive from the </w:t>
      </w:r>
      <w:r w:rsidR="0004009A">
        <w:rPr>
          <w:szCs w:val="24"/>
          <w:lang w:val="en-US"/>
        </w:rPr>
        <w:t>CWG</w:t>
      </w:r>
      <w:r w:rsidRPr="00AC71F5">
        <w:rPr>
          <w:szCs w:val="24"/>
          <w:lang w:val="en-US"/>
        </w:rPr>
        <w:t xml:space="preserve"> a widely agreed </w:t>
      </w:r>
      <w:r w:rsidR="0004009A" w:rsidRPr="00AC71F5">
        <w:rPr>
          <w:szCs w:val="24"/>
          <w:lang w:val="en-US"/>
        </w:rPr>
        <w:t xml:space="preserve">proposal for </w:t>
      </w:r>
      <w:r w:rsidR="0004009A">
        <w:rPr>
          <w:szCs w:val="24"/>
          <w:lang w:val="en-US"/>
        </w:rPr>
        <w:t>a</w:t>
      </w:r>
      <w:r w:rsidR="0004009A" w:rsidRPr="00AC71F5">
        <w:rPr>
          <w:szCs w:val="24"/>
          <w:lang w:val="en-US"/>
        </w:rPr>
        <w:t xml:space="preserve"> </w:t>
      </w:r>
      <w:r w:rsidRPr="00AC71F5">
        <w:rPr>
          <w:szCs w:val="24"/>
          <w:lang w:val="en-US"/>
        </w:rPr>
        <w:t>treaty, and discuss only minutiae during the Conference.</w:t>
      </w:r>
    </w:p>
    <w:p w14:paraId="6F517D9D" w14:textId="3A88DC7A" w:rsidR="00E979CE" w:rsidRPr="00E979CE" w:rsidRDefault="004A3D93" w:rsidP="004A3D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40"/>
        <w:jc w:val="center"/>
        <w:rPr>
          <w:u w:val="single"/>
          <w:lang w:val="en-US"/>
        </w:rPr>
      </w:pPr>
      <w:r>
        <w:rPr>
          <w:szCs w:val="24"/>
          <w:lang w:val="en-US"/>
        </w:rPr>
        <w:t>_______________</w:t>
      </w:r>
    </w:p>
    <w:sectPr w:rsidR="00E979CE" w:rsidRPr="00E979CE" w:rsidSect="004D1851">
      <w:head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204BA" w14:textId="77777777" w:rsidR="006A7C68" w:rsidRDefault="006A7C68">
      <w:r>
        <w:separator/>
      </w:r>
    </w:p>
  </w:endnote>
  <w:endnote w:type="continuationSeparator" w:id="0">
    <w:p w14:paraId="1DF29610" w14:textId="77777777" w:rsidR="006A7C68" w:rsidRDefault="006A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4439D" w14:textId="77777777" w:rsidR="006A7C68" w:rsidRDefault="006A7C68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B9194" w14:textId="77777777" w:rsidR="006A7C68" w:rsidRDefault="006A7C68">
      <w:r>
        <w:t>____________________</w:t>
      </w:r>
    </w:p>
  </w:footnote>
  <w:footnote w:type="continuationSeparator" w:id="0">
    <w:p w14:paraId="79A6A6D0" w14:textId="77777777" w:rsidR="006A7C68" w:rsidRDefault="006A7C68">
      <w:r>
        <w:continuationSeparator/>
      </w:r>
    </w:p>
  </w:footnote>
  <w:footnote w:id="1">
    <w:p w14:paraId="06650C80" w14:textId="1E598F32" w:rsidR="006A7C68" w:rsidRPr="00BB6F50" w:rsidRDefault="006A7C6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BB6F50">
        <w:rPr>
          <w:sz w:val="22"/>
          <w:szCs w:val="23"/>
        </w:rPr>
        <w:t>Kaul</w:t>
      </w:r>
      <w:proofErr w:type="spellEnd"/>
      <w:r w:rsidRPr="00BB6F50">
        <w:rPr>
          <w:sz w:val="22"/>
          <w:szCs w:val="23"/>
        </w:rPr>
        <w:t xml:space="preserve">, Inge (2013), “Meeting Global Challenges: Assessing Governance Readiness”, in </w:t>
      </w:r>
      <w:proofErr w:type="spellStart"/>
      <w:r w:rsidRPr="00BB6F50">
        <w:rPr>
          <w:sz w:val="22"/>
          <w:szCs w:val="23"/>
        </w:rPr>
        <w:t>Hertie</w:t>
      </w:r>
      <w:proofErr w:type="spellEnd"/>
      <w:r w:rsidRPr="00BB6F50">
        <w:rPr>
          <w:sz w:val="22"/>
          <w:szCs w:val="23"/>
        </w:rPr>
        <w:t xml:space="preserve"> School of Governance, </w:t>
      </w:r>
      <w:r w:rsidRPr="00BB6F50">
        <w:rPr>
          <w:i/>
          <w:iCs/>
          <w:sz w:val="22"/>
          <w:szCs w:val="23"/>
        </w:rPr>
        <w:t>The Governance Report</w:t>
      </w:r>
      <w:r w:rsidRPr="00BB6F50">
        <w:rPr>
          <w:sz w:val="22"/>
          <w:szCs w:val="23"/>
        </w:rPr>
        <w:t>, Oxford: Oxford University Press, 2013, chapter 2, pp. 33-58.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14318" w14:textId="77777777" w:rsidR="006A7C68" w:rsidRDefault="006A7C68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01486F">
      <w:rPr>
        <w:noProof/>
      </w:rPr>
      <w:t>2</w:t>
    </w:r>
    <w:r>
      <w:rPr>
        <w:noProof/>
      </w:rPr>
      <w:fldChar w:fldCharType="end"/>
    </w:r>
  </w:p>
  <w:p w14:paraId="6687CA9B" w14:textId="370D7329" w:rsidR="006A7C68" w:rsidRDefault="006A7C68" w:rsidP="00E979CE">
    <w:pPr>
      <w:pStyle w:val="Header"/>
    </w:pPr>
    <w:r>
      <w:t>C17/</w:t>
    </w:r>
    <w:r w:rsidR="00E979CE">
      <w:t>95</w:t>
    </w:r>
    <w: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FDCFD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E4E1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D863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61A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FE8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DC18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B09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82A0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74B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5CA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41B2A"/>
    <w:multiLevelType w:val="hybridMultilevel"/>
    <w:tmpl w:val="8A7AFE3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19E1A97"/>
    <w:multiLevelType w:val="hybridMultilevel"/>
    <w:tmpl w:val="84448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C429B"/>
    <w:multiLevelType w:val="hybridMultilevel"/>
    <w:tmpl w:val="EA92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2043D"/>
    <w:multiLevelType w:val="hybridMultilevel"/>
    <w:tmpl w:val="76088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A58D1"/>
    <w:multiLevelType w:val="multilevel"/>
    <w:tmpl w:val="1C94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12"/>
  </w:num>
  <w:num w:numId="5">
    <w:abstractNumId w:val="11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22"/>
    <w:rsid w:val="0001486F"/>
    <w:rsid w:val="000210D4"/>
    <w:rsid w:val="0004009A"/>
    <w:rsid w:val="000615F4"/>
    <w:rsid w:val="00063016"/>
    <w:rsid w:val="00066795"/>
    <w:rsid w:val="00076AF6"/>
    <w:rsid w:val="00085A19"/>
    <w:rsid w:val="00085CF2"/>
    <w:rsid w:val="000B1705"/>
    <w:rsid w:val="000C39A2"/>
    <w:rsid w:val="000D75B2"/>
    <w:rsid w:val="000E4C86"/>
    <w:rsid w:val="001121F5"/>
    <w:rsid w:val="001400DC"/>
    <w:rsid w:val="00140CE1"/>
    <w:rsid w:val="00152925"/>
    <w:rsid w:val="0017539C"/>
    <w:rsid w:val="001758B2"/>
    <w:rsid w:val="00175AC2"/>
    <w:rsid w:val="0017609F"/>
    <w:rsid w:val="001C1650"/>
    <w:rsid w:val="001C3670"/>
    <w:rsid w:val="001C628E"/>
    <w:rsid w:val="001E0F7B"/>
    <w:rsid w:val="001F37B2"/>
    <w:rsid w:val="002119FD"/>
    <w:rsid w:val="0021230E"/>
    <w:rsid w:val="002130E0"/>
    <w:rsid w:val="00215361"/>
    <w:rsid w:val="00260DA9"/>
    <w:rsid w:val="00264425"/>
    <w:rsid w:val="00265875"/>
    <w:rsid w:val="0027303B"/>
    <w:rsid w:val="0028109B"/>
    <w:rsid w:val="00285BE7"/>
    <w:rsid w:val="002B050D"/>
    <w:rsid w:val="002B1F58"/>
    <w:rsid w:val="002C1C7A"/>
    <w:rsid w:val="002E6170"/>
    <w:rsid w:val="0030160F"/>
    <w:rsid w:val="00322D0D"/>
    <w:rsid w:val="00362578"/>
    <w:rsid w:val="00374AA6"/>
    <w:rsid w:val="003942D4"/>
    <w:rsid w:val="003958A8"/>
    <w:rsid w:val="00396273"/>
    <w:rsid w:val="00396A7E"/>
    <w:rsid w:val="003C2533"/>
    <w:rsid w:val="003E2A9C"/>
    <w:rsid w:val="0040435A"/>
    <w:rsid w:val="00413E43"/>
    <w:rsid w:val="00416A24"/>
    <w:rsid w:val="00431D9E"/>
    <w:rsid w:val="00433CE8"/>
    <w:rsid w:val="00434A5C"/>
    <w:rsid w:val="004517DD"/>
    <w:rsid w:val="004544D9"/>
    <w:rsid w:val="00455FC5"/>
    <w:rsid w:val="00490E72"/>
    <w:rsid w:val="00491157"/>
    <w:rsid w:val="004921C8"/>
    <w:rsid w:val="004A196C"/>
    <w:rsid w:val="004A3D93"/>
    <w:rsid w:val="004B3E22"/>
    <w:rsid w:val="004D1851"/>
    <w:rsid w:val="004D599D"/>
    <w:rsid w:val="004E2EA5"/>
    <w:rsid w:val="004E3AEB"/>
    <w:rsid w:val="004F30C1"/>
    <w:rsid w:val="004F6E03"/>
    <w:rsid w:val="0050223C"/>
    <w:rsid w:val="0050398E"/>
    <w:rsid w:val="005140D2"/>
    <w:rsid w:val="005218CA"/>
    <w:rsid w:val="005243FF"/>
    <w:rsid w:val="005277D9"/>
    <w:rsid w:val="00564FBC"/>
    <w:rsid w:val="00573284"/>
    <w:rsid w:val="00575785"/>
    <w:rsid w:val="00581EB8"/>
    <w:rsid w:val="00582442"/>
    <w:rsid w:val="005A44C9"/>
    <w:rsid w:val="005B1AD8"/>
    <w:rsid w:val="005B4395"/>
    <w:rsid w:val="005D47A1"/>
    <w:rsid w:val="00613834"/>
    <w:rsid w:val="00623B92"/>
    <w:rsid w:val="0064737F"/>
    <w:rsid w:val="006535F1"/>
    <w:rsid w:val="0065557D"/>
    <w:rsid w:val="00662984"/>
    <w:rsid w:val="006716BB"/>
    <w:rsid w:val="0068542D"/>
    <w:rsid w:val="006A7C68"/>
    <w:rsid w:val="006B6680"/>
    <w:rsid w:val="006B6DCC"/>
    <w:rsid w:val="00700912"/>
    <w:rsid w:val="00702DEF"/>
    <w:rsid w:val="00706861"/>
    <w:rsid w:val="0075051B"/>
    <w:rsid w:val="00794D34"/>
    <w:rsid w:val="007B128A"/>
    <w:rsid w:val="007B3942"/>
    <w:rsid w:val="007F09A7"/>
    <w:rsid w:val="007F3184"/>
    <w:rsid w:val="00813E5E"/>
    <w:rsid w:val="00821688"/>
    <w:rsid w:val="0083581B"/>
    <w:rsid w:val="00835844"/>
    <w:rsid w:val="0083790F"/>
    <w:rsid w:val="00861C93"/>
    <w:rsid w:val="00864AFF"/>
    <w:rsid w:val="00870601"/>
    <w:rsid w:val="00881396"/>
    <w:rsid w:val="008B4A6A"/>
    <w:rsid w:val="008B4FA3"/>
    <w:rsid w:val="008C7E27"/>
    <w:rsid w:val="009173EF"/>
    <w:rsid w:val="00920D7E"/>
    <w:rsid w:val="00925386"/>
    <w:rsid w:val="00932906"/>
    <w:rsid w:val="00953419"/>
    <w:rsid w:val="00961B0B"/>
    <w:rsid w:val="0098730C"/>
    <w:rsid w:val="009A752C"/>
    <w:rsid w:val="009B38C3"/>
    <w:rsid w:val="009E17BD"/>
    <w:rsid w:val="00A02FFF"/>
    <w:rsid w:val="00A04CEC"/>
    <w:rsid w:val="00A105C3"/>
    <w:rsid w:val="00A20B2F"/>
    <w:rsid w:val="00A27F92"/>
    <w:rsid w:val="00A32257"/>
    <w:rsid w:val="00A36D20"/>
    <w:rsid w:val="00A5119E"/>
    <w:rsid w:val="00A55622"/>
    <w:rsid w:val="00A55D6D"/>
    <w:rsid w:val="00A76384"/>
    <w:rsid w:val="00A83502"/>
    <w:rsid w:val="00A84165"/>
    <w:rsid w:val="00A90C8D"/>
    <w:rsid w:val="00A96B11"/>
    <w:rsid w:val="00AB15DB"/>
    <w:rsid w:val="00AC71F5"/>
    <w:rsid w:val="00AD15B3"/>
    <w:rsid w:val="00AD3AEF"/>
    <w:rsid w:val="00AF1D60"/>
    <w:rsid w:val="00AF6E49"/>
    <w:rsid w:val="00B017B6"/>
    <w:rsid w:val="00B04A67"/>
    <w:rsid w:val="00B0583C"/>
    <w:rsid w:val="00B13059"/>
    <w:rsid w:val="00B141B5"/>
    <w:rsid w:val="00B40A81"/>
    <w:rsid w:val="00B44910"/>
    <w:rsid w:val="00B72267"/>
    <w:rsid w:val="00B76EB6"/>
    <w:rsid w:val="00B7737B"/>
    <w:rsid w:val="00B824C8"/>
    <w:rsid w:val="00BB0D7E"/>
    <w:rsid w:val="00BB6F50"/>
    <w:rsid w:val="00BC251A"/>
    <w:rsid w:val="00BC6BF4"/>
    <w:rsid w:val="00BD032B"/>
    <w:rsid w:val="00BE2640"/>
    <w:rsid w:val="00BE7359"/>
    <w:rsid w:val="00C01189"/>
    <w:rsid w:val="00C374DE"/>
    <w:rsid w:val="00C47AD4"/>
    <w:rsid w:val="00C52D81"/>
    <w:rsid w:val="00C55198"/>
    <w:rsid w:val="00C66F08"/>
    <w:rsid w:val="00C74916"/>
    <w:rsid w:val="00C81750"/>
    <w:rsid w:val="00C840E7"/>
    <w:rsid w:val="00CA0C52"/>
    <w:rsid w:val="00CA6393"/>
    <w:rsid w:val="00CB161A"/>
    <w:rsid w:val="00CB18FF"/>
    <w:rsid w:val="00CD0C08"/>
    <w:rsid w:val="00CE03FB"/>
    <w:rsid w:val="00CE433C"/>
    <w:rsid w:val="00CF33F3"/>
    <w:rsid w:val="00D06183"/>
    <w:rsid w:val="00D14568"/>
    <w:rsid w:val="00D22C42"/>
    <w:rsid w:val="00D5763E"/>
    <w:rsid w:val="00D65041"/>
    <w:rsid w:val="00D714E3"/>
    <w:rsid w:val="00DB384B"/>
    <w:rsid w:val="00DB56FF"/>
    <w:rsid w:val="00DC600D"/>
    <w:rsid w:val="00E10E80"/>
    <w:rsid w:val="00E124F0"/>
    <w:rsid w:val="00E131EC"/>
    <w:rsid w:val="00E4039E"/>
    <w:rsid w:val="00E60F04"/>
    <w:rsid w:val="00E660E1"/>
    <w:rsid w:val="00E854E4"/>
    <w:rsid w:val="00E87105"/>
    <w:rsid w:val="00E940D1"/>
    <w:rsid w:val="00E979CE"/>
    <w:rsid w:val="00EB0D6F"/>
    <w:rsid w:val="00EB2232"/>
    <w:rsid w:val="00EC5337"/>
    <w:rsid w:val="00EF2D05"/>
    <w:rsid w:val="00F2150A"/>
    <w:rsid w:val="00F231D8"/>
    <w:rsid w:val="00F37667"/>
    <w:rsid w:val="00F46C5F"/>
    <w:rsid w:val="00F94A63"/>
    <w:rsid w:val="00F969CD"/>
    <w:rsid w:val="00FA1C28"/>
    <w:rsid w:val="00FB2D69"/>
    <w:rsid w:val="00FB7596"/>
    <w:rsid w:val="00FD0D83"/>
    <w:rsid w:val="00FE4077"/>
    <w:rsid w:val="00FE77D2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225126F"/>
  <w15:docId w15:val="{DCEC7FF6-5DD7-49C8-8238-2B3A9327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1">
    <w:name w:val="Data1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4B3E22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customStyle="1" w:styleId="tabelatextoalinhadoesquerda">
    <w:name w:val="tabela_texto_alinhado_esquerda"/>
    <w:basedOn w:val="Normal"/>
    <w:rsid w:val="00B1305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60" w:right="60"/>
      <w:textAlignment w:val="auto"/>
    </w:pPr>
    <w:rPr>
      <w:sz w:val="22"/>
      <w:szCs w:val="22"/>
      <w:lang w:val="en-US"/>
    </w:rPr>
  </w:style>
  <w:style w:type="paragraph" w:customStyle="1" w:styleId="textoalinhadoesquerda">
    <w:name w:val="texto_alinhado_esquerda"/>
    <w:basedOn w:val="Normal"/>
    <w:rsid w:val="00B1305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ind w:left="120" w:right="120"/>
      <w:textAlignment w:val="auto"/>
    </w:pPr>
    <w:rPr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7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CA1940285FA4B8968D10C90C562AB" ma:contentTypeVersion="1" ma:contentTypeDescription="Create a new document." ma:contentTypeScope="" ma:versionID="491f71dc82a58c31975a971577459c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D1CE8-DD43-4266-B5D3-0E936B56F130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060DB76-9628-414A-8830-38871FC9F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A0585B-6961-412F-8732-C10668526D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CFA34-CEAC-4CC8-8AC2-12D9FD3D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1265</Words>
  <Characters>6965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8214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the International Telecommunication Regulations</dc:title>
  <dc:subject>Council 2017</dc:subject>
  <dc:creator/>
  <cp:keywords>C2017, C17</cp:keywords>
  <cp:lastModifiedBy>Brouard, Ricarda</cp:lastModifiedBy>
  <cp:revision>5</cp:revision>
  <cp:lastPrinted>2000-07-18T13:30:00Z</cp:lastPrinted>
  <dcterms:created xsi:type="dcterms:W3CDTF">2017-05-01T06:29:00Z</dcterms:created>
  <dcterms:modified xsi:type="dcterms:W3CDTF">2017-05-01T08:42:00Z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0x0101000C6CA1940285FA4B8968D10C90C562AB</vt:lpwstr>
  </property>
</Properties>
</file>