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52DF3" w:rsidRPr="00813E5E" w14:paraId="226ED97A" w14:textId="77777777" w:rsidTr="00012F31">
        <w:trPr>
          <w:cantSplit/>
        </w:trPr>
        <w:tc>
          <w:tcPr>
            <w:tcW w:w="6911" w:type="dxa"/>
          </w:tcPr>
          <w:p w14:paraId="71B13D33" w14:textId="77777777" w:rsidR="00D52DF3" w:rsidRPr="00D52DF3" w:rsidRDefault="00D52DF3" w:rsidP="00012F31">
            <w:pPr>
              <w:spacing w:before="360" w:after="48"/>
              <w:rPr>
                <w:rFonts w:asciiTheme="minorHAnsi" w:hAnsiTheme="minorHAnsi"/>
                <w:position w:val="6"/>
              </w:rPr>
            </w:pPr>
            <w:bookmarkStart w:id="0" w:name="dc06"/>
            <w:bookmarkEnd w:id="0"/>
            <w:r w:rsidRPr="00D52DF3">
              <w:rPr>
                <w:rFonts w:asciiTheme="minorHAnsi" w:hAnsiTheme="minorHAnsi"/>
                <w:b/>
                <w:bCs/>
                <w:position w:val="6"/>
                <w:sz w:val="30"/>
                <w:szCs w:val="30"/>
              </w:rPr>
              <w:t>Council 2017</w:t>
            </w:r>
            <w:r w:rsidRPr="00D52DF3">
              <w:rPr>
                <w:rFonts w:asciiTheme="minorHAnsi" w:hAnsiTheme="minorHAnsi" w:cs="Times"/>
                <w:b/>
                <w:position w:val="6"/>
                <w:sz w:val="26"/>
                <w:szCs w:val="26"/>
              </w:rPr>
              <w:br/>
            </w:r>
            <w:r w:rsidRPr="00D52DF3">
              <w:rPr>
                <w:rFonts w:asciiTheme="minorHAnsi" w:hAnsiTheme="minorHAnsi"/>
                <w:b/>
                <w:bCs/>
                <w:position w:val="6"/>
                <w:szCs w:val="24"/>
              </w:rPr>
              <w:t>Geneva, 15-25 May 2017</w:t>
            </w:r>
          </w:p>
        </w:tc>
        <w:tc>
          <w:tcPr>
            <w:tcW w:w="3120" w:type="dxa"/>
          </w:tcPr>
          <w:p w14:paraId="3785C8A3" w14:textId="77777777" w:rsidR="00D52DF3" w:rsidRPr="00813E5E" w:rsidRDefault="00D52DF3" w:rsidP="00012F31">
            <w:pPr>
              <w:jc w:val="right"/>
            </w:pPr>
            <w:bookmarkStart w:id="1" w:name="ditulogo"/>
            <w:bookmarkEnd w:id="1"/>
            <w:r w:rsidRPr="00F21593">
              <w:rPr>
                <w:rFonts w:ascii="Verdana" w:hAnsi="Verdana"/>
                <w:noProof/>
                <w:color w:val="FFFFFF"/>
                <w:sz w:val="26"/>
                <w:szCs w:val="26"/>
                <w:lang w:eastAsia="zh-CN"/>
              </w:rPr>
              <w:drawing>
                <wp:inline distT="0" distB="0" distL="0" distR="0" wp14:anchorId="24D36F18" wp14:editId="5E59A09E">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D52DF3" w:rsidRPr="00813E5E" w14:paraId="27CA9C7B" w14:textId="77777777" w:rsidTr="00012F31">
        <w:trPr>
          <w:cantSplit/>
        </w:trPr>
        <w:tc>
          <w:tcPr>
            <w:tcW w:w="6911" w:type="dxa"/>
            <w:tcBorders>
              <w:bottom w:val="single" w:sz="12" w:space="0" w:color="auto"/>
            </w:tcBorders>
          </w:tcPr>
          <w:p w14:paraId="1199E302" w14:textId="77777777" w:rsidR="00D52DF3" w:rsidRPr="00813E5E" w:rsidRDefault="00D52DF3" w:rsidP="00012F31">
            <w:pPr>
              <w:spacing w:after="48"/>
              <w:rPr>
                <w:b/>
                <w:smallCaps/>
                <w:szCs w:val="24"/>
              </w:rPr>
            </w:pPr>
          </w:p>
        </w:tc>
        <w:tc>
          <w:tcPr>
            <w:tcW w:w="3120" w:type="dxa"/>
            <w:tcBorders>
              <w:bottom w:val="single" w:sz="12" w:space="0" w:color="auto"/>
            </w:tcBorders>
          </w:tcPr>
          <w:p w14:paraId="57A6745B" w14:textId="77777777" w:rsidR="00D52DF3" w:rsidRPr="00813E5E" w:rsidRDefault="00D52DF3" w:rsidP="00012F31">
            <w:pPr>
              <w:rPr>
                <w:szCs w:val="24"/>
              </w:rPr>
            </w:pPr>
          </w:p>
        </w:tc>
      </w:tr>
      <w:tr w:rsidR="00D52DF3" w:rsidRPr="00813E5E" w14:paraId="0DD19422" w14:textId="77777777" w:rsidTr="00012F31">
        <w:trPr>
          <w:cantSplit/>
        </w:trPr>
        <w:tc>
          <w:tcPr>
            <w:tcW w:w="6911" w:type="dxa"/>
            <w:tcBorders>
              <w:top w:val="single" w:sz="12" w:space="0" w:color="auto"/>
            </w:tcBorders>
          </w:tcPr>
          <w:p w14:paraId="22E1D0DC" w14:textId="77777777" w:rsidR="00D52DF3" w:rsidRPr="00813E5E" w:rsidRDefault="00D52DF3" w:rsidP="00012F31">
            <w:pPr>
              <w:spacing w:after="48"/>
              <w:rPr>
                <w:b/>
                <w:smallCaps/>
                <w:szCs w:val="24"/>
              </w:rPr>
            </w:pPr>
          </w:p>
        </w:tc>
        <w:tc>
          <w:tcPr>
            <w:tcW w:w="3120" w:type="dxa"/>
            <w:tcBorders>
              <w:top w:val="single" w:sz="12" w:space="0" w:color="auto"/>
            </w:tcBorders>
          </w:tcPr>
          <w:p w14:paraId="4C1647E9" w14:textId="77777777" w:rsidR="00D52DF3" w:rsidRPr="00813E5E" w:rsidRDefault="00D52DF3" w:rsidP="00012F31">
            <w:pPr>
              <w:rPr>
                <w:szCs w:val="24"/>
              </w:rPr>
            </w:pPr>
          </w:p>
        </w:tc>
      </w:tr>
      <w:tr w:rsidR="00D52DF3" w:rsidRPr="00777123" w14:paraId="330D5598" w14:textId="77777777" w:rsidTr="00012F31">
        <w:trPr>
          <w:cantSplit/>
          <w:trHeight w:val="23"/>
        </w:trPr>
        <w:tc>
          <w:tcPr>
            <w:tcW w:w="6911" w:type="dxa"/>
            <w:vMerge w:val="restart"/>
          </w:tcPr>
          <w:p w14:paraId="3C2C91B3" w14:textId="77777777" w:rsidR="00D52DF3" w:rsidRPr="00D52DF3" w:rsidRDefault="00D52DF3" w:rsidP="00012F31">
            <w:pPr>
              <w:tabs>
                <w:tab w:val="left" w:pos="851"/>
              </w:tabs>
              <w:rPr>
                <w:rFonts w:asciiTheme="minorHAnsi" w:hAnsiTheme="minorHAnsi"/>
                <w:b/>
              </w:rPr>
            </w:pPr>
            <w:r w:rsidRPr="00D52DF3">
              <w:rPr>
                <w:rFonts w:asciiTheme="minorHAnsi" w:hAnsiTheme="minorHAnsi"/>
                <w:b/>
              </w:rPr>
              <w:t>Agenda item: PL 1.15</w:t>
            </w:r>
          </w:p>
        </w:tc>
        <w:tc>
          <w:tcPr>
            <w:tcW w:w="3120" w:type="dxa"/>
          </w:tcPr>
          <w:p w14:paraId="14DE6675" w14:textId="77777777" w:rsidR="00D52DF3" w:rsidRPr="00D52DF3" w:rsidRDefault="00D52DF3" w:rsidP="00012F31">
            <w:pPr>
              <w:tabs>
                <w:tab w:val="left" w:pos="851"/>
              </w:tabs>
              <w:rPr>
                <w:rFonts w:asciiTheme="minorHAnsi" w:hAnsiTheme="minorHAnsi"/>
                <w:b/>
              </w:rPr>
            </w:pPr>
            <w:r w:rsidRPr="00D52DF3">
              <w:rPr>
                <w:rFonts w:asciiTheme="minorHAnsi" w:hAnsiTheme="minorHAnsi"/>
                <w:b/>
              </w:rPr>
              <w:t>Document C17/94-E</w:t>
            </w:r>
          </w:p>
        </w:tc>
      </w:tr>
      <w:tr w:rsidR="00D52DF3" w:rsidRPr="00777123" w14:paraId="745154EE" w14:textId="77777777" w:rsidTr="00012F31">
        <w:trPr>
          <w:cantSplit/>
          <w:trHeight w:val="23"/>
        </w:trPr>
        <w:tc>
          <w:tcPr>
            <w:tcW w:w="6911" w:type="dxa"/>
            <w:vMerge/>
          </w:tcPr>
          <w:p w14:paraId="21997FD0" w14:textId="77777777" w:rsidR="00D52DF3" w:rsidRPr="00813E5E" w:rsidRDefault="00D52DF3" w:rsidP="00012F31">
            <w:pPr>
              <w:tabs>
                <w:tab w:val="left" w:pos="851"/>
              </w:tabs>
              <w:rPr>
                <w:b/>
              </w:rPr>
            </w:pPr>
          </w:p>
        </w:tc>
        <w:tc>
          <w:tcPr>
            <w:tcW w:w="3120" w:type="dxa"/>
          </w:tcPr>
          <w:p w14:paraId="18C90F01" w14:textId="77777777" w:rsidR="00D52DF3" w:rsidRPr="00D52DF3" w:rsidRDefault="00D52DF3" w:rsidP="00012F31">
            <w:pPr>
              <w:tabs>
                <w:tab w:val="left" w:pos="993"/>
              </w:tabs>
              <w:rPr>
                <w:rFonts w:asciiTheme="minorHAnsi" w:hAnsiTheme="minorHAnsi"/>
                <w:b/>
              </w:rPr>
            </w:pPr>
            <w:r w:rsidRPr="00D52DF3">
              <w:rPr>
                <w:rFonts w:asciiTheme="minorHAnsi" w:hAnsiTheme="minorHAnsi"/>
                <w:b/>
              </w:rPr>
              <w:t>28 April 2017</w:t>
            </w:r>
          </w:p>
        </w:tc>
      </w:tr>
      <w:tr w:rsidR="00D52DF3" w:rsidRPr="00777123" w14:paraId="6D384983" w14:textId="77777777" w:rsidTr="00012F31">
        <w:trPr>
          <w:cantSplit/>
          <w:trHeight w:val="23"/>
        </w:trPr>
        <w:tc>
          <w:tcPr>
            <w:tcW w:w="6911" w:type="dxa"/>
            <w:vMerge/>
          </w:tcPr>
          <w:p w14:paraId="6F3417CF" w14:textId="77777777" w:rsidR="00D52DF3" w:rsidRPr="00813E5E" w:rsidRDefault="00D52DF3" w:rsidP="00012F31">
            <w:pPr>
              <w:tabs>
                <w:tab w:val="left" w:pos="851"/>
              </w:tabs>
              <w:rPr>
                <w:b/>
              </w:rPr>
            </w:pPr>
          </w:p>
        </w:tc>
        <w:tc>
          <w:tcPr>
            <w:tcW w:w="3120" w:type="dxa"/>
          </w:tcPr>
          <w:p w14:paraId="3C824906" w14:textId="77777777" w:rsidR="00D52DF3" w:rsidRPr="00D52DF3" w:rsidRDefault="00D52DF3" w:rsidP="00012F31">
            <w:pPr>
              <w:tabs>
                <w:tab w:val="left" w:pos="993"/>
              </w:tabs>
              <w:rPr>
                <w:rFonts w:asciiTheme="minorHAnsi" w:hAnsiTheme="minorHAnsi"/>
                <w:b/>
              </w:rPr>
            </w:pPr>
            <w:r w:rsidRPr="00D52DF3">
              <w:rPr>
                <w:rFonts w:asciiTheme="minorHAnsi" w:hAnsiTheme="minorHAnsi"/>
                <w:b/>
              </w:rPr>
              <w:t>Original: English</w:t>
            </w:r>
          </w:p>
        </w:tc>
      </w:tr>
    </w:tbl>
    <w:p w14:paraId="23691ABB" w14:textId="77777777" w:rsidR="00D52DF3" w:rsidRPr="002F1511" w:rsidRDefault="00D52DF3" w:rsidP="00023962">
      <w:pPr>
        <w:pStyle w:val="Source"/>
      </w:pPr>
      <w:r w:rsidRPr="002F1511">
        <w:t>Note by the Secretary-General</w:t>
      </w:r>
    </w:p>
    <w:p w14:paraId="12334064" w14:textId="77777777" w:rsidR="00D52DF3" w:rsidRPr="006E269C" w:rsidRDefault="00D52DF3" w:rsidP="00023962">
      <w:pPr>
        <w:pStyle w:val="Title1"/>
      </w:pPr>
      <w:r w:rsidRPr="006E269C">
        <w:t xml:space="preserve">CONTRIBUTION FROM </w:t>
      </w:r>
      <w:r>
        <w:t>THE UNITED STATES OF AMERICA</w:t>
      </w:r>
    </w:p>
    <w:p w14:paraId="533A089B" w14:textId="77777777" w:rsidR="00D52DF3" w:rsidRPr="007324D0" w:rsidRDefault="00D52DF3" w:rsidP="00023962">
      <w:pPr>
        <w:pStyle w:val="Title1"/>
        <w:rPr>
          <w:szCs w:val="28"/>
        </w:rPr>
      </w:pPr>
      <w:r>
        <w:rPr>
          <w:rFonts w:eastAsia="Calibri"/>
        </w:rPr>
        <w:t>ITU’S ROLE AS SUPERVISORY AUTHORITY OF THE INTERNATIONAL REGISTRATION SYSTEM FOR SPACE ASSETS UNDER THE SPACE PROTOCOL</w:t>
      </w:r>
    </w:p>
    <w:p w14:paraId="7468F8B3" w14:textId="77777777" w:rsidR="00D52DF3" w:rsidRPr="00403482" w:rsidRDefault="00D52DF3" w:rsidP="00D52DF3">
      <w:pPr>
        <w:spacing w:before="960"/>
        <w:jc w:val="both"/>
        <w:rPr>
          <w:rFonts w:asciiTheme="minorHAnsi" w:hAnsiTheme="minorHAnsi"/>
          <w:szCs w:val="24"/>
        </w:rPr>
      </w:pPr>
      <w:r w:rsidRPr="00403482">
        <w:rPr>
          <w:rFonts w:asciiTheme="minorHAnsi" w:hAnsiTheme="minorHAnsi"/>
          <w:szCs w:val="24"/>
        </w:rPr>
        <w:t xml:space="preserve">I have the </w:t>
      </w:r>
      <w:proofErr w:type="spellStart"/>
      <w:r w:rsidRPr="00403482">
        <w:rPr>
          <w:rFonts w:asciiTheme="minorHAnsi" w:hAnsiTheme="minorHAnsi"/>
          <w:szCs w:val="24"/>
        </w:rPr>
        <w:t>honour</w:t>
      </w:r>
      <w:proofErr w:type="spellEnd"/>
      <w:r w:rsidRPr="00403482">
        <w:rPr>
          <w:rFonts w:asciiTheme="minorHAnsi" w:hAnsiTheme="minorHAnsi"/>
          <w:szCs w:val="24"/>
        </w:rPr>
        <w:t xml:space="preserve"> to transmit to the Member States of the Council a contribution submitted by </w:t>
      </w:r>
      <w:r w:rsidRPr="000E0778">
        <w:rPr>
          <w:rFonts w:asciiTheme="minorHAnsi" w:hAnsiTheme="minorHAnsi"/>
          <w:b/>
          <w:bCs/>
          <w:szCs w:val="24"/>
        </w:rPr>
        <w:t xml:space="preserve">the </w:t>
      </w:r>
      <w:r>
        <w:rPr>
          <w:rFonts w:asciiTheme="minorHAnsi" w:hAnsiTheme="minorHAnsi"/>
          <w:b/>
          <w:bCs/>
          <w:szCs w:val="24"/>
        </w:rPr>
        <w:t>United States of America</w:t>
      </w:r>
      <w:r>
        <w:rPr>
          <w:rFonts w:asciiTheme="minorHAnsi" w:hAnsiTheme="minorHAnsi"/>
          <w:szCs w:val="24"/>
        </w:rPr>
        <w:t>.</w:t>
      </w:r>
    </w:p>
    <w:p w14:paraId="7A19D56C" w14:textId="77777777" w:rsidR="00D52DF3" w:rsidRPr="00D52DF3" w:rsidRDefault="00D52DF3" w:rsidP="00D52DF3">
      <w:pPr>
        <w:spacing w:before="360"/>
        <w:jc w:val="both"/>
        <w:rPr>
          <w:rFonts w:asciiTheme="minorHAnsi" w:hAnsiTheme="minorHAnsi"/>
          <w:szCs w:val="24"/>
        </w:rPr>
      </w:pPr>
    </w:p>
    <w:p w14:paraId="4C1D8DBD" w14:textId="5ECE2D46" w:rsidR="00D52DF3" w:rsidRPr="00D52DF3" w:rsidRDefault="00D52DF3" w:rsidP="00D52DF3">
      <w:pPr>
        <w:tabs>
          <w:tab w:val="center" w:pos="7088"/>
        </w:tabs>
        <w:rPr>
          <w:rFonts w:asciiTheme="minorHAnsi" w:hAnsiTheme="minorHAnsi"/>
        </w:rPr>
      </w:pPr>
      <w:r w:rsidRPr="00D52DF3">
        <w:rPr>
          <w:rFonts w:asciiTheme="minorHAnsi" w:hAnsiTheme="minorHAnsi"/>
        </w:rPr>
        <w:tab/>
      </w:r>
      <w:r w:rsidRPr="00D52DF3">
        <w:rPr>
          <w:rFonts w:asciiTheme="minorHAnsi" w:hAnsiTheme="minorHAnsi"/>
        </w:rPr>
        <w:tab/>
        <w:t>Houlin ZHAO</w:t>
      </w:r>
      <w:r w:rsidRPr="00D52DF3">
        <w:rPr>
          <w:rFonts w:asciiTheme="minorHAnsi" w:hAnsiTheme="minorHAnsi"/>
        </w:rPr>
        <w:br/>
      </w:r>
      <w:r w:rsidRPr="00D52DF3">
        <w:rPr>
          <w:rFonts w:asciiTheme="minorHAnsi" w:hAnsiTheme="minorHAnsi"/>
        </w:rPr>
        <w:tab/>
        <w:t>Secretary-General</w:t>
      </w:r>
    </w:p>
    <w:p w14:paraId="728EF746" w14:textId="2F73B061" w:rsidR="00D52DF3" w:rsidRDefault="00D52DF3">
      <w:pPr>
        <w:spacing w:after="160" w:line="259" w:lineRule="auto"/>
        <w:ind w:left="0" w:firstLine="0"/>
        <w:rPr>
          <w:rFonts w:ascii="Calibri" w:eastAsia="Calibri" w:hAnsi="Calibri" w:cs="Calibri"/>
          <w:b/>
          <w:sz w:val="28"/>
        </w:rPr>
      </w:pPr>
      <w:r>
        <w:rPr>
          <w:rFonts w:ascii="Calibri" w:eastAsia="Calibri" w:hAnsi="Calibri" w:cs="Calibri"/>
          <w:b/>
          <w:sz w:val="28"/>
        </w:rPr>
        <w:br w:type="page"/>
      </w:r>
    </w:p>
    <w:p w14:paraId="589877EE" w14:textId="4CD005AA" w:rsidR="00CF78CB" w:rsidRDefault="00D52DF3" w:rsidP="00023962">
      <w:pPr>
        <w:pStyle w:val="Source"/>
      </w:pPr>
      <w:r w:rsidRPr="007324D0">
        <w:lastRenderedPageBreak/>
        <w:t>Contribution from the United States of America</w:t>
      </w:r>
    </w:p>
    <w:p w14:paraId="184839FE" w14:textId="1F02CBF0" w:rsidR="00CF78CB" w:rsidRDefault="00B84FA7" w:rsidP="00023962">
      <w:pPr>
        <w:pStyle w:val="Title1"/>
      </w:pPr>
      <w:r>
        <w:rPr>
          <w:rFonts w:eastAsia="Calibri"/>
        </w:rPr>
        <w:t xml:space="preserve">ITU’S ROLE AS SUPERVISORY AUTHORITY OF THE INTERNATIONAL REGISTRATION SYSTEM FOR SPACE ASSETS UNDER THE SPACE PROTOCOL </w:t>
      </w:r>
    </w:p>
    <w:p w14:paraId="25E57D8C" w14:textId="77777777" w:rsidR="00CF78CB" w:rsidRPr="00023962" w:rsidRDefault="00B84FA7" w:rsidP="00023962">
      <w:pPr>
        <w:spacing w:before="1080" w:after="52" w:line="259" w:lineRule="auto"/>
        <w:ind w:left="11" w:firstLine="0"/>
        <w:rPr>
          <w:sz w:val="22"/>
          <w:szCs w:val="20"/>
        </w:rPr>
      </w:pPr>
      <w:r w:rsidRPr="00023962">
        <w:rPr>
          <w:rFonts w:ascii="Calibri" w:eastAsia="Calibri" w:hAnsi="Calibri" w:cs="Calibri"/>
          <w:b/>
          <w:szCs w:val="20"/>
        </w:rPr>
        <w:t xml:space="preserve">Introduction </w:t>
      </w:r>
      <w:bookmarkStart w:id="2" w:name="_GoBack"/>
      <w:bookmarkEnd w:id="2"/>
    </w:p>
    <w:p w14:paraId="6A0094A0" w14:textId="2F3A2D70" w:rsidR="00CF78CB" w:rsidRPr="00023962" w:rsidRDefault="00B84FA7" w:rsidP="001D7A2D">
      <w:pPr>
        <w:spacing w:after="3" w:line="240" w:lineRule="auto"/>
        <w:ind w:left="5" w:right="-15"/>
        <w:rPr>
          <w:rFonts w:ascii="Calibri" w:eastAsia="Calibri" w:hAnsi="Calibri" w:cs="Calibri"/>
          <w:szCs w:val="24"/>
        </w:rPr>
      </w:pPr>
      <w:r w:rsidRPr="00023962">
        <w:rPr>
          <w:rFonts w:ascii="Calibri" w:eastAsia="Calibri" w:hAnsi="Calibri" w:cs="Calibri"/>
          <w:szCs w:val="24"/>
        </w:rPr>
        <w:t xml:space="preserve">The United States sought input from the commercial satellite industry regarding their views on the ITU assuming the role as the Supervisory Authority to an International Registry for Space Assets.  The Satellite Industry Association (SIA) in the attached letter to the ITU Secretary General Houlin Zhao raises several concerns regarding whether the establishment of an international </w:t>
      </w:r>
      <w:r w:rsidR="000F05C5" w:rsidRPr="00023962">
        <w:rPr>
          <w:rFonts w:ascii="Calibri" w:eastAsia="Calibri" w:hAnsi="Calibri" w:cs="Calibri"/>
          <w:szCs w:val="24"/>
        </w:rPr>
        <w:t>Registry</w:t>
      </w:r>
      <w:r w:rsidRPr="00023962">
        <w:rPr>
          <w:rFonts w:ascii="Calibri" w:eastAsia="Calibri" w:hAnsi="Calibri" w:cs="Calibri"/>
          <w:szCs w:val="24"/>
        </w:rPr>
        <w:t xml:space="preserve"> for Space Assets under the Cape Town Convention would lead to additional costs and delays for the satellite industry.   </w:t>
      </w:r>
    </w:p>
    <w:p w14:paraId="65EDE426" w14:textId="77777777" w:rsidR="001D7A2D" w:rsidRPr="00023962" w:rsidRDefault="001D7A2D" w:rsidP="001D7A2D">
      <w:pPr>
        <w:spacing w:after="3" w:line="240" w:lineRule="auto"/>
        <w:ind w:left="5" w:right="-15"/>
        <w:rPr>
          <w:szCs w:val="24"/>
        </w:rPr>
      </w:pPr>
    </w:p>
    <w:p w14:paraId="3352A467" w14:textId="77777777" w:rsidR="00CF78CB" w:rsidRDefault="00B84FA7">
      <w:pPr>
        <w:spacing w:after="3" w:line="240" w:lineRule="auto"/>
        <w:ind w:left="5" w:right="180"/>
        <w:rPr>
          <w:rFonts w:ascii="Calibri" w:eastAsia="Calibri" w:hAnsi="Calibri" w:cs="Calibri"/>
          <w:szCs w:val="24"/>
        </w:rPr>
      </w:pPr>
      <w:r w:rsidRPr="00023962">
        <w:rPr>
          <w:rFonts w:ascii="Calibri" w:eastAsia="Calibri" w:hAnsi="Calibri" w:cs="Calibri"/>
          <w:szCs w:val="24"/>
        </w:rPr>
        <w:t xml:space="preserve">In light of these concerns, an endorsement of Council for the ITU to become the supervisory authority at this time is premature.  The United States proposes that the ITU Secretary General continue to express interest as an observer in the work of the Preparatory Committee, and that 2018 Plenipotentiary Conference could make a final decision on whether the ITU should become the Supervisory Authority. </w:t>
      </w:r>
    </w:p>
    <w:p w14:paraId="7842B742" w14:textId="77777777" w:rsidR="00023962" w:rsidRPr="00023962" w:rsidRDefault="00023962">
      <w:pPr>
        <w:spacing w:after="3" w:line="240" w:lineRule="auto"/>
        <w:ind w:left="5" w:right="180"/>
        <w:rPr>
          <w:szCs w:val="24"/>
        </w:rPr>
      </w:pPr>
    </w:p>
    <w:p w14:paraId="0479DAF0" w14:textId="77777777" w:rsidR="00CF78CB" w:rsidRPr="00023962" w:rsidRDefault="00CF78CB">
      <w:pPr>
        <w:rPr>
          <w:sz w:val="22"/>
          <w:szCs w:val="20"/>
        </w:rPr>
        <w:sectPr w:rsidR="00CF78CB" w:rsidRPr="00023962" w:rsidSect="00023962">
          <w:headerReference w:type="default" r:id="rId9"/>
          <w:footerReference w:type="first" r:id="rId10"/>
          <w:pgSz w:w="11906" w:h="16834" w:code="9"/>
          <w:pgMar w:top="1440" w:right="1134" w:bottom="1440" w:left="1134" w:header="720" w:footer="720" w:gutter="0"/>
          <w:cols w:space="720"/>
          <w:titlePg/>
          <w:docGrid w:linePitch="326"/>
        </w:sectPr>
      </w:pPr>
    </w:p>
    <w:p w14:paraId="51D0E2A8" w14:textId="77777777" w:rsidR="00CF78CB" w:rsidRDefault="00B84FA7">
      <w:pPr>
        <w:spacing w:after="224" w:line="259" w:lineRule="auto"/>
        <w:ind w:left="0" w:firstLine="0"/>
      </w:pPr>
      <w:r>
        <w:rPr>
          <w:noProof/>
          <w:lang w:eastAsia="zh-CN"/>
        </w:rPr>
        <w:lastRenderedPageBreak/>
        <w:drawing>
          <wp:inline distT="0" distB="0" distL="0" distR="0" wp14:anchorId="7FD42859" wp14:editId="091CD685">
            <wp:extent cx="754380" cy="69342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1"/>
                    <a:stretch>
                      <a:fillRect/>
                    </a:stretch>
                  </pic:blipFill>
                  <pic:spPr>
                    <a:xfrm>
                      <a:off x="0" y="0"/>
                      <a:ext cx="754380" cy="693420"/>
                    </a:xfrm>
                    <a:prstGeom prst="rect">
                      <a:avLst/>
                    </a:prstGeom>
                  </pic:spPr>
                </pic:pic>
              </a:graphicData>
            </a:graphic>
          </wp:inline>
        </w:drawing>
      </w:r>
    </w:p>
    <w:p w14:paraId="55942D15" w14:textId="77777777" w:rsidR="00CF78CB" w:rsidRDefault="00B84FA7">
      <w:pPr>
        <w:spacing w:after="263"/>
        <w:ind w:left="-5" w:right="17"/>
      </w:pPr>
      <w:r>
        <w:t xml:space="preserve">April 21, 2017 </w:t>
      </w:r>
    </w:p>
    <w:p w14:paraId="3092679B" w14:textId="77777777" w:rsidR="00CF78CB" w:rsidRDefault="00B84FA7">
      <w:pPr>
        <w:ind w:left="-5" w:right="17"/>
      </w:pPr>
      <w:r>
        <w:t xml:space="preserve">Mr. Houlin Zhao </w:t>
      </w:r>
    </w:p>
    <w:p w14:paraId="7B9D6B23" w14:textId="77777777" w:rsidR="00CF78CB" w:rsidRDefault="00B84FA7">
      <w:pPr>
        <w:ind w:left="-5" w:right="17"/>
      </w:pPr>
      <w:r>
        <w:t xml:space="preserve">Secretary-General, International Telecommunication Union </w:t>
      </w:r>
    </w:p>
    <w:p w14:paraId="61242901" w14:textId="77777777" w:rsidR="00CF78CB" w:rsidRDefault="00B84FA7">
      <w:pPr>
        <w:ind w:left="-5" w:right="17"/>
      </w:pPr>
      <w:r>
        <w:t xml:space="preserve">Place des Nations </w:t>
      </w:r>
    </w:p>
    <w:p w14:paraId="4345FEFA" w14:textId="77777777" w:rsidR="00CF78CB" w:rsidRDefault="00B84FA7">
      <w:pPr>
        <w:ind w:left="-5" w:right="17"/>
      </w:pPr>
      <w:r>
        <w:t xml:space="preserve">CH-1211 Geneva  </w:t>
      </w:r>
    </w:p>
    <w:p w14:paraId="6F53A112" w14:textId="77777777" w:rsidR="00CF78CB" w:rsidRDefault="00B84FA7">
      <w:pPr>
        <w:spacing w:after="254"/>
        <w:ind w:left="-5" w:right="17"/>
      </w:pPr>
      <w:r>
        <w:t xml:space="preserve">Switzerland </w:t>
      </w:r>
    </w:p>
    <w:p w14:paraId="76573116" w14:textId="77777777" w:rsidR="00CF78CB" w:rsidRDefault="00B84FA7">
      <w:pPr>
        <w:spacing w:after="259" w:line="259" w:lineRule="auto"/>
        <w:ind w:left="0" w:firstLine="0"/>
      </w:pPr>
      <w:r>
        <w:rPr>
          <w:i/>
        </w:rPr>
        <w:t xml:space="preserve">Via e-mail </w:t>
      </w:r>
    </w:p>
    <w:p w14:paraId="0A031B72" w14:textId="77777777" w:rsidR="00CF78CB" w:rsidRDefault="00B84FA7">
      <w:pPr>
        <w:pStyle w:val="Heading1"/>
      </w:pPr>
      <w:r>
        <w:t xml:space="preserve">Re: Potential Endorsement of ITU as Supervisory Authority to an International Registry for Space Assets </w:t>
      </w:r>
    </w:p>
    <w:p w14:paraId="3440A108" w14:textId="77777777" w:rsidR="00CF78CB" w:rsidRDefault="00B84FA7">
      <w:pPr>
        <w:spacing w:after="201"/>
        <w:ind w:left="-5" w:right="17"/>
      </w:pPr>
      <w:r>
        <w:t xml:space="preserve">Dear Mr. Zhao: </w:t>
      </w:r>
    </w:p>
    <w:p w14:paraId="2E6E87B9" w14:textId="77777777" w:rsidR="00CF78CB" w:rsidRDefault="00B84FA7">
      <w:pPr>
        <w:spacing w:after="201"/>
        <w:ind w:left="-5" w:right="17"/>
      </w:pPr>
      <w:r>
        <w:t>The Satellite Industry Association</w:t>
      </w:r>
      <w:r>
        <w:rPr>
          <w:vertAlign w:val="superscript"/>
        </w:rPr>
        <w:t>1</w:t>
      </w:r>
      <w:r>
        <w:t xml:space="preserve"> (SIA) respectfully requests this letter be considered for Council for the May 2017 meeting.  We are grateful to the Secretary-General for his attention to this matter.  </w:t>
      </w:r>
    </w:p>
    <w:p w14:paraId="6159998C" w14:textId="77777777" w:rsidR="00CF78CB" w:rsidRDefault="00B84FA7">
      <w:pPr>
        <w:pStyle w:val="Heading1"/>
        <w:ind w:left="-5"/>
      </w:pPr>
      <w:r>
        <w:t xml:space="preserve">Establishment of an International Registry for Space Assets </w:t>
      </w:r>
    </w:p>
    <w:p w14:paraId="45648BCA" w14:textId="1C89F434" w:rsidR="00CF78CB" w:rsidRDefault="00B84FA7">
      <w:pPr>
        <w:ind w:left="-5" w:right="17"/>
      </w:pPr>
      <w:r>
        <w:t>SIA wishes to re-iterate our concerns regarding the establishment of an International Registry for Space Assets to the Space Protocol registration.  This proposed registry adds an undue burden and uncertainty onto the satellite industry; one that already adheres to robust domestic regulatory requirements.  Any additional steps ultimately will delay service and increase costs, which does not serve the global good.  Concern regarding the need to satisfy “requirements as may be established in the regulations</w:t>
      </w:r>
      <w:r>
        <w:rPr>
          <w:vertAlign w:val="superscript"/>
        </w:rPr>
        <w:t>2</w:t>
      </w:r>
      <w:r>
        <w:t xml:space="preserve">” </w:t>
      </w:r>
      <w:r w:rsidR="00023962">
        <w:t xml:space="preserve">may, in addition, undermine the level of certainty expected by creditors as to the identification of space assets for purposes of registration.  </w:t>
      </w:r>
    </w:p>
    <w:p w14:paraId="3D53AEDB" w14:textId="77777777" w:rsidR="00CF78CB" w:rsidRDefault="00B84FA7">
      <w:pPr>
        <w:spacing w:after="151" w:line="259" w:lineRule="auto"/>
        <w:ind w:left="0" w:firstLine="0"/>
      </w:pPr>
      <w:r>
        <w:rPr>
          <w:rFonts w:ascii="Calibri" w:eastAsia="Calibri" w:hAnsi="Calibri" w:cs="Calibri"/>
          <w:noProof/>
          <w:sz w:val="22"/>
          <w:lang w:eastAsia="zh-CN"/>
        </w:rPr>
        <mc:AlternateContent>
          <mc:Choice Requires="wpg">
            <w:drawing>
              <wp:inline distT="0" distB="0" distL="0" distR="0" wp14:anchorId="325E6D48" wp14:editId="6B932923">
                <wp:extent cx="1829054" cy="9144"/>
                <wp:effectExtent l="0" t="0" r="0" b="0"/>
                <wp:docPr id="1884" name="Group 188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42" name="Shape 224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387B74" id="Group 1884"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">
                <v:shape id="Shape 2242"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yhMYA&#10;AADdAAAADwAAAGRycy9kb3ducmV2LnhtbESPQUsDMRSE70L/Q3iCF2mzRimyNi1FKUrx0NaC1+fm&#10;ubuYvKyb53b990YQPA4z8w2zWI3Bq4H61Ea2cDUrQBFX0bVcWzi+bKa3oJIgO/SRycI3JVgtJ2cL&#10;LF088Z6Gg9QqQziVaKER6UqtU9VQwDSLHXH23mMfULLsa+16PGV48NoUxVwHbDkvNNjRfUPVx+Er&#10;WHiWx0v3ud34cZA3v00PrzszXFt7cT6u70AJjfIf/ms/OQvG3Bj4fZOf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3yhMYAAADdAAAADwAAAAAAAAAAAAAAAACYAgAAZHJz&#10;L2Rvd25yZXYueG1sUEsFBgAAAAAEAAQA9QAAAIsDAAAAAA==&#10;" path="m,l1829054,r,9144l,9144,,e" fillcolor="black" stroked="f" strokeweight="0">
                  <v:stroke miterlimit="83231f" joinstyle="miter"/>
                  <v:path arrowok="t" textboxrect="0,0,1829054,9144"/>
                </v:shape>
                <w10:anchorlock/>
              </v:group>
            </w:pict>
          </mc:Fallback>
        </mc:AlternateContent>
      </w:r>
    </w:p>
    <w:p w14:paraId="4E67E5AB" w14:textId="77777777" w:rsidR="00CF78CB" w:rsidRPr="00023962" w:rsidRDefault="00B84FA7" w:rsidP="00023962">
      <w:pPr>
        <w:numPr>
          <w:ilvl w:val="0"/>
          <w:numId w:val="1"/>
        </w:numPr>
        <w:spacing w:after="10" w:line="248" w:lineRule="auto"/>
        <w:ind w:right="-563" w:hanging="115"/>
        <w:rPr>
          <w:sz w:val="22"/>
          <w:szCs w:val="20"/>
        </w:rPr>
      </w:pPr>
      <w:r w:rsidRPr="00023962">
        <w:rPr>
          <w:sz w:val="20"/>
          <w:szCs w:val="20"/>
          <w:u w:val="single" w:color="000000"/>
        </w:rPr>
        <w:t>SIA Executive Members include</w:t>
      </w:r>
      <w:r w:rsidRPr="00023962">
        <w:rPr>
          <w:sz w:val="20"/>
          <w:szCs w:val="20"/>
        </w:rPr>
        <w:t xml:space="preserve">: The Boeing Company; AT&amp;T Services, Inc.; EchoStar </w:t>
      </w:r>
    </w:p>
    <w:p w14:paraId="02E2B05C" w14:textId="77777777" w:rsidR="00CF78CB" w:rsidRPr="00023962" w:rsidRDefault="00B84FA7" w:rsidP="00023962">
      <w:pPr>
        <w:spacing w:after="10" w:line="248" w:lineRule="auto"/>
        <w:ind w:left="-5" w:right="-563"/>
        <w:rPr>
          <w:sz w:val="22"/>
          <w:szCs w:val="20"/>
        </w:rPr>
      </w:pPr>
      <w:r w:rsidRPr="00023962">
        <w:rPr>
          <w:sz w:val="20"/>
          <w:szCs w:val="20"/>
        </w:rPr>
        <w:t xml:space="preserve">Corporation; Intelsat S.A.; Iridium Communications Inc.; </w:t>
      </w:r>
      <w:proofErr w:type="spellStart"/>
      <w:r w:rsidRPr="00023962">
        <w:rPr>
          <w:sz w:val="20"/>
          <w:szCs w:val="20"/>
        </w:rPr>
        <w:t>Kratos</w:t>
      </w:r>
      <w:proofErr w:type="spellEnd"/>
      <w:r w:rsidRPr="00023962">
        <w:rPr>
          <w:sz w:val="20"/>
          <w:szCs w:val="20"/>
        </w:rPr>
        <w:t xml:space="preserve"> Defense &amp; Security Solutions; </w:t>
      </w:r>
    </w:p>
    <w:p w14:paraId="4D9467BA" w14:textId="77777777" w:rsidR="00CF78CB" w:rsidRPr="00023962" w:rsidRDefault="00B84FA7" w:rsidP="00023962">
      <w:pPr>
        <w:spacing w:after="10" w:line="248" w:lineRule="auto"/>
        <w:ind w:left="-5" w:right="-563"/>
        <w:rPr>
          <w:sz w:val="22"/>
          <w:szCs w:val="20"/>
        </w:rPr>
      </w:pPr>
      <w:proofErr w:type="spellStart"/>
      <w:r w:rsidRPr="00023962">
        <w:rPr>
          <w:sz w:val="20"/>
          <w:szCs w:val="20"/>
        </w:rPr>
        <w:t>Ligado</w:t>
      </w:r>
      <w:proofErr w:type="spellEnd"/>
      <w:r w:rsidRPr="00023962">
        <w:rPr>
          <w:sz w:val="20"/>
          <w:szCs w:val="20"/>
        </w:rPr>
        <w:t xml:space="preserve"> Networks; Lockheed Martin Corporation; Northrop Grumman Corporation; </w:t>
      </w:r>
      <w:proofErr w:type="spellStart"/>
      <w:r w:rsidRPr="00023962">
        <w:rPr>
          <w:sz w:val="20"/>
          <w:szCs w:val="20"/>
        </w:rPr>
        <w:t>OneWeb</w:t>
      </w:r>
      <w:proofErr w:type="spellEnd"/>
      <w:r w:rsidRPr="00023962">
        <w:rPr>
          <w:sz w:val="20"/>
          <w:szCs w:val="20"/>
        </w:rPr>
        <w:t xml:space="preserve">; </w:t>
      </w:r>
    </w:p>
    <w:p w14:paraId="515C2E27" w14:textId="77777777" w:rsidR="00CF78CB" w:rsidRPr="00023962" w:rsidRDefault="00B84FA7" w:rsidP="00023962">
      <w:pPr>
        <w:spacing w:after="10" w:line="248" w:lineRule="auto"/>
        <w:ind w:left="-5" w:right="-563"/>
        <w:rPr>
          <w:sz w:val="22"/>
          <w:szCs w:val="20"/>
        </w:rPr>
      </w:pPr>
      <w:r w:rsidRPr="00023962">
        <w:rPr>
          <w:sz w:val="20"/>
          <w:szCs w:val="20"/>
        </w:rPr>
        <w:t xml:space="preserve">SES </w:t>
      </w:r>
      <w:proofErr w:type="spellStart"/>
      <w:r w:rsidRPr="00023962">
        <w:rPr>
          <w:sz w:val="20"/>
          <w:szCs w:val="20"/>
        </w:rPr>
        <w:t>Americom</w:t>
      </w:r>
      <w:proofErr w:type="spellEnd"/>
      <w:r w:rsidRPr="00023962">
        <w:rPr>
          <w:sz w:val="20"/>
          <w:szCs w:val="20"/>
        </w:rPr>
        <w:t xml:space="preserve">, Inc.; Space Exploration Technologies Corp.; SSL; and </w:t>
      </w:r>
      <w:proofErr w:type="spellStart"/>
      <w:r w:rsidRPr="00023962">
        <w:rPr>
          <w:sz w:val="20"/>
          <w:szCs w:val="20"/>
        </w:rPr>
        <w:t>ViaSat</w:t>
      </w:r>
      <w:proofErr w:type="spellEnd"/>
      <w:r w:rsidRPr="00023962">
        <w:rPr>
          <w:sz w:val="20"/>
          <w:szCs w:val="20"/>
        </w:rPr>
        <w:t xml:space="preserve">, Inc. </w:t>
      </w:r>
      <w:r w:rsidRPr="00023962">
        <w:rPr>
          <w:sz w:val="20"/>
          <w:szCs w:val="20"/>
          <w:u w:val="single" w:color="000000"/>
        </w:rPr>
        <w:t>SIA Associate</w:t>
      </w:r>
      <w:r w:rsidRPr="00023962">
        <w:rPr>
          <w:sz w:val="20"/>
          <w:szCs w:val="20"/>
        </w:rPr>
        <w:t xml:space="preserve"> </w:t>
      </w:r>
    </w:p>
    <w:p w14:paraId="58636801" w14:textId="77777777" w:rsidR="00CF78CB" w:rsidRPr="00023962" w:rsidRDefault="00B84FA7" w:rsidP="00023962">
      <w:pPr>
        <w:spacing w:after="10" w:line="248" w:lineRule="auto"/>
        <w:ind w:left="-5" w:right="-563"/>
        <w:rPr>
          <w:sz w:val="22"/>
          <w:szCs w:val="20"/>
        </w:rPr>
      </w:pPr>
      <w:r w:rsidRPr="00023962">
        <w:rPr>
          <w:sz w:val="20"/>
          <w:szCs w:val="20"/>
          <w:u w:val="single" w:color="000000"/>
        </w:rPr>
        <w:t>Members include</w:t>
      </w:r>
      <w:r w:rsidRPr="00023962">
        <w:rPr>
          <w:sz w:val="20"/>
          <w:szCs w:val="20"/>
        </w:rPr>
        <w:t>: ABS US Corp.</w:t>
      </w:r>
      <w:proofErr w:type="gramStart"/>
      <w:r w:rsidRPr="00023962">
        <w:rPr>
          <w:sz w:val="20"/>
          <w:szCs w:val="20"/>
        </w:rPr>
        <w:t xml:space="preserve">;  </w:t>
      </w:r>
      <w:proofErr w:type="spellStart"/>
      <w:r w:rsidRPr="00023962">
        <w:rPr>
          <w:sz w:val="20"/>
          <w:szCs w:val="20"/>
        </w:rPr>
        <w:t>Artel</w:t>
      </w:r>
      <w:proofErr w:type="spellEnd"/>
      <w:proofErr w:type="gramEnd"/>
      <w:r w:rsidRPr="00023962">
        <w:rPr>
          <w:sz w:val="20"/>
          <w:szCs w:val="20"/>
        </w:rPr>
        <w:t xml:space="preserve">, LLC; Blue Origin; </w:t>
      </w:r>
      <w:proofErr w:type="spellStart"/>
      <w:r w:rsidRPr="00023962">
        <w:rPr>
          <w:sz w:val="20"/>
          <w:szCs w:val="20"/>
        </w:rPr>
        <w:t>DataPath</w:t>
      </w:r>
      <w:proofErr w:type="spellEnd"/>
      <w:r w:rsidRPr="00023962">
        <w:rPr>
          <w:sz w:val="20"/>
          <w:szCs w:val="20"/>
        </w:rPr>
        <w:t xml:space="preserve">, </w:t>
      </w:r>
      <w:proofErr w:type="spellStart"/>
      <w:r w:rsidRPr="00023962">
        <w:rPr>
          <w:sz w:val="20"/>
          <w:szCs w:val="20"/>
        </w:rPr>
        <w:t>Inc</w:t>
      </w:r>
      <w:proofErr w:type="spellEnd"/>
      <w:r w:rsidRPr="00023962">
        <w:rPr>
          <w:sz w:val="20"/>
          <w:szCs w:val="20"/>
        </w:rPr>
        <w:t xml:space="preserve">; </w:t>
      </w:r>
      <w:proofErr w:type="spellStart"/>
      <w:r w:rsidRPr="00023962">
        <w:rPr>
          <w:sz w:val="20"/>
          <w:szCs w:val="20"/>
        </w:rPr>
        <w:t>DigitalGlobe</w:t>
      </w:r>
      <w:proofErr w:type="spellEnd"/>
      <w:r w:rsidRPr="00023962">
        <w:rPr>
          <w:sz w:val="20"/>
          <w:szCs w:val="20"/>
        </w:rPr>
        <w:t xml:space="preserve"> Inc.; DRS </w:t>
      </w:r>
    </w:p>
    <w:p w14:paraId="7899E665" w14:textId="77777777" w:rsidR="00CF78CB" w:rsidRPr="00023962" w:rsidRDefault="00B84FA7" w:rsidP="00023962">
      <w:pPr>
        <w:spacing w:after="10" w:line="248" w:lineRule="auto"/>
        <w:ind w:left="-5" w:right="-563"/>
        <w:rPr>
          <w:sz w:val="22"/>
          <w:szCs w:val="20"/>
        </w:rPr>
      </w:pPr>
      <w:r w:rsidRPr="00023962">
        <w:rPr>
          <w:sz w:val="20"/>
          <w:szCs w:val="20"/>
        </w:rPr>
        <w:t xml:space="preserve">Technologies, Inc.; Eutelsat America Corp.; Global Eagle Entertainment; Glowlink </w:t>
      </w:r>
    </w:p>
    <w:p w14:paraId="4328B072" w14:textId="77777777" w:rsidR="00CF78CB" w:rsidRPr="00023962" w:rsidRDefault="00B84FA7" w:rsidP="00023962">
      <w:pPr>
        <w:spacing w:after="10" w:line="248" w:lineRule="auto"/>
        <w:ind w:left="-5" w:right="-563"/>
        <w:rPr>
          <w:sz w:val="22"/>
          <w:szCs w:val="20"/>
        </w:rPr>
      </w:pPr>
      <w:r w:rsidRPr="00023962">
        <w:rPr>
          <w:sz w:val="20"/>
          <w:szCs w:val="20"/>
        </w:rPr>
        <w:t xml:space="preserve">Communications Technology, Inc.; Hughes; Inmarsat, Inc.; </w:t>
      </w:r>
      <w:proofErr w:type="spellStart"/>
      <w:r w:rsidRPr="00023962">
        <w:rPr>
          <w:sz w:val="20"/>
          <w:szCs w:val="20"/>
        </w:rPr>
        <w:t>Kymeta</w:t>
      </w:r>
      <w:proofErr w:type="spellEnd"/>
      <w:r w:rsidRPr="00023962">
        <w:rPr>
          <w:sz w:val="20"/>
          <w:szCs w:val="20"/>
        </w:rPr>
        <w:t xml:space="preserve"> Corporation; L-3 Electron </w:t>
      </w:r>
    </w:p>
    <w:p w14:paraId="0B05D3B8" w14:textId="77777777" w:rsidR="00CF78CB" w:rsidRPr="00023962" w:rsidRDefault="00B84FA7" w:rsidP="00023962">
      <w:pPr>
        <w:spacing w:after="199" w:line="248" w:lineRule="auto"/>
        <w:ind w:left="-5" w:right="-563"/>
        <w:rPr>
          <w:sz w:val="22"/>
          <w:szCs w:val="20"/>
        </w:rPr>
      </w:pPr>
      <w:r w:rsidRPr="00023962">
        <w:rPr>
          <w:sz w:val="20"/>
          <w:szCs w:val="20"/>
        </w:rPr>
        <w:t xml:space="preserve">Technologies, Inc.; O3b Limited; Panasonic Avionics Corporation; Planet; Semper Fortis Solutions; Spire Global Inc.; </w:t>
      </w:r>
      <w:proofErr w:type="spellStart"/>
      <w:r w:rsidRPr="00023962">
        <w:rPr>
          <w:sz w:val="20"/>
          <w:szCs w:val="20"/>
        </w:rPr>
        <w:t>TeleCommunication</w:t>
      </w:r>
      <w:proofErr w:type="spellEnd"/>
      <w:r w:rsidRPr="00023962">
        <w:rPr>
          <w:sz w:val="20"/>
          <w:szCs w:val="20"/>
        </w:rPr>
        <w:t xml:space="preserve"> Systems, Inc.; </w:t>
      </w:r>
      <w:proofErr w:type="spellStart"/>
      <w:r w:rsidRPr="00023962">
        <w:rPr>
          <w:sz w:val="20"/>
          <w:szCs w:val="20"/>
        </w:rPr>
        <w:t>Telesat</w:t>
      </w:r>
      <w:proofErr w:type="spellEnd"/>
      <w:r w:rsidRPr="00023962">
        <w:rPr>
          <w:sz w:val="20"/>
          <w:szCs w:val="20"/>
        </w:rPr>
        <w:t xml:space="preserve"> Canada; </w:t>
      </w:r>
      <w:proofErr w:type="spellStart"/>
      <w:r w:rsidRPr="00023962">
        <w:rPr>
          <w:sz w:val="20"/>
          <w:szCs w:val="20"/>
        </w:rPr>
        <w:t>TrustComm</w:t>
      </w:r>
      <w:proofErr w:type="spellEnd"/>
      <w:r w:rsidRPr="00023962">
        <w:rPr>
          <w:sz w:val="20"/>
          <w:szCs w:val="20"/>
        </w:rPr>
        <w:t xml:space="preserve">, Inc.; </w:t>
      </w:r>
      <w:proofErr w:type="spellStart"/>
      <w:r w:rsidRPr="00023962">
        <w:rPr>
          <w:sz w:val="20"/>
          <w:szCs w:val="20"/>
        </w:rPr>
        <w:t>Ultisat</w:t>
      </w:r>
      <w:proofErr w:type="spellEnd"/>
      <w:r w:rsidRPr="00023962">
        <w:rPr>
          <w:sz w:val="20"/>
          <w:szCs w:val="20"/>
        </w:rPr>
        <w:t xml:space="preserve">, Inc.; and XTAR, LLC. </w:t>
      </w:r>
    </w:p>
    <w:p w14:paraId="1F048628" w14:textId="4510F449" w:rsidR="00F77542" w:rsidRPr="00023962" w:rsidRDefault="00B84FA7" w:rsidP="00023962">
      <w:pPr>
        <w:numPr>
          <w:ilvl w:val="0"/>
          <w:numId w:val="1"/>
        </w:numPr>
        <w:tabs>
          <w:tab w:val="left" w:pos="284"/>
        </w:tabs>
        <w:spacing w:after="266" w:line="259" w:lineRule="auto"/>
        <w:ind w:left="0" w:firstLine="0"/>
        <w:rPr>
          <w:sz w:val="20"/>
        </w:rPr>
        <w:sectPr w:rsidR="00F77542" w:rsidRPr="00023962" w:rsidSect="00023962">
          <w:footerReference w:type="default" r:id="rId12"/>
          <w:pgSz w:w="11907" w:h="16840" w:code="9"/>
          <w:pgMar w:top="431" w:right="1440" w:bottom="244" w:left="1440" w:header="720" w:footer="720" w:gutter="0"/>
          <w:cols w:space="720"/>
        </w:sectPr>
      </w:pPr>
      <w:r w:rsidRPr="00023962">
        <w:rPr>
          <w:sz w:val="20"/>
        </w:rPr>
        <w:t xml:space="preserve">Protocol to the Convention on International Interests in Mobile Equipment on Matters Specific to Space </w:t>
      </w:r>
      <w:r w:rsidRPr="00023962">
        <w:rPr>
          <w:i/>
          <w:sz w:val="20"/>
        </w:rPr>
        <w:t xml:space="preserve">Assets, </w:t>
      </w:r>
      <w:r w:rsidRPr="00023962">
        <w:rPr>
          <w:color w:val="3D4143"/>
          <w:sz w:val="20"/>
        </w:rPr>
        <w:t>Article XXX – Identification of space assets for registration purposes</w:t>
      </w:r>
      <w:r w:rsidRPr="00023962">
        <w:rPr>
          <w:sz w:val="20"/>
        </w:rPr>
        <w:t xml:space="preserve"> </w:t>
      </w:r>
    </w:p>
    <w:p w14:paraId="7A035DF3" w14:textId="13A78445" w:rsidR="00CF78CB" w:rsidRDefault="00CF78CB" w:rsidP="00F77542">
      <w:pPr>
        <w:spacing w:after="0" w:line="259" w:lineRule="auto"/>
        <w:ind w:right="-15"/>
      </w:pPr>
    </w:p>
    <w:p w14:paraId="0513773A" w14:textId="77777777" w:rsidR="00F77542" w:rsidRDefault="00F77542" w:rsidP="00F77542">
      <w:pPr>
        <w:spacing w:after="0" w:line="259" w:lineRule="auto"/>
        <w:ind w:left="0" w:firstLine="0"/>
      </w:pPr>
    </w:p>
    <w:p w14:paraId="6E382158" w14:textId="77777777" w:rsidR="00CF78CB" w:rsidRDefault="00B84FA7" w:rsidP="00F77542">
      <w:pPr>
        <w:spacing w:after="202"/>
        <w:ind w:right="17"/>
      </w:pPr>
      <w:r>
        <w:t xml:space="preserve">The Cape Town Convention also requires the unique identification of a space asset before an international interest can be constituted and registered.  There has been much debate and confusion over how a space asset will be identified and defined.  Indeed, many of the core identification criteria for registration are meaningless in providing certainty of identification both before and after launch.  </w:t>
      </w:r>
    </w:p>
    <w:p w14:paraId="7A6426B9" w14:textId="77777777" w:rsidR="00CF78CB" w:rsidRDefault="00B84FA7">
      <w:pPr>
        <w:pStyle w:val="Heading1"/>
        <w:spacing w:after="248"/>
        <w:ind w:left="-5"/>
      </w:pPr>
      <w:r>
        <w:t xml:space="preserve">ITU as Supervisory Authority  </w:t>
      </w:r>
    </w:p>
    <w:p w14:paraId="6F2E8DDA" w14:textId="77777777" w:rsidR="00CF78CB" w:rsidRDefault="00B84FA7">
      <w:pPr>
        <w:spacing w:after="245"/>
        <w:ind w:left="-5" w:right="17"/>
      </w:pPr>
      <w:r>
        <w:t xml:space="preserve">The ITU secretariat fulfills a very necessary and important role in the international framework for communications, and satellites by their nature have an international focus.  However, SIA is concerned that the ITU’s assumption of the Supervisory Authority role would be a distraction, at least at the senior management level, from the important core and priority role of the secretariat. </w:t>
      </w:r>
    </w:p>
    <w:p w14:paraId="6804CDC4" w14:textId="77777777" w:rsidR="00CF78CB" w:rsidRDefault="00B84FA7">
      <w:pPr>
        <w:ind w:left="-5" w:right="17"/>
      </w:pPr>
      <w:r>
        <w:t xml:space="preserve">Moreover, SIA firmly believes an early endorsement of the ITU becoming Supervisory </w:t>
      </w:r>
    </w:p>
    <w:p w14:paraId="1B56D5DC" w14:textId="77777777" w:rsidR="00CF78CB" w:rsidRDefault="00B84FA7">
      <w:pPr>
        <w:spacing w:after="204"/>
        <w:ind w:left="-5" w:right="17"/>
      </w:pPr>
      <w:r>
        <w:t xml:space="preserve">Authority by the Council pre-empts the responsibilities of the Plenipotentiary Conference (PP-18) decision in 2018, suggesting concurrence for development of the registry before it has been approved.  Given the concerns raised in this letter by SIA, an endorsement now would effectively be discarding the viewpoint of a substantial number of satellite operators.  </w:t>
      </w:r>
    </w:p>
    <w:p w14:paraId="6D5723D9" w14:textId="77777777" w:rsidR="00CF78CB" w:rsidRDefault="00B84FA7">
      <w:pPr>
        <w:spacing w:after="204"/>
        <w:ind w:left="-5" w:right="17"/>
      </w:pPr>
      <w:r>
        <w:t xml:space="preserve">SIA respectfully requests that Council continue to monitor and respond to any questions raised by the Member States regarding the International Registry for Space Assets but refrain from endorsement of the ITU as Supervisory Authority for said registry so as to not pre-empt continuing dialogue with industry or the decision of the next Plenipotentiary Conference in 2018.   </w:t>
      </w:r>
    </w:p>
    <w:p w14:paraId="43072E3F" w14:textId="77777777" w:rsidR="00CF78CB" w:rsidRDefault="00B84FA7">
      <w:pPr>
        <w:ind w:left="-5" w:right="17"/>
      </w:pPr>
      <w:r>
        <w:t xml:space="preserve">Sincerely, </w:t>
      </w:r>
    </w:p>
    <w:p w14:paraId="05860ED1" w14:textId="77777777" w:rsidR="00CF78CB" w:rsidRDefault="00B84FA7">
      <w:pPr>
        <w:spacing w:after="0" w:line="259" w:lineRule="auto"/>
        <w:ind w:left="0" w:firstLine="0"/>
      </w:pPr>
      <w:r>
        <w:t xml:space="preserve"> </w:t>
      </w:r>
    </w:p>
    <w:p w14:paraId="02F318EF" w14:textId="77777777" w:rsidR="00CF78CB" w:rsidRDefault="00B84FA7">
      <w:pPr>
        <w:ind w:left="-5" w:right="17"/>
      </w:pPr>
      <w:r>
        <w:t xml:space="preserve">/s/ </w:t>
      </w:r>
    </w:p>
    <w:p w14:paraId="4310345C" w14:textId="77777777" w:rsidR="00CF78CB" w:rsidRDefault="00B84FA7">
      <w:pPr>
        <w:ind w:left="-5" w:right="17"/>
      </w:pPr>
      <w:r>
        <w:t xml:space="preserve">Tom Stroup </w:t>
      </w:r>
    </w:p>
    <w:p w14:paraId="5FB5755B" w14:textId="77777777" w:rsidR="00CF78CB" w:rsidRDefault="00B84FA7">
      <w:pPr>
        <w:ind w:left="-5" w:right="17"/>
      </w:pPr>
      <w:r>
        <w:t xml:space="preserve">President </w:t>
      </w:r>
    </w:p>
    <w:p w14:paraId="4F63FCEC" w14:textId="77777777" w:rsidR="00CF78CB" w:rsidRDefault="00B84FA7">
      <w:pPr>
        <w:ind w:left="-5" w:right="17"/>
      </w:pPr>
      <w:r>
        <w:t xml:space="preserve">Satellite Industry Association </w:t>
      </w:r>
    </w:p>
    <w:p w14:paraId="49EAD3E8" w14:textId="77777777" w:rsidR="00CF78CB" w:rsidRDefault="00B84FA7">
      <w:pPr>
        <w:spacing w:after="0" w:line="259" w:lineRule="auto"/>
        <w:ind w:left="0" w:firstLine="0"/>
      </w:pPr>
      <w:r>
        <w:t xml:space="preserve"> </w:t>
      </w:r>
    </w:p>
    <w:p w14:paraId="50D053E1" w14:textId="77777777" w:rsidR="00CF78CB" w:rsidRDefault="00B84FA7">
      <w:pPr>
        <w:spacing w:after="0" w:line="259" w:lineRule="auto"/>
        <w:ind w:left="0" w:firstLine="0"/>
      </w:pPr>
      <w:r>
        <w:t xml:space="preserve"> </w:t>
      </w:r>
    </w:p>
    <w:p w14:paraId="41FC1C3D" w14:textId="3479676C" w:rsidR="00CF78CB" w:rsidRDefault="00B84FA7" w:rsidP="001D7A2D">
      <w:pPr>
        <w:spacing w:after="0" w:line="259" w:lineRule="auto"/>
        <w:ind w:left="0" w:firstLine="0"/>
      </w:pPr>
      <w:r>
        <w:t xml:space="preserve"> </w:t>
      </w:r>
    </w:p>
    <w:sectPr w:rsidR="00CF78CB" w:rsidSect="00F775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6A12C" w14:textId="77777777" w:rsidR="000F05C5" w:rsidRDefault="000F05C5" w:rsidP="000F05C5">
      <w:pPr>
        <w:spacing w:after="0" w:line="240" w:lineRule="auto"/>
      </w:pPr>
      <w:r>
        <w:separator/>
      </w:r>
    </w:p>
  </w:endnote>
  <w:endnote w:type="continuationSeparator" w:id="0">
    <w:p w14:paraId="7A1485CF" w14:textId="77777777" w:rsidR="000F05C5" w:rsidRDefault="000F05C5" w:rsidP="000F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3340D" w14:textId="77777777" w:rsidR="00023962" w:rsidRDefault="00023962" w:rsidP="00023962">
    <w:pPr>
      <w:spacing w:after="120"/>
      <w:jc w:val="center"/>
    </w:pPr>
    <w:r>
      <w:t>•</w:t>
    </w:r>
    <w:r w:rsidRPr="00023962">
      <w:rPr>
        <w:rFonts w:asciiTheme="minorHAnsi" w:hAnsiTheme="minorHAnsi"/>
      </w:rPr>
      <w:t xml:space="preserve"> </w:t>
    </w:r>
    <w:hyperlink r:id="rId1" w:history="1">
      <w:r w:rsidRPr="00023962">
        <w:rPr>
          <w:rStyle w:val="Hyperlink"/>
          <w:rFonts w:asciiTheme="minorHAnsi" w:hAnsiTheme="minorHAnsi"/>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4A02E" w14:textId="77777777" w:rsidR="00023962" w:rsidRDefault="00023962" w:rsidP="00023962">
    <w:pPr>
      <w:pStyle w:val="Heading2"/>
    </w:pPr>
    <w:r>
      <w:t>1200 18th Street NW, Suite 1001, Washington, DC 20036</w:t>
    </w:r>
    <w:r>
      <w:rPr>
        <w:u w:val="none"/>
      </w:rPr>
      <w:t xml:space="preserve">  </w:t>
    </w:r>
  </w:p>
  <w:p w14:paraId="3461E140" w14:textId="77777777" w:rsidR="00023962" w:rsidRDefault="00023962" w:rsidP="00023962">
    <w:pPr>
      <w:pStyle w:val="Footer"/>
      <w:jc w:val="center"/>
    </w:pPr>
    <w:r>
      <w:rPr>
        <w:sz w:val="22"/>
      </w:rPr>
      <w:t>Phone 202-503-1560 - Fax 202-503-1590 - http://www.sia.org</w:t>
    </w:r>
  </w:p>
  <w:p w14:paraId="2A0B143E" w14:textId="77777777" w:rsidR="00023962" w:rsidRPr="00023962" w:rsidRDefault="00023962" w:rsidP="00023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E7B5" w14:textId="77777777" w:rsidR="000F05C5" w:rsidRDefault="000F05C5" w:rsidP="000F05C5">
      <w:pPr>
        <w:spacing w:after="0" w:line="240" w:lineRule="auto"/>
      </w:pPr>
      <w:r>
        <w:separator/>
      </w:r>
    </w:p>
  </w:footnote>
  <w:footnote w:type="continuationSeparator" w:id="0">
    <w:p w14:paraId="3EBD5D01" w14:textId="77777777" w:rsidR="000F05C5" w:rsidRDefault="000F05C5" w:rsidP="000F0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34301" w14:textId="6FAEE27D" w:rsidR="00264F7E" w:rsidRPr="00023962" w:rsidRDefault="00023962" w:rsidP="00023962">
    <w:pPr>
      <w:pStyle w:val="Header"/>
      <w:jc w:val="center"/>
      <w:rPr>
        <w:rFonts w:asciiTheme="minorHAnsi" w:hAnsiTheme="minorHAnsi"/>
        <w:sz w:val="20"/>
        <w:szCs w:val="18"/>
      </w:rPr>
    </w:pPr>
    <w:r w:rsidRPr="00023962">
      <w:rPr>
        <w:rFonts w:asciiTheme="minorHAnsi" w:hAnsiTheme="minorHAnsi"/>
        <w:sz w:val="20"/>
        <w:szCs w:val="18"/>
      </w:rPr>
      <w:fldChar w:fldCharType="begin"/>
    </w:r>
    <w:r w:rsidRPr="00023962">
      <w:rPr>
        <w:rFonts w:asciiTheme="minorHAnsi" w:hAnsiTheme="minorHAnsi"/>
        <w:sz w:val="20"/>
        <w:szCs w:val="18"/>
      </w:rPr>
      <w:instrText xml:space="preserve"> PAGE   \* MERGEFORMAT </w:instrText>
    </w:r>
    <w:r w:rsidRPr="00023962">
      <w:rPr>
        <w:rFonts w:asciiTheme="minorHAnsi" w:hAnsiTheme="minorHAnsi"/>
        <w:sz w:val="20"/>
        <w:szCs w:val="18"/>
      </w:rPr>
      <w:fldChar w:fldCharType="separate"/>
    </w:r>
    <w:r>
      <w:rPr>
        <w:rFonts w:asciiTheme="minorHAnsi" w:hAnsiTheme="minorHAnsi"/>
        <w:noProof/>
        <w:sz w:val="20"/>
        <w:szCs w:val="18"/>
      </w:rPr>
      <w:t>3</w:t>
    </w:r>
    <w:r w:rsidRPr="00023962">
      <w:rPr>
        <w:rFonts w:asciiTheme="minorHAnsi" w:hAnsiTheme="minorHAnsi"/>
        <w:noProof/>
        <w:sz w:val="20"/>
        <w:szCs w:val="18"/>
      </w:rPr>
      <w:fldChar w:fldCharType="end"/>
    </w:r>
    <w:r w:rsidRPr="00023962">
      <w:rPr>
        <w:rFonts w:asciiTheme="minorHAnsi" w:hAnsiTheme="minorHAnsi"/>
        <w:noProof/>
        <w:sz w:val="20"/>
        <w:szCs w:val="18"/>
      </w:rPr>
      <w:br/>
      <w:t>C17/94-E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B241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347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FEFA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661D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32C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1686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062A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0C6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484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723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0D0D24"/>
    <w:multiLevelType w:val="hybridMultilevel"/>
    <w:tmpl w:val="A7E6C360"/>
    <w:lvl w:ilvl="0" w:tplc="E536F222">
      <w:start w:val="1"/>
      <w:numFmt w:val="decimal"/>
      <w:lvlText w:val="%1"/>
      <w:lvlJc w:val="left"/>
      <w:pPr>
        <w:ind w:left="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A0C28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FE14F6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E5DE24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F1ACEB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447CC1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76E98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38E4D1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8E225B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CB"/>
    <w:rsid w:val="00023962"/>
    <w:rsid w:val="000F05C5"/>
    <w:rsid w:val="001D7A2D"/>
    <w:rsid w:val="00264F7E"/>
    <w:rsid w:val="00460A9C"/>
    <w:rsid w:val="00B84FA7"/>
    <w:rsid w:val="00CF78CB"/>
    <w:rsid w:val="00D52DF3"/>
    <w:rsid w:val="00D96E1A"/>
    <w:rsid w:val="00F77542"/>
    <w:rsid w:val="00FC40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3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9" w:lineRule="auto"/>
      <w:ind w:left="10" w:hanging="10"/>
    </w:pPr>
    <w:rPr>
      <w:rFonts w:ascii="Book Antiqua" w:eastAsia="Book Antiqua" w:hAnsi="Book Antiqua" w:cs="Book Antiqua"/>
      <w:color w:val="000000"/>
      <w:sz w:val="24"/>
    </w:rPr>
  </w:style>
  <w:style w:type="paragraph" w:styleId="Heading1">
    <w:name w:val="heading 1"/>
    <w:next w:val="Normal"/>
    <w:link w:val="Heading1Char"/>
    <w:uiPriority w:val="9"/>
    <w:unhideWhenUsed/>
    <w:qFormat/>
    <w:pPr>
      <w:keepNext/>
      <w:keepLines/>
      <w:spacing w:after="206" w:line="263" w:lineRule="auto"/>
      <w:ind w:left="730" w:hanging="10"/>
      <w:outlineLvl w:val="0"/>
    </w:pPr>
    <w:rPr>
      <w:rFonts w:ascii="Book Antiqua" w:eastAsia="Book Antiqua" w:hAnsi="Book Antiqua" w:cs="Book Antiqua"/>
      <w:b/>
      <w:color w:val="000000"/>
      <w:sz w:val="24"/>
    </w:rPr>
  </w:style>
  <w:style w:type="paragraph" w:styleId="Heading2">
    <w:name w:val="heading 2"/>
    <w:next w:val="Normal"/>
    <w:link w:val="Heading2Char"/>
    <w:uiPriority w:val="9"/>
    <w:unhideWhenUsed/>
    <w:qFormat/>
    <w:pPr>
      <w:keepNext/>
      <w:keepLines/>
      <w:spacing w:after="0"/>
      <w:ind w:right="2"/>
      <w:jc w:val="center"/>
      <w:outlineLvl w:val="1"/>
    </w:pPr>
    <w:rPr>
      <w:rFonts w:ascii="Book Antiqua" w:eastAsia="Book Antiqua" w:hAnsi="Book Antiqua" w:cs="Book Antiqu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 Antiqua" w:eastAsia="Book Antiqua" w:hAnsi="Book Antiqua" w:cs="Book Antiqua"/>
      <w:color w:val="000000"/>
      <w:sz w:val="22"/>
      <w:u w:val="single" w:color="000000"/>
    </w:rPr>
  </w:style>
  <w:style w:type="character" w:customStyle="1" w:styleId="Heading1Char">
    <w:name w:val="Heading 1 Char"/>
    <w:link w:val="Heading1"/>
    <w:rPr>
      <w:rFonts w:ascii="Book Antiqua" w:eastAsia="Book Antiqua" w:hAnsi="Book Antiqua" w:cs="Book Antiqua"/>
      <w:b/>
      <w:color w:val="000000"/>
      <w:sz w:val="24"/>
    </w:rPr>
  </w:style>
  <w:style w:type="character" w:styleId="CommentReference">
    <w:name w:val="annotation reference"/>
    <w:basedOn w:val="DefaultParagraphFont"/>
    <w:uiPriority w:val="99"/>
    <w:semiHidden/>
    <w:unhideWhenUsed/>
    <w:rsid w:val="00FC4010"/>
    <w:rPr>
      <w:sz w:val="16"/>
      <w:szCs w:val="16"/>
    </w:rPr>
  </w:style>
  <w:style w:type="paragraph" w:styleId="CommentText">
    <w:name w:val="annotation text"/>
    <w:basedOn w:val="Normal"/>
    <w:link w:val="CommentTextChar"/>
    <w:uiPriority w:val="99"/>
    <w:semiHidden/>
    <w:unhideWhenUsed/>
    <w:rsid w:val="00FC4010"/>
    <w:pPr>
      <w:spacing w:line="240" w:lineRule="auto"/>
    </w:pPr>
    <w:rPr>
      <w:sz w:val="20"/>
      <w:szCs w:val="20"/>
    </w:rPr>
  </w:style>
  <w:style w:type="character" w:customStyle="1" w:styleId="CommentTextChar">
    <w:name w:val="Comment Text Char"/>
    <w:basedOn w:val="DefaultParagraphFont"/>
    <w:link w:val="CommentText"/>
    <w:uiPriority w:val="99"/>
    <w:semiHidden/>
    <w:rsid w:val="00FC4010"/>
    <w:rPr>
      <w:rFonts w:ascii="Book Antiqua" w:eastAsia="Book Antiqua" w:hAnsi="Book Antiqua" w:cs="Book Antiqua"/>
      <w:color w:val="000000"/>
      <w:sz w:val="20"/>
      <w:szCs w:val="20"/>
    </w:rPr>
  </w:style>
  <w:style w:type="paragraph" w:styleId="CommentSubject">
    <w:name w:val="annotation subject"/>
    <w:basedOn w:val="CommentText"/>
    <w:next w:val="CommentText"/>
    <w:link w:val="CommentSubjectChar"/>
    <w:uiPriority w:val="99"/>
    <w:semiHidden/>
    <w:unhideWhenUsed/>
    <w:rsid w:val="00FC4010"/>
    <w:rPr>
      <w:b/>
      <w:bCs/>
    </w:rPr>
  </w:style>
  <w:style w:type="character" w:customStyle="1" w:styleId="CommentSubjectChar">
    <w:name w:val="Comment Subject Char"/>
    <w:basedOn w:val="CommentTextChar"/>
    <w:link w:val="CommentSubject"/>
    <w:uiPriority w:val="99"/>
    <w:semiHidden/>
    <w:rsid w:val="00FC4010"/>
    <w:rPr>
      <w:rFonts w:ascii="Book Antiqua" w:eastAsia="Book Antiqua" w:hAnsi="Book Antiqua" w:cs="Book Antiqua"/>
      <w:b/>
      <w:bCs/>
      <w:color w:val="000000"/>
      <w:sz w:val="20"/>
      <w:szCs w:val="20"/>
    </w:rPr>
  </w:style>
  <w:style w:type="paragraph" w:styleId="BalloonText">
    <w:name w:val="Balloon Text"/>
    <w:basedOn w:val="Normal"/>
    <w:link w:val="BalloonTextChar"/>
    <w:uiPriority w:val="99"/>
    <w:semiHidden/>
    <w:unhideWhenUsed/>
    <w:rsid w:val="00FC4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10"/>
    <w:rPr>
      <w:rFonts w:ascii="Segoe UI" w:eastAsia="Book Antiqua" w:hAnsi="Segoe UI" w:cs="Segoe UI"/>
      <w:color w:val="000000"/>
      <w:sz w:val="18"/>
      <w:szCs w:val="18"/>
    </w:rPr>
  </w:style>
  <w:style w:type="paragraph" w:styleId="Header">
    <w:name w:val="header"/>
    <w:basedOn w:val="Normal"/>
    <w:link w:val="HeaderChar"/>
    <w:uiPriority w:val="99"/>
    <w:unhideWhenUsed/>
    <w:rsid w:val="000F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5C5"/>
    <w:rPr>
      <w:rFonts w:ascii="Book Antiqua" w:eastAsia="Book Antiqua" w:hAnsi="Book Antiqua" w:cs="Book Antiqua"/>
      <w:color w:val="000000"/>
      <w:sz w:val="24"/>
    </w:rPr>
  </w:style>
  <w:style w:type="paragraph" w:styleId="Footer">
    <w:name w:val="footer"/>
    <w:basedOn w:val="Normal"/>
    <w:link w:val="FooterChar"/>
    <w:uiPriority w:val="99"/>
    <w:unhideWhenUsed/>
    <w:rsid w:val="000F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5C5"/>
    <w:rPr>
      <w:rFonts w:ascii="Book Antiqua" w:eastAsia="Book Antiqua" w:hAnsi="Book Antiqua" w:cs="Book Antiqua"/>
      <w:color w:val="000000"/>
      <w:sz w:val="24"/>
    </w:rPr>
  </w:style>
  <w:style w:type="paragraph" w:customStyle="1" w:styleId="Source">
    <w:name w:val="Source"/>
    <w:basedOn w:val="Normal"/>
    <w:next w:val="Title1"/>
    <w:autoRedefine/>
    <w:rsid w:val="00023962"/>
    <w:pPr>
      <w:tabs>
        <w:tab w:val="left" w:pos="567"/>
        <w:tab w:val="left" w:pos="1134"/>
        <w:tab w:val="left" w:pos="1701"/>
        <w:tab w:val="left" w:pos="2268"/>
        <w:tab w:val="left" w:pos="2835"/>
      </w:tabs>
      <w:overflowPunct w:val="0"/>
      <w:autoSpaceDE w:val="0"/>
      <w:autoSpaceDN w:val="0"/>
      <w:adjustRightInd w:val="0"/>
      <w:spacing w:before="1080" w:after="0" w:line="240" w:lineRule="auto"/>
      <w:ind w:left="0" w:firstLine="0"/>
      <w:jc w:val="center"/>
      <w:textAlignment w:val="baseline"/>
    </w:pPr>
    <w:rPr>
      <w:rFonts w:ascii="Calibri" w:eastAsia="Times New Roman" w:hAnsi="Calibri" w:cs="Times New Roman"/>
      <w:b/>
      <w:color w:val="auto"/>
      <w:sz w:val="28"/>
      <w:szCs w:val="20"/>
      <w:lang w:val="en-GB"/>
    </w:rPr>
  </w:style>
  <w:style w:type="paragraph" w:customStyle="1" w:styleId="Title1">
    <w:name w:val="Title 1"/>
    <w:basedOn w:val="Source"/>
    <w:next w:val="Normal"/>
    <w:rsid w:val="00D52DF3"/>
    <w:pPr>
      <w:spacing w:before="240"/>
    </w:pPr>
    <w:rPr>
      <w:b w:val="0"/>
      <w:caps/>
    </w:rPr>
  </w:style>
  <w:style w:type="character" w:styleId="Hyperlink">
    <w:name w:val="Hyperlink"/>
    <w:basedOn w:val="DefaultParagraphFont"/>
    <w:uiPriority w:val="99"/>
    <w:rsid w:val="00023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03C6-04FB-4301-B77C-EA6DB68E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2017-05-01T06:19:00Z</dcterms:created>
  <dcterms:modified xsi:type="dcterms:W3CDTF">2017-05-01T08:04:00Z</dcterms:modified>
</cp:coreProperties>
</file>