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A5354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A5354B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A5354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505F26">
              <w:rPr>
                <w:b/>
              </w:rPr>
              <w:t>ADM 19</w:t>
            </w:r>
          </w:p>
        </w:tc>
        <w:tc>
          <w:tcPr>
            <w:tcW w:w="3120" w:type="dxa"/>
          </w:tcPr>
          <w:p w:rsidR="00700D1F" w:rsidRPr="00700D1F" w:rsidRDefault="00700D1F" w:rsidP="00505F26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505F26">
              <w:rPr>
                <w:b/>
                <w:bCs/>
                <w:szCs w:val="24"/>
                <w:lang w:eastAsia="zh-CN"/>
              </w:rPr>
              <w:t>92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505F26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505F2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505F2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505F26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 w:rsidR="00505F26">
              <w:rPr>
                <w:rFonts w:ascii="Times New Roman Bold" w:hAnsi="Times New Roman Bold" w:hint="eastAsia"/>
                <w:lang w:val="fr-CH" w:eastAsia="zh-CN"/>
              </w:rPr>
              <w:t>说明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Pr="00505F26" w:rsidRDefault="00505F26" w:rsidP="00164CC9">
            <w:pPr>
              <w:pStyle w:val="Title1"/>
              <w:rPr>
                <w:b/>
                <w:lang w:eastAsia="zh-CN"/>
              </w:rPr>
            </w:pPr>
            <w:r w:rsidRPr="00505F26">
              <w:rPr>
                <w:rFonts w:hint="eastAsia"/>
                <w:lang w:eastAsia="zh-CN"/>
              </w:rPr>
              <w:t>美国提交</w:t>
            </w:r>
            <w:r w:rsidRPr="00505F26">
              <w:rPr>
                <w:lang w:eastAsia="zh-CN"/>
              </w:rPr>
              <w:t>的文稿</w:t>
            </w:r>
          </w:p>
        </w:tc>
      </w:tr>
      <w:tr w:rsidR="00505F26">
        <w:trPr>
          <w:cantSplit/>
        </w:trPr>
        <w:tc>
          <w:tcPr>
            <w:tcW w:w="10031" w:type="dxa"/>
          </w:tcPr>
          <w:p w:rsidR="00505F26" w:rsidRPr="00424218" w:rsidRDefault="00505F26" w:rsidP="00242AA1">
            <w:pPr>
              <w:pStyle w:val="Title1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通过</w:t>
            </w:r>
            <w:r w:rsidRPr="0013269C">
              <w:rPr>
                <w:lang w:eastAsia="zh-CN"/>
              </w:rPr>
              <w:t>国际码号</w:t>
            </w:r>
            <w:r>
              <w:rPr>
                <w:lang w:eastAsia="zh-CN"/>
              </w:rPr>
              <w:t>资源</w:t>
            </w:r>
            <w:r>
              <w:rPr>
                <w:rFonts w:hint="eastAsia"/>
                <w:lang w:eastAsia="zh-CN"/>
              </w:rPr>
              <w:t>创收</w:t>
            </w:r>
            <w:r w:rsidRPr="0013269C">
              <w:rPr>
                <w:lang w:eastAsia="zh-CN"/>
              </w:rPr>
              <w:t>的</w:t>
            </w:r>
            <w:r w:rsidR="00424218">
              <w:rPr>
                <w:rFonts w:hint="eastAsia"/>
                <w:lang w:val="en-US" w:eastAsia="zh-CN"/>
              </w:rPr>
              <w:t>提案</w:t>
            </w:r>
          </w:p>
        </w:tc>
      </w:tr>
    </w:tbl>
    <w:p w:rsidR="0093362E" w:rsidRDefault="0093362E" w:rsidP="00001B77">
      <w:pPr>
        <w:rPr>
          <w:lang w:eastAsia="zh-CN"/>
        </w:rPr>
      </w:pPr>
    </w:p>
    <w:p w:rsidR="00505F26" w:rsidRDefault="00505F26" w:rsidP="00505F26">
      <w:pPr>
        <w:pStyle w:val="Normalaftertitle"/>
        <w:ind w:firstLineChars="200" w:firstLine="480"/>
        <w:rPr>
          <w:lang w:eastAsia="zh-CN"/>
        </w:rPr>
      </w:pPr>
      <w:r w:rsidRPr="00822597">
        <w:rPr>
          <w:lang w:eastAsia="zh-CN"/>
        </w:rPr>
        <w:t>我荣幸地向各理事国转呈</w:t>
      </w:r>
      <w:r w:rsidRPr="0013269C">
        <w:rPr>
          <w:rFonts w:asciiTheme="minorHAnsi" w:hAnsiTheme="minorHAnsi" w:cstheme="minorHAnsi" w:hint="eastAsia"/>
          <w:b/>
          <w:bCs/>
          <w:lang w:eastAsia="zh-CN"/>
        </w:rPr>
        <w:t>美国</w:t>
      </w:r>
      <w:r w:rsidRPr="00466C57">
        <w:rPr>
          <w:rFonts w:asciiTheme="minorHAnsi" w:hAnsiTheme="minorHAnsi" w:cstheme="minorHAnsi" w:hint="eastAsia"/>
          <w:lang w:eastAsia="zh-CN"/>
        </w:rPr>
        <w:t>的</w:t>
      </w:r>
      <w:r w:rsidRPr="0013269C">
        <w:rPr>
          <w:rFonts w:asciiTheme="minorHAnsi" w:hAnsiTheme="minorHAnsi" w:cstheme="minorHAnsi"/>
          <w:lang w:eastAsia="zh-CN"/>
        </w:rPr>
        <w:t>一份文稿</w:t>
      </w:r>
      <w:r w:rsidRPr="00822597">
        <w:rPr>
          <w:lang w:eastAsia="zh-CN"/>
        </w:rPr>
        <w:t>。</w:t>
      </w:r>
    </w:p>
    <w:p w:rsidR="00505F26" w:rsidRDefault="00505F26" w:rsidP="00505F2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720"/>
        <w:rPr>
          <w:rFonts w:asciiTheme="majorBidi" w:hAnsiTheme="majorBidi" w:cstheme="majorBidi"/>
          <w:lang w:eastAsia="zh-CN"/>
        </w:rPr>
      </w:pPr>
      <w:r>
        <w:rPr>
          <w:rFonts w:asciiTheme="majorBidi" w:hAnsiTheme="majorBidi" w:cstheme="majorBidi"/>
          <w:lang w:eastAsia="zh-CN"/>
        </w:rPr>
        <w:tab/>
      </w:r>
      <w:r w:rsidRPr="00822597">
        <w:rPr>
          <w:rFonts w:asciiTheme="majorBidi" w:hAnsiTheme="majorBidi" w:cstheme="majorBidi"/>
          <w:lang w:eastAsia="zh-CN"/>
        </w:rPr>
        <w:t>秘书长</w:t>
      </w:r>
      <w:r w:rsidRPr="00822597">
        <w:rPr>
          <w:rFonts w:asciiTheme="majorBidi" w:hAnsiTheme="majorBidi" w:cstheme="majorBidi"/>
          <w:lang w:eastAsia="zh-CN"/>
        </w:rPr>
        <w:br/>
      </w:r>
      <w:r>
        <w:rPr>
          <w:rFonts w:asciiTheme="majorBidi" w:hAnsiTheme="majorBidi" w:cstheme="majorBidi"/>
          <w:lang w:eastAsia="zh-CN"/>
        </w:rPr>
        <w:tab/>
      </w:r>
      <w:r w:rsidRPr="00822597">
        <w:rPr>
          <w:rFonts w:asciiTheme="majorBidi" w:hAnsiTheme="majorBidi" w:cstheme="majorBidi"/>
          <w:lang w:eastAsia="zh-CN"/>
        </w:rPr>
        <w:t>赵厚麟</w:t>
      </w:r>
    </w:p>
    <w:p w:rsidR="00B40A53" w:rsidRPr="00505F26" w:rsidRDefault="00B40A53" w:rsidP="00B40A53">
      <w:pPr>
        <w:rPr>
          <w:lang w:eastAsia="zh-CN"/>
        </w:rPr>
      </w:pPr>
    </w:p>
    <w:p w:rsidR="00E378D8" w:rsidRPr="00505F26" w:rsidRDefault="00E378D8" w:rsidP="00E378D8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eastAsia="zh-CN"/>
        </w:rPr>
      </w:pPr>
    </w:p>
    <w:p w:rsidR="00E378D8" w:rsidRPr="00505F26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eastAsia="zh-CN"/>
        </w:rPr>
      </w:pPr>
      <w:r w:rsidRPr="00505F26">
        <w:rPr>
          <w:lang w:eastAsia="zh-CN"/>
        </w:rPr>
        <w:br w:type="page"/>
      </w:r>
      <w:bookmarkStart w:id="2" w:name="_GoBack"/>
      <w:bookmarkEnd w:id="2"/>
    </w:p>
    <w:p w:rsidR="00505F26" w:rsidRPr="007324D0" w:rsidRDefault="00505F26" w:rsidP="00505F26">
      <w:pPr>
        <w:pStyle w:val="Source"/>
        <w:rPr>
          <w:lang w:eastAsia="zh-CN"/>
        </w:rPr>
      </w:pPr>
      <w:r w:rsidRPr="0013269C">
        <w:rPr>
          <w:rFonts w:hint="eastAsia"/>
          <w:lang w:eastAsia="zh-CN"/>
        </w:rPr>
        <w:lastRenderedPageBreak/>
        <w:t>美国提交</w:t>
      </w:r>
      <w:r w:rsidRPr="007950F0">
        <w:rPr>
          <w:lang w:eastAsia="zh-CN"/>
        </w:rPr>
        <w:t>的文稿</w:t>
      </w:r>
    </w:p>
    <w:p w:rsidR="00505F26" w:rsidRPr="007324D0" w:rsidRDefault="00424218" w:rsidP="00242AA1">
      <w:pPr>
        <w:pStyle w:val="Title1"/>
        <w:rPr>
          <w:lang w:eastAsia="zh-CN"/>
        </w:rPr>
      </w:pPr>
      <w:r>
        <w:rPr>
          <w:rFonts w:hint="eastAsia"/>
          <w:lang w:eastAsia="zh-CN"/>
        </w:rPr>
        <w:t>通过</w:t>
      </w:r>
      <w:r w:rsidRPr="0013269C">
        <w:rPr>
          <w:lang w:eastAsia="zh-CN"/>
        </w:rPr>
        <w:t>国际码号</w:t>
      </w:r>
      <w:r>
        <w:rPr>
          <w:lang w:eastAsia="zh-CN"/>
        </w:rPr>
        <w:t>资源</w:t>
      </w:r>
      <w:r>
        <w:rPr>
          <w:rFonts w:hint="eastAsia"/>
          <w:lang w:eastAsia="zh-CN"/>
        </w:rPr>
        <w:t>创收</w:t>
      </w:r>
      <w:r w:rsidRPr="0013269C">
        <w:rPr>
          <w:lang w:eastAsia="zh-CN"/>
        </w:rPr>
        <w:t>的</w:t>
      </w:r>
      <w:r>
        <w:rPr>
          <w:rFonts w:hint="eastAsia"/>
          <w:lang w:val="en-US" w:eastAsia="zh-CN"/>
        </w:rPr>
        <w:t>提案</w:t>
      </w:r>
    </w:p>
    <w:p w:rsidR="00505F26" w:rsidRPr="00021C3E" w:rsidRDefault="00505F26" w:rsidP="00505F26">
      <w:pPr>
        <w:rPr>
          <w:rFonts w:asciiTheme="minorHAnsi" w:hAnsiTheme="minorHAnsi"/>
          <w:b/>
          <w:bCs/>
          <w:szCs w:val="24"/>
          <w:lang w:eastAsia="zh-CN"/>
        </w:rPr>
      </w:pPr>
    </w:p>
    <w:p w:rsidR="00505F26" w:rsidRPr="00533C39" w:rsidRDefault="00424218" w:rsidP="00424218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505F26" w:rsidRPr="003E0FFD" w:rsidRDefault="00424218" w:rsidP="00310A7D">
      <w:pPr>
        <w:overflowPunct/>
        <w:autoSpaceDE/>
        <w:autoSpaceDN/>
        <w:adjustRightInd/>
        <w:ind w:firstLineChars="200" w:firstLine="480"/>
        <w:textAlignment w:val="auto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正如国际电联在</w:t>
      </w:r>
      <w:r>
        <w:rPr>
          <w:szCs w:val="24"/>
          <w:lang w:eastAsia="zh-CN"/>
        </w:rPr>
        <w:t>C17/67</w:t>
      </w:r>
      <w:r>
        <w:rPr>
          <w:rFonts w:hint="eastAsia"/>
          <w:szCs w:val="24"/>
          <w:lang w:eastAsia="zh-CN"/>
        </w:rPr>
        <w:t>号文件及提交理事会财务和人力资源工作组（</w:t>
      </w:r>
      <w:r>
        <w:rPr>
          <w:szCs w:val="24"/>
          <w:lang w:eastAsia="zh-CN"/>
        </w:rPr>
        <w:t>CWG-FHR</w:t>
      </w:r>
      <w:r>
        <w:rPr>
          <w:rFonts w:hint="eastAsia"/>
          <w:szCs w:val="24"/>
          <w:lang w:eastAsia="zh-CN"/>
        </w:rPr>
        <w:t>）</w:t>
      </w:r>
      <w:r>
        <w:rPr>
          <w:rFonts w:hint="eastAsia"/>
          <w:szCs w:val="24"/>
          <w:lang w:eastAsia="zh-CN"/>
        </w:rPr>
        <w:t>2017</w:t>
      </w:r>
      <w:r>
        <w:rPr>
          <w:rFonts w:hint="eastAsia"/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2</w:t>
      </w:r>
      <w:r>
        <w:rPr>
          <w:rFonts w:hint="eastAsia"/>
          <w:szCs w:val="24"/>
          <w:lang w:eastAsia="zh-CN"/>
        </w:rPr>
        <w:t>月会议的一篇类似文件（</w:t>
      </w:r>
      <w:r>
        <w:rPr>
          <w:szCs w:val="24"/>
          <w:lang w:eastAsia="zh-CN"/>
        </w:rPr>
        <w:t>7/4</w:t>
      </w:r>
      <w:r>
        <w:rPr>
          <w:rFonts w:hint="eastAsia"/>
          <w:szCs w:val="24"/>
          <w:lang w:eastAsia="zh-CN"/>
        </w:rPr>
        <w:t>号文件）中认识到的那样，</w:t>
      </w:r>
      <w:r w:rsidR="00505F26" w:rsidRPr="00734722">
        <w:rPr>
          <w:rFonts w:hint="eastAsia"/>
          <w:lang w:val="fr-FR" w:eastAsia="zh-CN"/>
        </w:rPr>
        <w:t>联合检查组</w:t>
      </w:r>
      <w:r w:rsidR="00505F26" w:rsidRPr="00505F26">
        <w:rPr>
          <w:rFonts w:hint="eastAsia"/>
          <w:lang w:eastAsia="zh-CN"/>
        </w:rPr>
        <w:t>（</w:t>
      </w:r>
      <w:r w:rsidR="00505F26" w:rsidRPr="00734722">
        <w:rPr>
          <w:rFonts w:hint="eastAsia"/>
          <w:lang w:val="fr-FR" w:eastAsia="zh-CN"/>
        </w:rPr>
        <w:t>联检组</w:t>
      </w:r>
      <w:r w:rsidR="00505F26" w:rsidRPr="00505F26">
        <w:rPr>
          <w:rFonts w:hint="eastAsia"/>
          <w:lang w:eastAsia="zh-CN"/>
        </w:rPr>
        <w:t>）</w:t>
      </w:r>
      <w:r w:rsidR="00505F26" w:rsidRPr="008B2A3E">
        <w:rPr>
          <w:rFonts w:hint="eastAsia"/>
          <w:lang w:val="fr-FR" w:eastAsia="zh-CN"/>
        </w:rPr>
        <w:t>在</w:t>
      </w:r>
      <w:r w:rsidR="00505F26" w:rsidRPr="00505F26">
        <w:rPr>
          <w:rFonts w:hint="eastAsia"/>
          <w:lang w:eastAsia="zh-CN"/>
        </w:rPr>
        <w:t>2016</w:t>
      </w:r>
      <w:r w:rsidR="00505F26">
        <w:rPr>
          <w:rFonts w:hint="eastAsia"/>
          <w:lang w:val="fr-FR" w:eastAsia="zh-CN"/>
        </w:rPr>
        <w:t>年</w:t>
      </w:r>
      <w:r w:rsidR="00505F26" w:rsidRPr="008B2A3E">
        <w:rPr>
          <w:rFonts w:hint="eastAsia"/>
          <w:lang w:val="fr-FR" w:eastAsia="zh-CN"/>
        </w:rPr>
        <w:t>国际电</w:t>
      </w:r>
      <w:proofErr w:type="gramStart"/>
      <w:r w:rsidR="00505F26" w:rsidRPr="008B2A3E">
        <w:rPr>
          <w:rFonts w:hint="eastAsia"/>
          <w:lang w:val="fr-FR" w:eastAsia="zh-CN"/>
        </w:rPr>
        <w:t>联报告</w:t>
      </w:r>
      <w:proofErr w:type="gramEnd"/>
      <w:r w:rsidR="00505F26" w:rsidRPr="008B2A3E">
        <w:rPr>
          <w:rFonts w:hint="eastAsia"/>
          <w:lang w:val="fr-FR" w:eastAsia="zh-CN"/>
        </w:rPr>
        <w:t>中建议</w:t>
      </w:r>
      <w:r w:rsidR="00505F26" w:rsidRPr="00505F26">
        <w:rPr>
          <w:rFonts w:hint="eastAsia"/>
          <w:lang w:eastAsia="zh-CN"/>
        </w:rPr>
        <w:t>（</w:t>
      </w:r>
      <w:r w:rsidR="00505F26" w:rsidRPr="008B2A3E">
        <w:rPr>
          <w:rFonts w:hint="eastAsia"/>
          <w:lang w:val="fr-FR" w:eastAsia="zh-CN"/>
        </w:rPr>
        <w:t>建议</w:t>
      </w:r>
      <w:r w:rsidR="00505F26" w:rsidRPr="00505F26">
        <w:rPr>
          <w:rFonts w:hint="eastAsia"/>
          <w:lang w:eastAsia="zh-CN"/>
        </w:rPr>
        <w:t>5</w:t>
      </w:r>
      <w:r w:rsidR="00505F26" w:rsidRPr="00505F26">
        <w:rPr>
          <w:rFonts w:hint="eastAsia"/>
          <w:lang w:eastAsia="zh-CN"/>
        </w:rPr>
        <w:t>），“</w:t>
      </w:r>
      <w:r w:rsidR="00505F26" w:rsidRPr="00FA20AA">
        <w:rPr>
          <w:rFonts w:hint="eastAsia"/>
          <w:szCs w:val="24"/>
          <w:lang w:eastAsia="zh-CN"/>
        </w:rPr>
        <w:t>秘书长应</w:t>
      </w:r>
      <w:r w:rsidR="00505F26">
        <w:rPr>
          <w:rFonts w:hint="eastAsia"/>
          <w:szCs w:val="24"/>
          <w:lang w:eastAsia="zh-CN"/>
        </w:rPr>
        <w:t>制</w:t>
      </w:r>
      <w:r w:rsidR="00505F26" w:rsidRPr="00FA20AA">
        <w:rPr>
          <w:rFonts w:hint="eastAsia"/>
          <w:szCs w:val="24"/>
          <w:lang w:eastAsia="zh-CN"/>
        </w:rPr>
        <w:t>定旨在提高国际电联财务基础稳定性和</w:t>
      </w:r>
      <w:proofErr w:type="gramStart"/>
      <w:r w:rsidR="00505F26" w:rsidRPr="00FA20AA">
        <w:rPr>
          <w:rFonts w:hint="eastAsia"/>
          <w:szCs w:val="24"/>
          <w:lang w:eastAsia="zh-CN"/>
        </w:rPr>
        <w:t>可</w:t>
      </w:r>
      <w:proofErr w:type="gramEnd"/>
      <w:r w:rsidR="00505F26" w:rsidRPr="00FA20AA">
        <w:rPr>
          <w:rFonts w:hint="eastAsia"/>
          <w:szCs w:val="24"/>
          <w:lang w:eastAsia="zh-CN"/>
        </w:rPr>
        <w:t>预测性的综合计划</w:t>
      </w:r>
      <w:r w:rsidR="00505F26" w:rsidRPr="00505F26">
        <w:rPr>
          <w:rFonts w:hint="eastAsia"/>
          <w:szCs w:val="24"/>
          <w:lang w:eastAsia="zh-CN"/>
        </w:rPr>
        <w:t>，</w:t>
      </w:r>
      <w:r w:rsidR="00505F26" w:rsidRPr="00FA20AA">
        <w:rPr>
          <w:rFonts w:hint="eastAsia"/>
          <w:szCs w:val="24"/>
          <w:lang w:eastAsia="zh-CN"/>
        </w:rPr>
        <w:t>将旨在增加收入的方案和节约成本的建议纳入其中</w:t>
      </w:r>
      <w:r w:rsidR="00505F26" w:rsidRPr="00505F26">
        <w:rPr>
          <w:rFonts w:hint="eastAsia"/>
          <w:szCs w:val="24"/>
          <w:lang w:eastAsia="zh-CN"/>
        </w:rPr>
        <w:t>，</w:t>
      </w:r>
      <w:r w:rsidR="00505F26" w:rsidRPr="00FA20AA">
        <w:rPr>
          <w:rFonts w:hint="eastAsia"/>
          <w:szCs w:val="24"/>
          <w:lang w:eastAsia="zh-CN"/>
        </w:rPr>
        <w:t>并提交理事会</w:t>
      </w:r>
      <w:r w:rsidR="00505F26" w:rsidRPr="00505F26">
        <w:rPr>
          <w:rFonts w:hint="eastAsia"/>
          <w:szCs w:val="24"/>
          <w:lang w:eastAsia="zh-CN"/>
        </w:rPr>
        <w:t>2017</w:t>
      </w:r>
      <w:r w:rsidR="00505F26" w:rsidRPr="00FA20AA">
        <w:rPr>
          <w:rFonts w:hint="eastAsia"/>
          <w:szCs w:val="24"/>
          <w:lang w:eastAsia="zh-CN"/>
        </w:rPr>
        <w:t>年会议首肯。</w:t>
      </w:r>
      <w:r w:rsidR="00505F26" w:rsidRPr="00505F26">
        <w:rPr>
          <w:rFonts w:hint="eastAsia"/>
          <w:lang w:val="en-US" w:eastAsia="zh-CN"/>
        </w:rPr>
        <w:t>”</w:t>
      </w:r>
      <w:r w:rsidR="00505F26">
        <w:rPr>
          <w:rFonts w:asciiTheme="minorHAnsi" w:hAnsiTheme="minorHAnsi" w:cstheme="majorBidi" w:hint="eastAsia"/>
          <w:szCs w:val="24"/>
          <w:lang w:eastAsia="zh-CN"/>
        </w:rPr>
        <w:t>2014</w:t>
      </w:r>
      <w:r w:rsidR="00505F26">
        <w:rPr>
          <w:rFonts w:asciiTheme="minorHAnsi" w:hAnsiTheme="minorHAnsi" w:cstheme="majorBidi" w:hint="eastAsia"/>
          <w:szCs w:val="24"/>
          <w:lang w:eastAsia="zh-CN"/>
        </w:rPr>
        <w:t>年全权代表大会（</w:t>
      </w:r>
      <w:r w:rsidR="00505F26" w:rsidRPr="002E2B4B">
        <w:rPr>
          <w:rFonts w:asciiTheme="minorHAnsi" w:hAnsiTheme="minorHAnsi" w:cstheme="majorBidi"/>
          <w:szCs w:val="24"/>
          <w:lang w:eastAsia="zh-CN"/>
        </w:rPr>
        <w:t>PP</w:t>
      </w:r>
      <w:r w:rsidR="00505F26">
        <w:rPr>
          <w:rFonts w:asciiTheme="minorHAnsi" w:hAnsiTheme="minorHAnsi" w:cstheme="majorBidi"/>
          <w:szCs w:val="24"/>
          <w:lang w:eastAsia="zh-CN"/>
        </w:rPr>
        <w:t>-</w:t>
      </w:r>
      <w:r w:rsidR="00505F26" w:rsidRPr="002E2B4B">
        <w:rPr>
          <w:rFonts w:asciiTheme="minorHAnsi" w:hAnsiTheme="minorHAnsi" w:cstheme="majorBidi"/>
          <w:szCs w:val="24"/>
          <w:lang w:eastAsia="zh-CN"/>
        </w:rPr>
        <w:t>14</w:t>
      </w:r>
      <w:r w:rsidR="00505F26">
        <w:rPr>
          <w:rFonts w:asciiTheme="minorHAnsi" w:hAnsiTheme="minorHAnsi" w:cstheme="majorBidi" w:hint="eastAsia"/>
          <w:szCs w:val="24"/>
          <w:lang w:eastAsia="zh-CN"/>
        </w:rPr>
        <w:t>）</w:t>
      </w:r>
      <w:r w:rsidR="00505F26">
        <w:rPr>
          <w:rFonts w:asciiTheme="minorHAnsi" w:hAnsiTheme="minorHAnsi" w:cstheme="majorBidi" w:hint="eastAsia"/>
          <w:szCs w:val="24"/>
          <w:lang w:val="en-US" w:eastAsia="zh-CN"/>
        </w:rPr>
        <w:t>（第</w:t>
      </w:r>
      <w:r w:rsidR="00505F26">
        <w:rPr>
          <w:rFonts w:asciiTheme="minorHAnsi" w:hAnsiTheme="minorHAnsi" w:cstheme="majorBidi" w:hint="eastAsia"/>
          <w:szCs w:val="24"/>
          <w:lang w:val="en-US" w:eastAsia="zh-CN"/>
        </w:rPr>
        <w:t>158</w:t>
      </w:r>
      <w:r w:rsidR="00505F26">
        <w:rPr>
          <w:rFonts w:asciiTheme="minorHAnsi" w:hAnsiTheme="minorHAnsi" w:cstheme="majorBidi" w:hint="eastAsia"/>
          <w:szCs w:val="24"/>
          <w:lang w:val="en-US" w:eastAsia="zh-CN"/>
        </w:rPr>
        <w:t>号决议（</w:t>
      </w:r>
      <w:r w:rsidR="00505F26">
        <w:rPr>
          <w:rFonts w:asciiTheme="minorHAnsi" w:hAnsiTheme="minorHAnsi" w:cstheme="majorBidi" w:hint="eastAsia"/>
          <w:szCs w:val="24"/>
          <w:lang w:val="en-US" w:eastAsia="zh-CN"/>
        </w:rPr>
        <w:t>2014</w:t>
      </w:r>
      <w:r w:rsidR="00505F26">
        <w:rPr>
          <w:rFonts w:asciiTheme="minorHAnsi" w:hAnsiTheme="minorHAnsi" w:cstheme="majorBidi" w:hint="eastAsia"/>
          <w:szCs w:val="24"/>
          <w:lang w:val="en-US" w:eastAsia="zh-CN"/>
        </w:rPr>
        <w:t>年，釜山，修订版））</w:t>
      </w:r>
      <w:r>
        <w:rPr>
          <w:rFonts w:asciiTheme="minorHAnsi" w:hAnsiTheme="minorHAnsi" w:cstheme="majorBidi" w:hint="eastAsia"/>
          <w:szCs w:val="24"/>
          <w:lang w:val="en-US" w:eastAsia="zh-CN"/>
        </w:rPr>
        <w:t>也同样</w:t>
      </w:r>
      <w:r w:rsidR="00505F26">
        <w:rPr>
          <w:rFonts w:asciiTheme="minorHAnsi" w:hAnsiTheme="minorHAnsi" w:cstheme="majorBidi" w:hint="eastAsia"/>
          <w:szCs w:val="24"/>
          <w:lang w:val="en-US" w:eastAsia="zh-CN"/>
        </w:rPr>
        <w:t>要求秘书长</w:t>
      </w:r>
      <w:r w:rsidR="00505F26">
        <w:rPr>
          <w:rFonts w:hint="eastAsia"/>
          <w:color w:val="000000"/>
          <w:lang w:eastAsia="zh-CN"/>
        </w:rPr>
        <w:t>通过理事会财务和人力资源工作组，就</w:t>
      </w:r>
      <w:r>
        <w:rPr>
          <w:rFonts w:hint="eastAsia"/>
          <w:color w:val="000000"/>
          <w:lang w:eastAsia="zh-CN"/>
        </w:rPr>
        <w:t>创</w:t>
      </w:r>
      <w:r w:rsidR="00505F26">
        <w:rPr>
          <w:rFonts w:hint="eastAsia"/>
          <w:color w:val="000000"/>
          <w:lang w:eastAsia="zh-CN"/>
        </w:rPr>
        <w:t>收的可选方案开展研究并向理事会提出建议。</w:t>
      </w:r>
      <w:r w:rsidR="00505F26" w:rsidRPr="005C464F">
        <w:rPr>
          <w:rFonts w:hint="eastAsia"/>
          <w:color w:val="000000"/>
          <w:lang w:eastAsia="zh-CN"/>
        </w:rPr>
        <w:t>国际电联管理</w:t>
      </w:r>
      <w:proofErr w:type="gramStart"/>
      <w:r w:rsidR="00505F26" w:rsidRPr="005C464F">
        <w:rPr>
          <w:rFonts w:hint="eastAsia"/>
          <w:color w:val="000000"/>
          <w:lang w:eastAsia="zh-CN"/>
        </w:rPr>
        <w:t>层成立</w:t>
      </w:r>
      <w:proofErr w:type="gramEnd"/>
      <w:r w:rsidR="00505F26">
        <w:rPr>
          <w:rFonts w:hint="eastAsia"/>
          <w:color w:val="000000"/>
          <w:lang w:eastAsia="zh-CN"/>
        </w:rPr>
        <w:t>了以</w:t>
      </w:r>
      <w:r w:rsidR="00505F26" w:rsidRPr="005C464F">
        <w:rPr>
          <w:rFonts w:hint="eastAsia"/>
          <w:color w:val="000000"/>
          <w:lang w:eastAsia="zh-CN"/>
        </w:rPr>
        <w:t>副秘书长</w:t>
      </w:r>
      <w:r>
        <w:rPr>
          <w:rFonts w:hint="eastAsia"/>
          <w:color w:val="000000"/>
          <w:lang w:eastAsia="zh-CN"/>
        </w:rPr>
        <w:t>为首</w:t>
      </w:r>
      <w:r w:rsidR="00505F26" w:rsidRPr="005C464F">
        <w:rPr>
          <w:rFonts w:hint="eastAsia"/>
          <w:color w:val="000000"/>
          <w:lang w:eastAsia="zh-CN"/>
        </w:rPr>
        <w:t>的</w:t>
      </w:r>
      <w:r>
        <w:rPr>
          <w:rFonts w:hint="eastAsia"/>
          <w:color w:val="000000"/>
          <w:lang w:eastAsia="zh-CN"/>
        </w:rPr>
        <w:t>内部小</w:t>
      </w:r>
      <w:r w:rsidR="00505F26" w:rsidRPr="005C464F">
        <w:rPr>
          <w:rFonts w:hint="eastAsia"/>
          <w:color w:val="000000"/>
          <w:lang w:eastAsia="zh-CN"/>
        </w:rPr>
        <w:t>组，</w:t>
      </w:r>
      <w:r w:rsidR="00505F26">
        <w:rPr>
          <w:rFonts w:hint="eastAsia"/>
          <w:color w:val="000000"/>
          <w:lang w:eastAsia="zh-CN"/>
        </w:rPr>
        <w:t>并赋予它</w:t>
      </w:r>
      <w:r w:rsidR="00505F26" w:rsidRPr="005C464F">
        <w:rPr>
          <w:rFonts w:hint="eastAsia"/>
          <w:color w:val="000000"/>
          <w:lang w:eastAsia="zh-CN"/>
        </w:rPr>
        <w:t>研究该</w:t>
      </w:r>
      <w:r>
        <w:rPr>
          <w:rFonts w:hint="eastAsia"/>
          <w:color w:val="000000"/>
          <w:lang w:eastAsia="zh-CN"/>
        </w:rPr>
        <w:t>议题并</w:t>
      </w:r>
      <w:r w:rsidR="00505F26" w:rsidRPr="005C464F">
        <w:rPr>
          <w:rFonts w:hint="eastAsia"/>
          <w:color w:val="000000"/>
          <w:lang w:eastAsia="zh-CN"/>
        </w:rPr>
        <w:t>提出建议</w:t>
      </w:r>
      <w:r w:rsidR="00505F26">
        <w:rPr>
          <w:rFonts w:hint="eastAsia"/>
          <w:color w:val="000000"/>
          <w:lang w:eastAsia="zh-CN"/>
        </w:rPr>
        <w:t>的工作</w:t>
      </w:r>
      <w:r w:rsidR="00505F26" w:rsidRPr="005C464F">
        <w:rPr>
          <w:rFonts w:hint="eastAsia"/>
          <w:color w:val="000000"/>
          <w:lang w:eastAsia="zh-CN"/>
        </w:rPr>
        <w:t>。</w:t>
      </w:r>
      <w:r w:rsidR="00505F26">
        <w:rPr>
          <w:rFonts w:cstheme="majorBidi"/>
          <w:szCs w:val="24"/>
          <w:lang w:eastAsia="zh-CN"/>
        </w:rPr>
        <w:t>C17/67</w:t>
      </w:r>
      <w:r>
        <w:rPr>
          <w:rFonts w:cstheme="majorBidi" w:hint="eastAsia"/>
          <w:szCs w:val="24"/>
          <w:lang w:eastAsia="zh-CN"/>
        </w:rPr>
        <w:t>号文件附件</w:t>
      </w:r>
      <w:r>
        <w:rPr>
          <w:rFonts w:cstheme="majorBidi" w:hint="eastAsia"/>
          <w:szCs w:val="24"/>
          <w:lang w:eastAsia="zh-CN"/>
        </w:rPr>
        <w:t>1</w:t>
      </w:r>
      <w:r>
        <w:rPr>
          <w:rFonts w:cstheme="majorBidi" w:hint="eastAsia"/>
          <w:szCs w:val="24"/>
          <w:lang w:eastAsia="zh-CN"/>
        </w:rPr>
        <w:t>包含了资源筹措战略的原则，附件</w:t>
      </w:r>
      <w:r>
        <w:rPr>
          <w:rFonts w:cstheme="majorBidi" w:hint="eastAsia"/>
          <w:szCs w:val="24"/>
          <w:lang w:eastAsia="zh-CN"/>
        </w:rPr>
        <w:t>2</w:t>
      </w:r>
      <w:r>
        <w:rPr>
          <w:rFonts w:cstheme="majorBidi" w:hint="eastAsia"/>
          <w:szCs w:val="24"/>
          <w:lang w:eastAsia="zh-CN"/>
        </w:rPr>
        <w:t>包含了创收的拟议领域。</w:t>
      </w:r>
      <w:r w:rsidR="00C125F8">
        <w:rPr>
          <w:rFonts w:cstheme="majorBidi" w:hint="eastAsia"/>
          <w:szCs w:val="24"/>
          <w:lang w:eastAsia="zh-CN"/>
        </w:rPr>
        <w:t>在</w:t>
      </w:r>
      <w:r w:rsidR="00505F26">
        <w:rPr>
          <w:rFonts w:cstheme="majorBidi"/>
          <w:szCs w:val="24"/>
          <w:lang w:eastAsia="zh-CN"/>
        </w:rPr>
        <w:t>C17/43</w:t>
      </w:r>
      <w:r w:rsidR="00C125F8">
        <w:rPr>
          <w:rFonts w:cstheme="majorBidi" w:hint="eastAsia"/>
          <w:szCs w:val="24"/>
          <w:lang w:eastAsia="zh-CN"/>
        </w:rPr>
        <w:t>号文件中考虑了通过</w:t>
      </w:r>
      <w:r w:rsidR="00C125F8">
        <w:rPr>
          <w:rFonts w:cstheme="majorBidi" w:hint="eastAsia"/>
          <w:szCs w:val="24"/>
          <w:lang w:eastAsia="zh-CN"/>
        </w:rPr>
        <w:t>INR</w:t>
      </w:r>
      <w:r w:rsidR="00C125F8">
        <w:rPr>
          <w:rFonts w:cstheme="majorBidi" w:hint="eastAsia"/>
          <w:szCs w:val="24"/>
          <w:lang w:eastAsia="zh-CN"/>
        </w:rPr>
        <w:t>创收的一项提案。</w:t>
      </w:r>
    </w:p>
    <w:p w:rsidR="00505F26" w:rsidRPr="003E0FFD" w:rsidRDefault="00DB02CF" w:rsidP="00DB02CF">
      <w:pPr>
        <w:pStyle w:val="Headingb"/>
        <w:rPr>
          <w:lang w:eastAsia="zh-CN"/>
        </w:rPr>
      </w:pPr>
      <w:r>
        <w:rPr>
          <w:rFonts w:hint="eastAsia"/>
          <w:lang w:eastAsia="zh-CN"/>
        </w:rPr>
        <w:t>讨论</w:t>
      </w:r>
    </w:p>
    <w:p w:rsidR="00505F26" w:rsidRPr="003E0FFD" w:rsidRDefault="00DB02CF" w:rsidP="00242AA1">
      <w:pPr>
        <w:overflowPunct/>
        <w:autoSpaceDE/>
        <w:autoSpaceDN/>
        <w:adjustRightInd/>
        <w:ind w:firstLineChars="200" w:firstLine="480"/>
        <w:textAlignment w:val="auto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美国</w:t>
      </w:r>
      <w:r w:rsidR="00907334">
        <w:rPr>
          <w:rFonts w:hint="eastAsia"/>
          <w:szCs w:val="24"/>
          <w:lang w:eastAsia="zh-CN"/>
        </w:rPr>
        <w:t>为</w:t>
      </w:r>
      <w:r w:rsidR="00907334">
        <w:rPr>
          <w:szCs w:val="24"/>
          <w:lang w:eastAsia="zh-CN"/>
        </w:rPr>
        <w:t>C17/67</w:t>
      </w:r>
      <w:r w:rsidR="00907334">
        <w:rPr>
          <w:rFonts w:hint="eastAsia"/>
          <w:szCs w:val="24"/>
          <w:lang w:eastAsia="zh-CN"/>
        </w:rPr>
        <w:t>号文件所反映的、国际电</w:t>
      </w:r>
      <w:proofErr w:type="gramStart"/>
      <w:r w:rsidR="00907334">
        <w:rPr>
          <w:rFonts w:hint="eastAsia"/>
          <w:szCs w:val="24"/>
          <w:lang w:eastAsia="zh-CN"/>
        </w:rPr>
        <w:t>联采取</w:t>
      </w:r>
      <w:proofErr w:type="gramEnd"/>
      <w:r w:rsidR="00907334">
        <w:rPr>
          <w:rFonts w:hint="eastAsia"/>
          <w:szCs w:val="24"/>
          <w:lang w:eastAsia="zh-CN"/>
        </w:rPr>
        <w:t>措施，确定提高国际电联财务稳定性的各种方法感到鼓舞。该文件中的大多数建议值得进一步研究，以制定更为明确的落实方案。但是，我们注意到，</w:t>
      </w:r>
      <w:r w:rsidR="00520DF1" w:rsidRPr="00F17347">
        <w:rPr>
          <w:lang w:eastAsia="zh-CN"/>
        </w:rPr>
        <w:t>附件</w:t>
      </w:r>
      <w:r w:rsidR="00520DF1" w:rsidRPr="00F17347">
        <w:rPr>
          <w:rFonts w:hint="eastAsia"/>
          <w:lang w:eastAsia="zh-CN"/>
        </w:rPr>
        <w:t>2</w:t>
      </w:r>
      <w:r w:rsidR="00520DF1" w:rsidRPr="00F17347">
        <w:rPr>
          <w:rFonts w:hint="eastAsia"/>
          <w:lang w:eastAsia="zh-CN"/>
        </w:rPr>
        <w:t>中</w:t>
      </w:r>
      <w:r w:rsidR="00520DF1" w:rsidRPr="00F17347">
        <w:rPr>
          <w:lang w:eastAsia="zh-CN"/>
        </w:rPr>
        <w:t>的第一项提案</w:t>
      </w:r>
      <w:r w:rsidR="00907334">
        <w:rPr>
          <w:rFonts w:hint="eastAsia"/>
          <w:lang w:eastAsia="zh-CN"/>
        </w:rPr>
        <w:t>建议</w:t>
      </w:r>
      <w:r w:rsidR="00520DF1" w:rsidRPr="00F17347">
        <w:rPr>
          <w:lang w:eastAsia="zh-CN"/>
        </w:rPr>
        <w:t>，为了</w:t>
      </w:r>
      <w:r w:rsidR="00520DF1">
        <w:rPr>
          <w:rFonts w:hint="eastAsia"/>
          <w:lang w:eastAsia="zh-CN"/>
        </w:rPr>
        <w:t>针对由</w:t>
      </w:r>
      <w:r w:rsidR="00520DF1" w:rsidRPr="00F17347">
        <w:rPr>
          <w:lang w:eastAsia="zh-CN"/>
        </w:rPr>
        <w:t>国际电</w:t>
      </w:r>
      <w:proofErr w:type="gramStart"/>
      <w:r w:rsidR="00520DF1" w:rsidRPr="00F17347">
        <w:rPr>
          <w:lang w:eastAsia="zh-CN"/>
        </w:rPr>
        <w:t>联分配</w:t>
      </w:r>
      <w:proofErr w:type="gramEnd"/>
      <w:r w:rsidR="00520DF1" w:rsidRPr="00F17347">
        <w:rPr>
          <w:lang w:eastAsia="zh-CN"/>
        </w:rPr>
        <w:t>的某些国际码</w:t>
      </w:r>
      <w:r w:rsidR="008E3E39" w:rsidRPr="00F17347">
        <w:rPr>
          <w:lang w:eastAsia="zh-CN"/>
        </w:rPr>
        <w:t>号</w:t>
      </w:r>
      <w:r w:rsidR="00520DF1" w:rsidRPr="00F17347">
        <w:rPr>
          <w:lang w:eastAsia="zh-CN"/>
        </w:rPr>
        <w:t>资源（</w:t>
      </w:r>
      <w:r w:rsidR="00520DF1" w:rsidRPr="00F17347">
        <w:rPr>
          <w:rFonts w:hint="eastAsia"/>
          <w:lang w:eastAsia="zh-CN"/>
        </w:rPr>
        <w:t>INR</w:t>
      </w:r>
      <w:r w:rsidR="00520DF1" w:rsidRPr="00F17347">
        <w:rPr>
          <w:lang w:eastAsia="zh-CN"/>
        </w:rPr>
        <w:t>）</w:t>
      </w:r>
      <w:r w:rsidR="00242AA1" w:rsidRPr="00F17347">
        <w:rPr>
          <w:lang w:eastAsia="zh-CN"/>
        </w:rPr>
        <w:t>可能</w:t>
      </w:r>
      <w:r w:rsidR="008E3E39">
        <w:rPr>
          <w:rFonts w:hint="eastAsia"/>
          <w:lang w:eastAsia="zh-CN"/>
        </w:rPr>
        <w:t>收取</w:t>
      </w:r>
      <w:r w:rsidR="00520DF1" w:rsidRPr="00F17347">
        <w:rPr>
          <w:lang w:eastAsia="zh-CN"/>
        </w:rPr>
        <w:t>基于市场的</w:t>
      </w:r>
      <w:r w:rsidR="008E3E39">
        <w:rPr>
          <w:rFonts w:hint="eastAsia"/>
          <w:lang w:eastAsia="zh-CN"/>
        </w:rPr>
        <w:t>费用</w:t>
      </w:r>
      <w:r w:rsidR="00520DF1" w:rsidRPr="00F17347">
        <w:rPr>
          <w:lang w:eastAsia="zh-CN"/>
        </w:rPr>
        <w:t>以及这些号码可能的年度维护费，需完成市场分析。</w:t>
      </w:r>
    </w:p>
    <w:p w:rsidR="00505F26" w:rsidRDefault="00310A7D" w:rsidP="00310A7D">
      <w:pPr>
        <w:overflowPunct/>
        <w:autoSpaceDE/>
        <w:autoSpaceDN/>
        <w:adjustRightInd/>
        <w:ind w:firstLineChars="200" w:firstLine="480"/>
        <w:textAlignment w:val="auto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正如我们</w:t>
      </w:r>
      <w:proofErr w:type="gramStart"/>
      <w:r>
        <w:rPr>
          <w:rFonts w:hint="eastAsia"/>
          <w:szCs w:val="24"/>
          <w:lang w:eastAsia="zh-CN"/>
        </w:rPr>
        <w:t>以往指出</w:t>
      </w:r>
      <w:proofErr w:type="gramEnd"/>
      <w:r>
        <w:rPr>
          <w:rFonts w:hint="eastAsia"/>
          <w:szCs w:val="24"/>
          <w:lang w:eastAsia="zh-CN"/>
        </w:rPr>
        <w:t>的那样，美国认为不应采纳该建议。首先，并没有许多号码可以收取此类费用（假定评估后确定可以收取该笔费用），经济上得不偿失。这是专家组首份报告的结论之一，报告指出：“</w:t>
      </w:r>
      <w:r w:rsidR="00520DF1">
        <w:rPr>
          <w:rFonts w:hint="eastAsia"/>
          <w:iCs/>
          <w:szCs w:val="24"/>
          <w:lang w:eastAsia="zh-CN"/>
        </w:rPr>
        <w:t>通过直接对电信标准化局</w:t>
      </w:r>
      <w:r w:rsidR="00520DF1">
        <w:rPr>
          <w:rFonts w:hint="eastAsia"/>
          <w:szCs w:val="24"/>
          <w:lang w:eastAsia="zh-CN"/>
        </w:rPr>
        <w:t>分配</w:t>
      </w:r>
      <w:r w:rsidR="00520DF1">
        <w:rPr>
          <w:rFonts w:hint="eastAsia"/>
          <w:iCs/>
          <w:szCs w:val="24"/>
          <w:lang w:eastAsia="zh-CN"/>
        </w:rPr>
        <w:t>的</w:t>
      </w:r>
      <w:r w:rsidR="00520DF1">
        <w:rPr>
          <w:szCs w:val="24"/>
          <w:lang w:eastAsia="zh-CN"/>
        </w:rPr>
        <w:t>[</w:t>
      </w:r>
      <w:r w:rsidR="00520DF1" w:rsidRPr="00E17DEB">
        <w:rPr>
          <w:szCs w:val="24"/>
          <w:lang w:eastAsia="zh-CN"/>
        </w:rPr>
        <w:t>INR]</w:t>
      </w:r>
      <w:r w:rsidR="00520DF1">
        <w:rPr>
          <w:rFonts w:hint="eastAsia"/>
          <w:szCs w:val="24"/>
          <w:lang w:eastAsia="zh-CN"/>
        </w:rPr>
        <w:t>收费获得可观的额外收入似乎不够现实</w:t>
      </w:r>
      <w:r w:rsidR="00520DF1" w:rsidRPr="00520DF1">
        <w:rPr>
          <w:rFonts w:ascii="SimSun" w:hAnsi="SimSun"/>
          <w:szCs w:val="24"/>
          <w:lang w:eastAsia="zh-CN"/>
        </w:rPr>
        <w:t>”</w:t>
      </w:r>
      <w:r>
        <w:rPr>
          <w:rFonts w:ascii="SimSun" w:hAnsi="SimSun" w:hint="eastAsia"/>
          <w:szCs w:val="24"/>
          <w:lang w:eastAsia="zh-CN"/>
        </w:rPr>
        <w:t>。其次，正如美国已经解释指出的那样，美国</w:t>
      </w:r>
      <w:r w:rsidR="00520DF1" w:rsidRPr="00F17347">
        <w:rPr>
          <w:lang w:eastAsia="zh-CN"/>
        </w:rPr>
        <w:t>有关电信号码分配的规则</w:t>
      </w:r>
      <w:r>
        <w:rPr>
          <w:rFonts w:hint="eastAsia"/>
          <w:lang w:eastAsia="zh-CN"/>
        </w:rPr>
        <w:t>明确</w:t>
      </w:r>
      <w:r w:rsidR="00520DF1" w:rsidRPr="00F17347">
        <w:rPr>
          <w:lang w:eastAsia="zh-CN"/>
        </w:rPr>
        <w:t>要求此类收费必须以成本为基础，而非基于</w:t>
      </w:r>
      <w:r w:rsidR="00520DF1" w:rsidRPr="00F17347">
        <w:rPr>
          <w:rFonts w:hint="eastAsia"/>
          <w:lang w:eastAsia="zh-CN"/>
        </w:rPr>
        <w:t>市场</w:t>
      </w:r>
      <w:r w:rsidR="00520DF1" w:rsidRPr="00F17347">
        <w:rPr>
          <w:lang w:eastAsia="zh-CN"/>
        </w:rPr>
        <w:t>。</w:t>
      </w:r>
      <w:r>
        <w:rPr>
          <w:rFonts w:hint="eastAsia"/>
          <w:lang w:eastAsia="zh-CN"/>
        </w:rPr>
        <w:t>因此，</w:t>
      </w:r>
      <w:r w:rsidR="00520DF1" w:rsidRPr="00F17347">
        <w:rPr>
          <w:lang w:eastAsia="zh-CN"/>
        </w:rPr>
        <w:t>美国</w:t>
      </w:r>
      <w:r w:rsidR="00520DF1" w:rsidRPr="00F17347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业务</w:t>
      </w:r>
      <w:r w:rsidR="00520DF1" w:rsidRPr="00F17347">
        <w:rPr>
          <w:lang w:eastAsia="zh-CN"/>
        </w:rPr>
        <w:t>提供商很可能被</w:t>
      </w:r>
      <w:r w:rsidR="00520DF1" w:rsidRPr="00F17347">
        <w:rPr>
          <w:rFonts w:hint="eastAsia"/>
          <w:lang w:eastAsia="zh-CN"/>
        </w:rPr>
        <w:t>禁止</w:t>
      </w:r>
      <w:r w:rsidR="00520DF1" w:rsidRPr="00F17347">
        <w:rPr>
          <w:lang w:eastAsia="zh-CN"/>
        </w:rPr>
        <w:t>为国际电</w:t>
      </w:r>
      <w:proofErr w:type="gramStart"/>
      <w:r w:rsidR="00520DF1" w:rsidRPr="00F17347">
        <w:rPr>
          <w:lang w:eastAsia="zh-CN"/>
        </w:rPr>
        <w:t>联分配</w:t>
      </w:r>
      <w:proofErr w:type="gramEnd"/>
      <w:r w:rsidR="00520DF1" w:rsidRPr="00F17347">
        <w:rPr>
          <w:lang w:eastAsia="zh-CN"/>
        </w:rPr>
        <w:t>的这些号码支付基于市场的费用。</w:t>
      </w:r>
      <w:r>
        <w:rPr>
          <w:rFonts w:hint="eastAsia"/>
          <w:lang w:eastAsia="zh-CN"/>
        </w:rPr>
        <w:t>最后，正如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szCs w:val="24"/>
          <w:lang w:eastAsia="zh-CN"/>
        </w:rPr>
        <w:t>CWG-FHR</w:t>
      </w:r>
      <w:r>
        <w:rPr>
          <w:rFonts w:hint="eastAsia"/>
          <w:lang w:eastAsia="zh-CN"/>
        </w:rPr>
        <w:t>会议讨论（</w:t>
      </w:r>
      <w:r>
        <w:rPr>
          <w:szCs w:val="24"/>
          <w:lang w:eastAsia="zh-CN"/>
        </w:rPr>
        <w:t>C17/50</w:t>
      </w:r>
      <w:r>
        <w:rPr>
          <w:rFonts w:hint="eastAsia"/>
          <w:lang w:eastAsia="zh-CN"/>
        </w:rPr>
        <w:t>号文件</w:t>
      </w:r>
      <w:r>
        <w:rPr>
          <w:szCs w:val="24"/>
          <w:lang w:eastAsia="zh-CN"/>
        </w:rPr>
        <w:t>9.27 – 9.29</w:t>
      </w:r>
      <w:r>
        <w:rPr>
          <w:rFonts w:hint="eastAsia"/>
          <w:szCs w:val="24"/>
          <w:lang w:eastAsia="zh-CN"/>
        </w:rPr>
        <w:t>节</w:t>
      </w:r>
      <w:r>
        <w:rPr>
          <w:rFonts w:hint="eastAsia"/>
          <w:lang w:eastAsia="zh-CN"/>
        </w:rPr>
        <w:t>）再次确认的那样，并未就采纳这一建议达成共识。</w:t>
      </w:r>
      <w:r w:rsidR="00505F26">
        <w:rPr>
          <w:szCs w:val="24"/>
          <w:lang w:eastAsia="zh-CN"/>
        </w:rPr>
        <w:t xml:space="preserve"> </w:t>
      </w:r>
    </w:p>
    <w:p w:rsidR="00505F26" w:rsidRDefault="00505F26" w:rsidP="00242AA1">
      <w:pPr>
        <w:overflowPunct/>
        <w:autoSpaceDE/>
        <w:autoSpaceDN/>
        <w:adjustRightInd/>
        <w:ind w:firstLineChars="200" w:firstLine="480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t>C17/67</w:t>
      </w:r>
      <w:r w:rsidR="00A2515D">
        <w:rPr>
          <w:rFonts w:hint="eastAsia"/>
          <w:szCs w:val="24"/>
          <w:lang w:eastAsia="zh-CN"/>
        </w:rPr>
        <w:t>号文件建议对</w:t>
      </w:r>
      <w:r w:rsidR="00D461C3">
        <w:rPr>
          <w:rFonts w:hint="eastAsia"/>
          <w:szCs w:val="24"/>
          <w:lang w:eastAsia="zh-CN"/>
        </w:rPr>
        <w:t>非国际电联成员收取</w:t>
      </w:r>
      <w:r>
        <w:rPr>
          <w:szCs w:val="24"/>
          <w:lang w:eastAsia="zh-CN"/>
        </w:rPr>
        <w:t>UIFN</w:t>
      </w:r>
      <w:r w:rsidR="00D461C3">
        <w:rPr>
          <w:rFonts w:hint="eastAsia"/>
          <w:szCs w:val="24"/>
          <w:lang w:eastAsia="zh-CN"/>
        </w:rPr>
        <w:t>和</w:t>
      </w:r>
      <w:r>
        <w:rPr>
          <w:szCs w:val="24"/>
          <w:lang w:eastAsia="zh-CN"/>
        </w:rPr>
        <w:t>IIN</w:t>
      </w:r>
      <w:r w:rsidR="00D461C3">
        <w:rPr>
          <w:rFonts w:hint="eastAsia"/>
          <w:szCs w:val="24"/>
          <w:lang w:eastAsia="zh-CN"/>
        </w:rPr>
        <w:t>年费。</w:t>
      </w:r>
      <w:r w:rsidR="007C5839">
        <w:rPr>
          <w:rFonts w:hint="eastAsia"/>
          <w:szCs w:val="24"/>
          <w:lang w:eastAsia="zh-CN"/>
        </w:rPr>
        <w:t>并未解释如何确定了拟议的金额或任何证明所</w:t>
      </w:r>
      <w:r w:rsidR="00242AA1">
        <w:rPr>
          <w:rFonts w:hint="eastAsia"/>
          <w:szCs w:val="24"/>
          <w:lang w:eastAsia="zh-CN"/>
        </w:rPr>
        <w:t>定</w:t>
      </w:r>
      <w:r w:rsidR="007C5839">
        <w:rPr>
          <w:rFonts w:hint="eastAsia"/>
          <w:szCs w:val="24"/>
          <w:lang w:eastAsia="zh-CN"/>
        </w:rPr>
        <w:t>金额正当性的分析。未提供任何支持这些费用基于成本的信息。</w:t>
      </w:r>
      <w:r>
        <w:rPr>
          <w:szCs w:val="24"/>
          <w:lang w:eastAsia="zh-CN"/>
        </w:rPr>
        <w:t>C17/43</w:t>
      </w:r>
      <w:r w:rsidR="007C5839">
        <w:rPr>
          <w:rFonts w:hint="eastAsia"/>
          <w:szCs w:val="24"/>
          <w:lang w:eastAsia="zh-CN"/>
        </w:rPr>
        <w:t>号文件提供了有关国际电联管理</w:t>
      </w:r>
      <w:r w:rsidR="007C5839">
        <w:rPr>
          <w:rFonts w:hint="eastAsia"/>
          <w:szCs w:val="24"/>
          <w:lang w:eastAsia="zh-CN"/>
        </w:rPr>
        <w:t>INR</w:t>
      </w:r>
      <w:r w:rsidR="007C5839">
        <w:rPr>
          <w:rFonts w:hint="eastAsia"/>
          <w:szCs w:val="24"/>
          <w:lang w:eastAsia="zh-CN"/>
        </w:rPr>
        <w:t>的成本的泛泛信息，</w:t>
      </w:r>
      <w:r w:rsidR="00242AA1">
        <w:rPr>
          <w:rFonts w:hint="eastAsia"/>
          <w:szCs w:val="24"/>
          <w:lang w:eastAsia="zh-CN"/>
        </w:rPr>
        <w:t>其中</w:t>
      </w:r>
      <w:r w:rsidR="007C5839">
        <w:rPr>
          <w:rFonts w:hint="eastAsia"/>
          <w:szCs w:val="24"/>
          <w:lang w:eastAsia="zh-CN"/>
        </w:rPr>
        <w:t>有一句话</w:t>
      </w:r>
      <w:r w:rsidR="00242AA1">
        <w:rPr>
          <w:rFonts w:hint="eastAsia"/>
          <w:szCs w:val="24"/>
          <w:lang w:eastAsia="zh-CN"/>
        </w:rPr>
        <w:t>估算</w:t>
      </w:r>
      <w:r w:rsidR="007C5839">
        <w:rPr>
          <w:rFonts w:hint="eastAsia"/>
          <w:szCs w:val="24"/>
          <w:lang w:eastAsia="zh-CN"/>
        </w:rPr>
        <w:t>了管理</w:t>
      </w:r>
      <w:r>
        <w:rPr>
          <w:szCs w:val="24"/>
          <w:lang w:eastAsia="zh-CN"/>
        </w:rPr>
        <w:t>UIFN</w:t>
      </w:r>
      <w:r w:rsidR="007C5839">
        <w:rPr>
          <w:rFonts w:hint="eastAsia"/>
          <w:szCs w:val="24"/>
          <w:lang w:eastAsia="zh-CN"/>
        </w:rPr>
        <w:t>和</w:t>
      </w:r>
      <w:r>
        <w:rPr>
          <w:szCs w:val="24"/>
          <w:lang w:eastAsia="zh-CN"/>
        </w:rPr>
        <w:t>IIN</w:t>
      </w:r>
      <w:r w:rsidR="007C5839">
        <w:rPr>
          <w:rFonts w:hint="eastAsia"/>
          <w:szCs w:val="24"/>
          <w:lang w:eastAsia="zh-CN"/>
        </w:rPr>
        <w:t>的成本，但并未提供任何如何得出该估算值及为何该值准确合理的解释、信息或分析。</w:t>
      </w:r>
    </w:p>
    <w:p w:rsidR="00505F26" w:rsidRPr="003E0FFD" w:rsidRDefault="007C5839" w:rsidP="007C5839">
      <w:pPr>
        <w:pStyle w:val="Headingb"/>
        <w:rPr>
          <w:lang w:eastAsia="zh-CN"/>
        </w:rPr>
      </w:pPr>
      <w:r>
        <w:rPr>
          <w:rFonts w:hint="eastAsia"/>
          <w:lang w:eastAsia="zh-CN"/>
        </w:rPr>
        <w:t>建议</w:t>
      </w:r>
    </w:p>
    <w:p w:rsidR="00505F26" w:rsidRPr="003E0FFD" w:rsidRDefault="007C5839" w:rsidP="00242AA1">
      <w:pPr>
        <w:overflowPunct/>
        <w:autoSpaceDE/>
        <w:autoSpaceDN/>
        <w:adjustRightInd/>
        <w:ind w:firstLineChars="200" w:firstLine="480"/>
        <w:textAlignment w:val="auto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美国</w:t>
      </w:r>
      <w:r w:rsidR="00E208E9">
        <w:rPr>
          <w:rFonts w:hint="eastAsia"/>
          <w:szCs w:val="24"/>
          <w:lang w:eastAsia="zh-CN"/>
        </w:rPr>
        <w:t>称赞国际电联为确定</w:t>
      </w:r>
      <w:r w:rsidR="00E208E9" w:rsidRPr="00FA20AA">
        <w:rPr>
          <w:rFonts w:hint="eastAsia"/>
          <w:szCs w:val="24"/>
          <w:lang w:eastAsia="zh-CN"/>
        </w:rPr>
        <w:t>稳定财务基础</w:t>
      </w:r>
      <w:r w:rsidR="00E208E9">
        <w:rPr>
          <w:rFonts w:hint="eastAsia"/>
          <w:szCs w:val="24"/>
          <w:lang w:eastAsia="zh-CN"/>
        </w:rPr>
        <w:t>的手段并探求可能的新收入来源而付出的努力。我们鼓励这些工作并期待看到落实</w:t>
      </w:r>
      <w:r w:rsidR="00E208E9">
        <w:rPr>
          <w:szCs w:val="24"/>
          <w:lang w:eastAsia="zh-CN"/>
        </w:rPr>
        <w:t>C17/67</w:t>
      </w:r>
      <w:r w:rsidR="00E208E9">
        <w:rPr>
          <w:rFonts w:hint="eastAsia"/>
          <w:szCs w:val="24"/>
          <w:lang w:eastAsia="zh-CN"/>
        </w:rPr>
        <w:t>号文件中诸多建议的具体方案。但是，我们继续认为，</w:t>
      </w:r>
      <w:r w:rsidR="00520DF1">
        <w:rPr>
          <w:rFonts w:asciiTheme="minorHAnsi" w:eastAsiaTheme="minorEastAsia" w:hAnsiTheme="minorHAnsi"/>
          <w:szCs w:val="24"/>
          <w:lang w:eastAsia="zh-CN"/>
        </w:rPr>
        <w:t>对国际电</w:t>
      </w:r>
      <w:proofErr w:type="gramStart"/>
      <w:r w:rsidR="00520DF1">
        <w:rPr>
          <w:rFonts w:asciiTheme="minorHAnsi" w:eastAsiaTheme="minorEastAsia" w:hAnsiTheme="minorHAnsi"/>
          <w:szCs w:val="24"/>
          <w:lang w:eastAsia="zh-CN"/>
        </w:rPr>
        <w:t>联分配</w:t>
      </w:r>
      <w:proofErr w:type="gramEnd"/>
      <w:r w:rsidR="00520DF1">
        <w:rPr>
          <w:rFonts w:asciiTheme="minorHAnsi" w:eastAsiaTheme="minorEastAsia" w:hAnsiTheme="minorHAnsi"/>
          <w:szCs w:val="24"/>
          <w:lang w:eastAsia="zh-CN"/>
        </w:rPr>
        <w:t>的某些国际号码资源进行新的或</w:t>
      </w:r>
      <w:r w:rsidR="00520DF1">
        <w:rPr>
          <w:rFonts w:asciiTheme="minorHAnsi" w:eastAsiaTheme="minorEastAsia" w:hAnsiTheme="minorHAnsi" w:hint="eastAsia"/>
          <w:szCs w:val="24"/>
          <w:lang w:eastAsia="zh-CN"/>
        </w:rPr>
        <w:t>提高</w:t>
      </w:r>
      <w:r w:rsidR="00520DF1" w:rsidRPr="00F17347">
        <w:rPr>
          <w:rFonts w:asciiTheme="minorHAnsi" w:eastAsiaTheme="minorEastAsia" w:hAnsiTheme="minorHAnsi"/>
          <w:szCs w:val="24"/>
          <w:lang w:eastAsia="zh-CN"/>
        </w:rPr>
        <w:t>收费</w:t>
      </w:r>
      <w:r w:rsidR="00520DF1" w:rsidRPr="00F17347">
        <w:rPr>
          <w:rFonts w:asciiTheme="minorHAnsi" w:eastAsiaTheme="minorEastAsia" w:hAnsiTheme="minorHAnsi" w:hint="eastAsia"/>
          <w:szCs w:val="24"/>
          <w:lang w:eastAsia="zh-CN"/>
        </w:rPr>
        <w:t>不可能</w:t>
      </w:r>
      <w:r w:rsidR="00520DF1" w:rsidRPr="00F17347">
        <w:rPr>
          <w:rFonts w:asciiTheme="minorHAnsi" w:eastAsiaTheme="minorEastAsia" w:hAnsiTheme="minorHAnsi"/>
          <w:szCs w:val="24"/>
          <w:lang w:eastAsia="zh-CN"/>
        </w:rPr>
        <w:t>成为可行的、提高收入的渠道</w:t>
      </w:r>
      <w:r w:rsidR="00813844">
        <w:rPr>
          <w:rFonts w:asciiTheme="minorHAnsi" w:eastAsiaTheme="minorEastAsia" w:hAnsiTheme="minorHAnsi" w:hint="eastAsia"/>
          <w:szCs w:val="24"/>
          <w:lang w:eastAsia="zh-CN"/>
        </w:rPr>
        <w:t>。正如过去建议的那样，如果那些支持通过分配</w:t>
      </w:r>
      <w:r w:rsidR="00813844">
        <w:rPr>
          <w:rFonts w:asciiTheme="minorHAnsi" w:eastAsiaTheme="minorEastAsia" w:hAnsiTheme="minorHAnsi" w:hint="eastAsia"/>
          <w:szCs w:val="24"/>
          <w:lang w:eastAsia="zh-CN"/>
        </w:rPr>
        <w:t>INR</w:t>
      </w:r>
      <w:r w:rsidR="00813844">
        <w:rPr>
          <w:rFonts w:asciiTheme="minorHAnsi" w:eastAsiaTheme="minorEastAsia" w:hAnsiTheme="minorHAnsi" w:hint="eastAsia"/>
          <w:szCs w:val="24"/>
          <w:lang w:eastAsia="zh-CN"/>
        </w:rPr>
        <w:t>进行创收的国家认为此举有益于国际电联，可考虑自愿开展试验。</w:t>
      </w:r>
    </w:p>
    <w:p w:rsidR="00B45365" w:rsidRPr="00280EB8" w:rsidRDefault="00B45365" w:rsidP="00280EB8">
      <w:pPr>
        <w:rPr>
          <w:lang w:eastAsia="zh-CN"/>
        </w:rPr>
      </w:pPr>
    </w:p>
    <w:p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F26" w:rsidRDefault="00505F26">
      <w:r>
        <w:separator/>
      </w:r>
    </w:p>
  </w:endnote>
  <w:endnote w:type="continuationSeparator" w:id="0">
    <w:p w:rsidR="00505F26" w:rsidRDefault="0050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C04F16" w:rsidRDefault="00C04F16" w:rsidP="00520DF1">
    <w:pPr>
      <w:pStyle w:val="Footer"/>
      <w:rPr>
        <w:color w:val="D9D9D9" w:themeColor="background1" w:themeShade="D9"/>
      </w:rPr>
    </w:pPr>
    <w:r w:rsidRPr="00C04F16">
      <w:rPr>
        <w:color w:val="D9D9D9" w:themeColor="background1" w:themeShade="D9"/>
      </w:rPr>
      <w:fldChar w:fldCharType="begin"/>
    </w:r>
    <w:r w:rsidRPr="00C04F16">
      <w:rPr>
        <w:color w:val="D9D9D9" w:themeColor="background1" w:themeShade="D9"/>
      </w:rPr>
      <w:instrText xml:space="preserve"> FILENAME \p  \* MERGEFORMAT </w:instrText>
    </w:r>
    <w:r w:rsidRPr="00C04F16">
      <w:rPr>
        <w:color w:val="D9D9D9" w:themeColor="background1" w:themeShade="D9"/>
      </w:rPr>
      <w:fldChar w:fldCharType="separate"/>
    </w:r>
    <w:r w:rsidR="0094342A" w:rsidRPr="00C04F16">
      <w:rPr>
        <w:color w:val="D9D9D9" w:themeColor="background1" w:themeShade="D9"/>
      </w:rPr>
      <w:t>P:\CHI\SG\CONSEIL\C17\000\092C.docx</w:t>
    </w:r>
    <w:r w:rsidRPr="00C04F16">
      <w:rPr>
        <w:color w:val="D9D9D9" w:themeColor="background1" w:themeShade="D9"/>
      </w:rPr>
      <w:fldChar w:fldCharType="end"/>
    </w:r>
    <w:r w:rsidR="00520DF1" w:rsidRPr="00C04F16">
      <w:rPr>
        <w:color w:val="D9D9D9" w:themeColor="background1" w:themeShade="D9"/>
      </w:rPr>
      <w:t xml:space="preserve"> (417482)</w:t>
    </w:r>
    <w:r w:rsidR="00520DF1" w:rsidRPr="00C04F16">
      <w:rPr>
        <w:color w:val="D9D9D9" w:themeColor="background1" w:themeShade="D9"/>
      </w:rPr>
      <w:tab/>
    </w:r>
    <w:r w:rsidR="00520DF1" w:rsidRPr="00C04F16">
      <w:rPr>
        <w:color w:val="D9D9D9" w:themeColor="background1" w:themeShade="D9"/>
      </w:rPr>
      <w:fldChar w:fldCharType="begin"/>
    </w:r>
    <w:r w:rsidR="00520DF1" w:rsidRPr="00C04F16">
      <w:rPr>
        <w:color w:val="D9D9D9" w:themeColor="background1" w:themeShade="D9"/>
      </w:rPr>
      <w:instrText xml:space="preserve"> SAVEDATE \@ DD.MM.YY </w:instrText>
    </w:r>
    <w:r w:rsidR="00520DF1" w:rsidRPr="00C04F16">
      <w:rPr>
        <w:color w:val="D9D9D9" w:themeColor="background1" w:themeShade="D9"/>
      </w:rPr>
      <w:fldChar w:fldCharType="separate"/>
    </w:r>
    <w:r w:rsidRPr="00C04F16">
      <w:rPr>
        <w:color w:val="D9D9D9" w:themeColor="background1" w:themeShade="D9"/>
      </w:rPr>
      <w:t>08.05.17</w:t>
    </w:r>
    <w:r w:rsidR="00520DF1" w:rsidRPr="00C04F16">
      <w:rPr>
        <w:color w:val="D9D9D9" w:themeColor="background1" w:themeShade="D9"/>
      </w:rPr>
      <w:fldChar w:fldCharType="end"/>
    </w:r>
    <w:r w:rsidR="00520DF1" w:rsidRPr="00C04F16">
      <w:rPr>
        <w:color w:val="D9D9D9" w:themeColor="background1" w:themeShade="D9"/>
      </w:rPr>
      <w:tab/>
    </w:r>
    <w:r w:rsidR="00520DF1" w:rsidRPr="00C04F16">
      <w:rPr>
        <w:color w:val="D9D9D9" w:themeColor="background1" w:themeShade="D9"/>
      </w:rPr>
      <w:fldChar w:fldCharType="begin"/>
    </w:r>
    <w:r w:rsidR="00520DF1" w:rsidRPr="00C04F16">
      <w:rPr>
        <w:color w:val="D9D9D9" w:themeColor="background1" w:themeShade="D9"/>
      </w:rPr>
      <w:instrText xml:space="preserve"> PRINTDATE \@ DD.MM.YY </w:instrText>
    </w:r>
    <w:r w:rsidR="00520DF1" w:rsidRPr="00C04F16">
      <w:rPr>
        <w:color w:val="D9D9D9" w:themeColor="background1" w:themeShade="D9"/>
      </w:rPr>
      <w:fldChar w:fldCharType="separate"/>
    </w:r>
    <w:r w:rsidR="00520DF1" w:rsidRPr="00C04F16">
      <w:rPr>
        <w:color w:val="D9D9D9" w:themeColor="background1" w:themeShade="D9"/>
      </w:rPr>
      <w:t>24.02.15</w:t>
    </w:r>
    <w:r w:rsidR="00520DF1" w:rsidRPr="00C04F16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Pr="00C04F16" w:rsidRDefault="0094342A" w:rsidP="00520DF1">
    <w:pPr>
      <w:pStyle w:val="Footer"/>
      <w:rPr>
        <w:color w:val="D9D9D9" w:themeColor="background1" w:themeShade="D9"/>
      </w:rPr>
    </w:pPr>
    <w:r w:rsidRPr="00C04F16">
      <w:rPr>
        <w:color w:val="D9D9D9" w:themeColor="background1" w:themeShade="D9"/>
      </w:rPr>
      <w:fldChar w:fldCharType="begin"/>
    </w:r>
    <w:r w:rsidRPr="00C04F16">
      <w:rPr>
        <w:color w:val="D9D9D9" w:themeColor="background1" w:themeShade="D9"/>
      </w:rPr>
      <w:instrText xml:space="preserve"> FILENAME \p  \* MERGEFORMAT </w:instrText>
    </w:r>
    <w:r w:rsidRPr="00C04F16">
      <w:rPr>
        <w:color w:val="D9D9D9" w:themeColor="background1" w:themeShade="D9"/>
      </w:rPr>
      <w:fldChar w:fldCharType="separate"/>
    </w:r>
    <w:r w:rsidRPr="00C04F16">
      <w:rPr>
        <w:color w:val="D9D9D9" w:themeColor="background1" w:themeShade="D9"/>
      </w:rPr>
      <w:t>P:\CHI\SG\CONSEIL\C17\000\092C.docx</w:t>
    </w:r>
    <w:r w:rsidRPr="00C04F16">
      <w:rPr>
        <w:color w:val="D9D9D9" w:themeColor="background1" w:themeShade="D9"/>
      </w:rPr>
      <w:fldChar w:fldCharType="end"/>
    </w:r>
    <w:r w:rsidR="00864589" w:rsidRPr="00C04F16">
      <w:rPr>
        <w:color w:val="D9D9D9" w:themeColor="background1" w:themeShade="D9"/>
      </w:rPr>
      <w:t xml:space="preserve"> (</w:t>
    </w:r>
    <w:r w:rsidR="00520DF1" w:rsidRPr="00C04F16">
      <w:rPr>
        <w:color w:val="D9D9D9" w:themeColor="background1" w:themeShade="D9"/>
      </w:rPr>
      <w:t>417482</w:t>
    </w:r>
    <w:r w:rsidR="00864589" w:rsidRPr="00C04F16">
      <w:rPr>
        <w:color w:val="D9D9D9" w:themeColor="background1" w:themeShade="D9"/>
      </w:rPr>
      <w:t>)</w:t>
    </w:r>
    <w:r w:rsidR="00864589" w:rsidRPr="00C04F16">
      <w:rPr>
        <w:color w:val="D9D9D9" w:themeColor="background1" w:themeShade="D9"/>
      </w:rPr>
      <w:tab/>
    </w:r>
    <w:r w:rsidR="00864589" w:rsidRPr="00C04F16">
      <w:rPr>
        <w:color w:val="D9D9D9" w:themeColor="background1" w:themeShade="D9"/>
      </w:rPr>
      <w:fldChar w:fldCharType="begin"/>
    </w:r>
    <w:r w:rsidR="00864589" w:rsidRPr="00C04F16">
      <w:rPr>
        <w:color w:val="D9D9D9" w:themeColor="background1" w:themeShade="D9"/>
      </w:rPr>
      <w:instrText xml:space="preserve"> SAVEDATE \@ DD.MM.YY </w:instrText>
    </w:r>
    <w:r w:rsidR="00864589" w:rsidRPr="00C04F16">
      <w:rPr>
        <w:color w:val="D9D9D9" w:themeColor="background1" w:themeShade="D9"/>
      </w:rPr>
      <w:fldChar w:fldCharType="separate"/>
    </w:r>
    <w:r w:rsidR="00C04F16" w:rsidRPr="00C04F16">
      <w:rPr>
        <w:color w:val="D9D9D9" w:themeColor="background1" w:themeShade="D9"/>
      </w:rPr>
      <w:t>08.05.17</w:t>
    </w:r>
    <w:r w:rsidR="00864589" w:rsidRPr="00C04F16">
      <w:rPr>
        <w:color w:val="D9D9D9" w:themeColor="background1" w:themeShade="D9"/>
      </w:rPr>
      <w:fldChar w:fldCharType="end"/>
    </w:r>
    <w:r w:rsidR="00864589" w:rsidRPr="00C04F16">
      <w:rPr>
        <w:color w:val="D9D9D9" w:themeColor="background1" w:themeShade="D9"/>
      </w:rPr>
      <w:tab/>
    </w:r>
    <w:r w:rsidR="00864589" w:rsidRPr="00C04F16">
      <w:rPr>
        <w:color w:val="D9D9D9" w:themeColor="background1" w:themeShade="D9"/>
      </w:rPr>
      <w:fldChar w:fldCharType="begin"/>
    </w:r>
    <w:r w:rsidR="00864589" w:rsidRPr="00C04F16">
      <w:rPr>
        <w:color w:val="D9D9D9" w:themeColor="background1" w:themeShade="D9"/>
      </w:rPr>
      <w:instrText xml:space="preserve"> PRINTDATE \@ DD.MM.YY </w:instrText>
    </w:r>
    <w:r w:rsidR="00864589" w:rsidRPr="00C04F16">
      <w:rPr>
        <w:color w:val="D9D9D9" w:themeColor="background1" w:themeShade="D9"/>
      </w:rPr>
      <w:fldChar w:fldCharType="separate"/>
    </w:r>
    <w:r w:rsidR="00505F26" w:rsidRPr="00C04F16">
      <w:rPr>
        <w:color w:val="D9D9D9" w:themeColor="background1" w:themeShade="D9"/>
      </w:rPr>
      <w:t>24.02.15</w:t>
    </w:r>
    <w:r w:rsidR="00864589" w:rsidRPr="00C04F16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F26" w:rsidRDefault="00505F26">
      <w:r>
        <w:t>____________________</w:t>
      </w:r>
    </w:p>
  </w:footnote>
  <w:footnote w:type="continuationSeparator" w:id="0">
    <w:p w:rsidR="00505F26" w:rsidRDefault="00505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C04F16">
      <w:rPr>
        <w:noProof/>
      </w:rPr>
      <w:t>2</w:t>
    </w:r>
    <w:r>
      <w:rPr>
        <w:noProof/>
      </w:rPr>
      <w:fldChar w:fldCharType="end"/>
    </w:r>
  </w:p>
  <w:p w:rsidR="00AC516F" w:rsidRDefault="0098459B" w:rsidP="00520DF1">
    <w:pPr>
      <w:pStyle w:val="Header"/>
      <w:rPr>
        <w:lang w:eastAsia="zh-CN"/>
      </w:rPr>
    </w:pPr>
    <w:r>
      <w:t>C1</w:t>
    </w:r>
    <w:r w:rsidR="00A5354B">
      <w:rPr>
        <w:lang w:eastAsia="zh-CN"/>
      </w:rPr>
      <w:t>7</w:t>
    </w:r>
    <w:r w:rsidR="004672E6">
      <w:t>/</w:t>
    </w:r>
    <w:r w:rsidR="00520DF1">
      <w:rPr>
        <w:lang w:eastAsia="zh-CN"/>
      </w:rPr>
      <w:t>92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26"/>
    <w:rsid w:val="00001B77"/>
    <w:rsid w:val="0000517A"/>
    <w:rsid w:val="00031E72"/>
    <w:rsid w:val="000404D2"/>
    <w:rsid w:val="000853C0"/>
    <w:rsid w:val="000A1C21"/>
    <w:rsid w:val="000C5916"/>
    <w:rsid w:val="000D15EA"/>
    <w:rsid w:val="00100D84"/>
    <w:rsid w:val="00124C9D"/>
    <w:rsid w:val="00157773"/>
    <w:rsid w:val="00164CC9"/>
    <w:rsid w:val="0018251A"/>
    <w:rsid w:val="00190272"/>
    <w:rsid w:val="00193244"/>
    <w:rsid w:val="00195C6C"/>
    <w:rsid w:val="00195FED"/>
    <w:rsid w:val="001A4BD6"/>
    <w:rsid w:val="001D5A18"/>
    <w:rsid w:val="00242AA1"/>
    <w:rsid w:val="00280EB8"/>
    <w:rsid w:val="002A6670"/>
    <w:rsid w:val="00303502"/>
    <w:rsid w:val="00310A7D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24218"/>
    <w:rsid w:val="00430BF0"/>
    <w:rsid w:val="004672E6"/>
    <w:rsid w:val="00474ED1"/>
    <w:rsid w:val="00493085"/>
    <w:rsid w:val="004A36EC"/>
    <w:rsid w:val="004D163F"/>
    <w:rsid w:val="004E4BFF"/>
    <w:rsid w:val="004F2598"/>
    <w:rsid w:val="00505F26"/>
    <w:rsid w:val="00520DF1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C5839"/>
    <w:rsid w:val="007E189D"/>
    <w:rsid w:val="00811259"/>
    <w:rsid w:val="00813844"/>
    <w:rsid w:val="00813AA2"/>
    <w:rsid w:val="008173A3"/>
    <w:rsid w:val="0086059C"/>
    <w:rsid w:val="00864589"/>
    <w:rsid w:val="00890AFB"/>
    <w:rsid w:val="00890FC4"/>
    <w:rsid w:val="00895905"/>
    <w:rsid w:val="008E3E39"/>
    <w:rsid w:val="00907334"/>
    <w:rsid w:val="009164A9"/>
    <w:rsid w:val="009258CB"/>
    <w:rsid w:val="0093362E"/>
    <w:rsid w:val="0094342A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515D"/>
    <w:rsid w:val="00A272FF"/>
    <w:rsid w:val="00A5354B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04F16"/>
    <w:rsid w:val="00C125F8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36817"/>
    <w:rsid w:val="00D461C3"/>
    <w:rsid w:val="00D5666C"/>
    <w:rsid w:val="00D666BC"/>
    <w:rsid w:val="00D83542"/>
    <w:rsid w:val="00D92F45"/>
    <w:rsid w:val="00D94637"/>
    <w:rsid w:val="00D9725C"/>
    <w:rsid w:val="00DA7006"/>
    <w:rsid w:val="00DB02CF"/>
    <w:rsid w:val="00DC6427"/>
    <w:rsid w:val="00DD66A1"/>
    <w:rsid w:val="00DE196D"/>
    <w:rsid w:val="00DF6B49"/>
    <w:rsid w:val="00E067C5"/>
    <w:rsid w:val="00E208E9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023670B-2786-451E-8891-3CA89314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BD5D1-5F6D-4CB9-B84E-0DED4A41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0</TotalTime>
  <Pages>2</Pages>
  <Words>1170</Words>
  <Characters>197</Characters>
  <Application>Microsoft Office Word</Application>
  <DocSecurity>4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1365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Proposals to increase revenues from International Numbering Resources</dc:title>
  <dc:subject>Council 2017</dc:subject>
  <dc:creator>Zheng, Bingy</dc:creator>
  <cp:keywords>C2017, C17</cp:keywords>
  <dc:description/>
  <cp:lastModifiedBy>Brouard, Ricarda</cp:lastModifiedBy>
  <cp:revision>2</cp:revision>
  <cp:lastPrinted>2015-02-24T13:23:00Z</cp:lastPrinted>
  <dcterms:created xsi:type="dcterms:W3CDTF">2017-05-08T14:29:00Z</dcterms:created>
  <dcterms:modified xsi:type="dcterms:W3CDTF">2017-05-08T14:29:00Z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