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6F2C30" w:rsidRDefault="000E4FF0" w:rsidP="0007631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6F2C30">
              <w:rPr>
                <w:rFonts w:eastAsiaTheme="minorEastAsia" w:hint="cs"/>
                <w:b/>
                <w:bCs/>
                <w:rtl/>
                <w:lang w:eastAsia="zh-CN" w:bidi="ar-EG"/>
              </w:rPr>
              <w:t xml:space="preserve">بند جدول الأعمال: </w:t>
            </w:r>
            <w:r w:rsidR="00E250EF">
              <w:rPr>
                <w:rFonts w:eastAsiaTheme="minorEastAsia"/>
                <w:b/>
                <w:bCs/>
                <w:lang w:eastAsia="zh-CN" w:bidi="ar-EG"/>
              </w:rPr>
              <w:t>PL</w:t>
            </w:r>
            <w:r w:rsidR="0007631A">
              <w:rPr>
                <w:rFonts w:eastAsiaTheme="minorEastAsia"/>
                <w:b/>
                <w:bCs/>
                <w:lang w:eastAsia="zh-CN" w:bidi="ar-EG"/>
              </w:rPr>
              <w:t> </w:t>
            </w:r>
            <w:r w:rsidR="00E250EF">
              <w:rPr>
                <w:rFonts w:eastAsiaTheme="minorEastAsia"/>
                <w:b/>
                <w:bCs/>
                <w:lang w:eastAsia="zh-CN" w:bidi="ar-EG"/>
              </w:rPr>
              <w:t>1.4</w:t>
            </w:r>
          </w:p>
        </w:tc>
        <w:tc>
          <w:tcPr>
            <w:tcW w:w="3052" w:type="dxa"/>
            <w:vAlign w:val="center"/>
          </w:tcPr>
          <w:p w:rsidR="000E4FF0" w:rsidRPr="000E4FF0" w:rsidRDefault="000E4FF0" w:rsidP="00E250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E250EF">
              <w:rPr>
                <w:rFonts w:eastAsiaTheme="minorEastAsia"/>
                <w:b/>
                <w:bCs/>
                <w:lang w:eastAsia="zh-CN" w:bidi="ar-SY"/>
              </w:rPr>
              <w:t>87</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E250EF" w:rsidP="00E250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EG"/>
              </w:rPr>
              <w:t>28</w:t>
            </w:r>
            <w:r w:rsidR="000E4FF0" w:rsidRPr="000E4FF0">
              <w:rPr>
                <w:rFonts w:eastAsiaTheme="minorEastAsia" w:hint="cs"/>
                <w:b/>
                <w:bCs/>
                <w:rtl/>
                <w:lang w:eastAsia="zh-CN" w:bidi="ar-EG"/>
              </w:rPr>
              <w:t xml:space="preserve"> </w:t>
            </w:r>
            <w:r>
              <w:rPr>
                <w:rFonts w:eastAsiaTheme="minorEastAsia" w:hint="cs"/>
                <w:b/>
                <w:bCs/>
                <w:rtl/>
                <w:lang w:eastAsia="zh-CN" w:bidi="ar-EG"/>
              </w:rPr>
              <w:t>أبريل</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6F2C3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6F2C30">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6F2C30" w:rsidP="0007631A">
            <w:pPr>
              <w:pStyle w:val="Source"/>
              <w:spacing w:after="0"/>
              <w:rPr>
                <w:rFonts w:eastAsiaTheme="minorEastAsia"/>
                <w:rtl/>
                <w:lang w:eastAsia="zh-CN"/>
              </w:rPr>
            </w:pPr>
            <w:r w:rsidRPr="006F2C30">
              <w:rPr>
                <w:rFonts w:eastAsiaTheme="minorEastAsia" w:hint="cs"/>
                <w:rtl/>
                <w:lang w:eastAsia="zh-CN" w:bidi="ar-SA"/>
              </w:rPr>
              <w:t>مذكرة من الأمين العام</w:t>
            </w:r>
          </w:p>
        </w:tc>
      </w:tr>
      <w:tr w:rsidR="000E4FF0" w:rsidRPr="000E4FF0" w:rsidTr="000E4FF0">
        <w:trPr>
          <w:cantSplit/>
          <w:jc w:val="center"/>
        </w:trPr>
        <w:tc>
          <w:tcPr>
            <w:tcW w:w="9672" w:type="dxa"/>
            <w:gridSpan w:val="2"/>
          </w:tcPr>
          <w:p w:rsidR="000E4FF0" w:rsidRPr="000E4FF0" w:rsidRDefault="006F2C30" w:rsidP="00E250EF">
            <w:pPr>
              <w:pStyle w:val="Title1"/>
              <w:rPr>
                <w:rFonts w:eastAsiaTheme="minorEastAsia"/>
                <w:rtl/>
                <w:lang w:eastAsia="zh-CN"/>
              </w:rPr>
            </w:pPr>
            <w:r w:rsidRPr="006F2C30">
              <w:rPr>
                <w:rFonts w:eastAsiaTheme="minorEastAsia" w:hint="cs"/>
                <w:rtl/>
                <w:lang w:eastAsia="zh-CN" w:bidi="ar-SA"/>
              </w:rPr>
              <w:t xml:space="preserve">مساهمة من </w:t>
            </w:r>
            <w:r w:rsidRPr="006F2C30">
              <w:rPr>
                <w:rFonts w:eastAsiaTheme="minorEastAsia"/>
                <w:rtl/>
                <w:lang w:eastAsia="zh-CN" w:bidi="ar-SA"/>
              </w:rPr>
              <w:t xml:space="preserve">جمهورية </w:t>
            </w:r>
            <w:r w:rsidR="00E250EF">
              <w:rPr>
                <w:rFonts w:eastAsiaTheme="minorEastAsia" w:hint="cs"/>
                <w:rtl/>
                <w:lang w:eastAsia="zh-CN" w:bidi="ar-SA"/>
              </w:rPr>
              <w:t>الهند</w:t>
            </w:r>
          </w:p>
        </w:tc>
      </w:tr>
      <w:tr w:rsidR="000E4FF0" w:rsidRPr="000E4FF0" w:rsidTr="000E4FF0">
        <w:trPr>
          <w:cantSplit/>
          <w:jc w:val="center"/>
        </w:trPr>
        <w:tc>
          <w:tcPr>
            <w:tcW w:w="9672" w:type="dxa"/>
            <w:gridSpan w:val="2"/>
          </w:tcPr>
          <w:p w:rsidR="000E4FF0" w:rsidRPr="000E4FF0" w:rsidRDefault="00E250EF" w:rsidP="00E250EF">
            <w:pPr>
              <w:pStyle w:val="Title2"/>
              <w:rPr>
                <w:rFonts w:eastAsiaTheme="minorEastAsia"/>
                <w:w w:val="120"/>
                <w:rtl/>
                <w:lang w:eastAsia="zh-CN"/>
              </w:rPr>
            </w:pPr>
            <w:r w:rsidRPr="00E250EF">
              <w:rPr>
                <w:rFonts w:eastAsiaTheme="minorEastAsia" w:hint="cs"/>
                <w:w w:val="120"/>
                <w:rtl/>
                <w:lang w:eastAsia="zh-CN" w:bidi="ar-SA"/>
              </w:rPr>
              <w:t xml:space="preserve">مقترح بشأن تنفيذ الهوية الدولية للأجهزة المتنقلة في الهواتف المتنقلة </w:t>
            </w:r>
            <w:r>
              <w:rPr>
                <w:rFonts w:eastAsiaTheme="minorEastAsia"/>
                <w:w w:val="120"/>
                <w:rtl/>
                <w:lang w:eastAsia="zh-CN" w:bidi="ar-SA"/>
              </w:rPr>
              <w:br/>
            </w:r>
            <w:r>
              <w:rPr>
                <w:rFonts w:eastAsiaTheme="minorEastAsia" w:hint="cs"/>
                <w:w w:val="120"/>
                <w:rtl/>
                <w:lang w:eastAsia="zh-CN"/>
              </w:rPr>
              <w:t>لمواجهة</w:t>
            </w:r>
            <w:r w:rsidRPr="00E250EF">
              <w:rPr>
                <w:rFonts w:eastAsiaTheme="minorEastAsia" w:hint="cs"/>
                <w:w w:val="120"/>
                <w:rtl/>
                <w:lang w:eastAsia="zh-CN" w:bidi="ar-SA"/>
              </w:rPr>
              <w:t xml:space="preserve"> للتحديات الأمنية</w:t>
            </w:r>
          </w:p>
        </w:tc>
      </w:tr>
    </w:tbl>
    <w:p w:rsidR="006F2C30" w:rsidRDefault="006F2C30" w:rsidP="00E250EF">
      <w:pPr>
        <w:pStyle w:val="Normalaftertitle"/>
        <w:rPr>
          <w:rtl/>
        </w:rPr>
      </w:pPr>
      <w:r w:rsidRPr="00AB2AC5">
        <w:rPr>
          <w:rFonts w:hint="cs"/>
          <w:rtl/>
        </w:rPr>
        <w:t xml:space="preserve">يشرفني أن أحيل إلى الدول الأعضاء في المجلس مساهمة مقدمة من </w:t>
      </w:r>
      <w:r w:rsidR="00E250EF">
        <w:rPr>
          <w:rFonts w:hint="cs"/>
          <w:b/>
          <w:bCs/>
          <w:rtl/>
          <w:lang w:bidi="ar-SY"/>
        </w:rPr>
        <w:t>جمهورية الهند</w:t>
      </w:r>
      <w:r w:rsidRPr="00AB2AC5">
        <w:rPr>
          <w:rFonts w:hint="cs"/>
          <w:rtl/>
        </w:rPr>
        <w:t>.</w:t>
      </w:r>
    </w:p>
    <w:p w:rsidR="006F2C30" w:rsidRDefault="006F2C30" w:rsidP="006F2C30">
      <w:pPr>
        <w:spacing w:before="1440"/>
        <w:ind w:left="5103"/>
        <w:jc w:val="center"/>
        <w:rPr>
          <w:rtl/>
          <w:lang w:bidi="ar-SY"/>
        </w:rPr>
      </w:pPr>
      <w:r w:rsidRPr="00E739E1">
        <w:rPr>
          <w:rFonts w:hint="cs"/>
          <w:rtl/>
          <w:lang w:bidi="ar-SY"/>
        </w:rPr>
        <w:t>هولين جاو</w:t>
      </w:r>
      <w:r>
        <w:rPr>
          <w:rtl/>
          <w:lang w:bidi="ar-SY"/>
        </w:rPr>
        <w:br/>
      </w:r>
      <w:r w:rsidRPr="00E739E1">
        <w:rPr>
          <w:rFonts w:hint="cs"/>
          <w:rtl/>
          <w:lang w:bidi="ar-SY"/>
        </w:rPr>
        <w:t>الأمين العام</w:t>
      </w:r>
    </w:p>
    <w:p w:rsidR="006157A3" w:rsidRDefault="006157A3" w:rsidP="008B5B5D">
      <w:pPr>
        <w:rPr>
          <w:rtl/>
          <w:lang w:bidi="ar-EG"/>
        </w:rPr>
      </w:pPr>
    </w:p>
    <w:p w:rsidR="000E4FF0" w:rsidRDefault="000E4FF0">
      <w:pPr>
        <w:tabs>
          <w:tab w:val="clear" w:pos="1134"/>
        </w:tabs>
        <w:bidi w:val="0"/>
        <w:spacing w:before="0" w:after="160" w:line="259" w:lineRule="auto"/>
        <w:jc w:val="left"/>
        <w:rPr>
          <w:lang w:bidi="ar-EG"/>
        </w:rPr>
      </w:pPr>
      <w:r>
        <w:rPr>
          <w:rtl/>
          <w:lang w:bidi="ar-EG"/>
        </w:rPr>
        <w:br w:type="page"/>
      </w:r>
    </w:p>
    <w:p w:rsidR="004401F1" w:rsidRPr="004401F1" w:rsidRDefault="004401F1" w:rsidP="00E250EF">
      <w:pPr>
        <w:pStyle w:val="Source"/>
        <w:rPr>
          <w:rtl/>
        </w:rPr>
      </w:pPr>
      <w:r w:rsidRPr="004401F1">
        <w:rPr>
          <w:rtl/>
        </w:rPr>
        <w:lastRenderedPageBreak/>
        <w:t xml:space="preserve">جمهورية </w:t>
      </w:r>
      <w:r w:rsidR="00E250EF">
        <w:rPr>
          <w:rFonts w:hint="cs"/>
          <w:rtl/>
        </w:rPr>
        <w:t>الهند</w:t>
      </w:r>
    </w:p>
    <w:p w:rsidR="00E250EF" w:rsidRDefault="00E250EF" w:rsidP="00E250EF">
      <w:pPr>
        <w:pStyle w:val="Title1"/>
        <w:rPr>
          <w:rtl/>
          <w:lang w:bidi="ar"/>
        </w:rPr>
      </w:pPr>
      <w:bookmarkStart w:id="1" w:name="lt_pId021"/>
      <w:r w:rsidRPr="00E250EF">
        <w:rPr>
          <w:rFonts w:hint="cs"/>
          <w:rtl/>
          <w:lang w:bidi="ar-SA"/>
        </w:rPr>
        <w:t xml:space="preserve">مقترح بشأن </w:t>
      </w:r>
      <w:r w:rsidRPr="00E250EF">
        <w:rPr>
          <w:rFonts w:hint="cs"/>
          <w:rtl/>
        </w:rPr>
        <w:t xml:space="preserve">تنفيذ الهوية الدولية للأجهزة المتنقلة في الهواتف المتنقلة </w:t>
      </w:r>
      <w:r>
        <w:rPr>
          <w:rtl/>
        </w:rPr>
        <w:br/>
      </w:r>
      <w:r>
        <w:rPr>
          <w:rFonts w:hint="cs"/>
          <w:rtl/>
        </w:rPr>
        <w:t>لمواجهة</w:t>
      </w:r>
      <w:r w:rsidRPr="00E250EF">
        <w:rPr>
          <w:rFonts w:hint="cs"/>
          <w:rtl/>
        </w:rPr>
        <w:t xml:space="preserve"> للتحديات الأمنية</w:t>
      </w:r>
    </w:p>
    <w:bookmarkEnd w:id="1"/>
    <w:p w:rsidR="00E250EF" w:rsidRPr="00E250EF" w:rsidRDefault="00E250EF" w:rsidP="00F17B1A">
      <w:pPr>
        <w:pStyle w:val="Heading1"/>
        <w:rPr>
          <w:rtl/>
        </w:rPr>
      </w:pPr>
      <w:r w:rsidRPr="00E250EF">
        <w:rPr>
          <w:rFonts w:hint="cs"/>
          <w:rtl/>
        </w:rPr>
        <w:t xml:space="preserve">ألف </w:t>
      </w:r>
      <w:r w:rsidR="00F17B1A">
        <w:rPr>
          <w:rtl/>
        </w:rPr>
        <w:tab/>
      </w:r>
      <w:r w:rsidRPr="00E250EF">
        <w:rPr>
          <w:rFonts w:hint="cs"/>
          <w:rtl/>
        </w:rPr>
        <w:t>مقدمة</w:t>
      </w:r>
    </w:p>
    <w:p w:rsidR="00E250EF" w:rsidRPr="00E250EF" w:rsidRDefault="00E250EF" w:rsidP="00E250EF">
      <w:pPr>
        <w:rPr>
          <w:rtl/>
          <w:lang w:bidi="ar-EG"/>
        </w:rPr>
      </w:pPr>
      <w:r>
        <w:rPr>
          <w:lang w:bidi="ar-EG"/>
        </w:rPr>
        <w:t>1</w:t>
      </w:r>
      <w:r w:rsidRPr="00E250EF">
        <w:rPr>
          <w:lang w:bidi="ar-EG"/>
        </w:rPr>
        <w:tab/>
      </w:r>
      <w:r>
        <w:rPr>
          <w:rFonts w:hint="cs"/>
          <w:rtl/>
          <w:lang w:bidi="ar-EG"/>
        </w:rPr>
        <w:t>تثمن</w:t>
      </w:r>
      <w:r w:rsidRPr="00E250EF">
        <w:rPr>
          <w:rFonts w:hint="cs"/>
          <w:rtl/>
          <w:lang w:bidi="ar-EG"/>
        </w:rPr>
        <w:t xml:space="preserve"> الإدارة الهندية الجهود التي يبذلها الاتحاد والدور الذي يؤديه في مجال بناء الثقة والأمن في استخدام تكنولوجيا المعلومات والاتصالات (القرار </w:t>
      </w:r>
      <w:r w:rsidRPr="00E250EF">
        <w:rPr>
          <w:lang w:bidi="ar-EG"/>
        </w:rPr>
        <w:t>130</w:t>
      </w:r>
      <w:r w:rsidRPr="00E250EF">
        <w:rPr>
          <w:rFonts w:hint="cs"/>
          <w:rtl/>
          <w:lang w:bidi="ar-EG"/>
        </w:rPr>
        <w:t xml:space="preserve"> لمؤتمر المندوبين المفوضين) وفيما يتعلق بقضايا السياسات العامة الدولية </w:t>
      </w:r>
      <w:r w:rsidRPr="00E250EF">
        <w:rPr>
          <w:rtl/>
        </w:rPr>
        <w:t>المتعلقة بمخاطر الاستعمال غير القانوني لتكنولوجيا المعلومات والاتصالات</w:t>
      </w:r>
      <w:r w:rsidRPr="00E250EF">
        <w:rPr>
          <w:rFonts w:hint="cs"/>
          <w:rtl/>
        </w:rPr>
        <w:t xml:space="preserve"> (القرار </w:t>
      </w:r>
      <w:r w:rsidRPr="00E250EF">
        <w:rPr>
          <w:lang w:bidi="ar-EG"/>
        </w:rPr>
        <w:t>174</w:t>
      </w:r>
      <w:r w:rsidRPr="00E250EF">
        <w:rPr>
          <w:rFonts w:hint="cs"/>
          <w:rtl/>
          <w:lang w:bidi="ar-EG"/>
        </w:rPr>
        <w:t>).</w:t>
      </w:r>
    </w:p>
    <w:p w:rsidR="00E250EF" w:rsidRPr="00E250EF" w:rsidRDefault="00E250EF" w:rsidP="00E250EF">
      <w:pPr>
        <w:rPr>
          <w:rtl/>
          <w:lang w:bidi="ar-EG"/>
        </w:rPr>
      </w:pPr>
      <w:r>
        <w:rPr>
          <w:lang w:bidi="ar-EG"/>
        </w:rPr>
        <w:t>2</w:t>
      </w:r>
      <w:r w:rsidRPr="00E250EF">
        <w:rPr>
          <w:rtl/>
          <w:lang w:bidi="ar-EG"/>
        </w:rPr>
        <w:tab/>
      </w:r>
      <w:r w:rsidRPr="00E250EF">
        <w:rPr>
          <w:rFonts w:hint="cs"/>
          <w:rtl/>
          <w:lang w:bidi="ar-EG"/>
        </w:rPr>
        <w:t>يهدف المقترح إلى تصعيد القضية الهامة المتعلقة بإساءة استعمال مجموعة أرقام الهوية الدولية للأجهزة المتنقلة</w:t>
      </w:r>
      <w:r>
        <w:rPr>
          <w:rFonts w:hint="eastAsia"/>
          <w:rtl/>
          <w:lang w:bidi="ar-EG"/>
        </w:rPr>
        <w:t> </w:t>
      </w:r>
      <w:r w:rsidRPr="00E250EF">
        <w:rPr>
          <w:lang w:bidi="ar-EG"/>
        </w:rPr>
        <w:t>(IMEI)</w:t>
      </w:r>
      <w:r w:rsidRPr="00E250EF">
        <w:rPr>
          <w:rFonts w:hint="cs"/>
          <w:rtl/>
          <w:lang w:bidi="ar-EG"/>
        </w:rPr>
        <w:t xml:space="preserve"> في</w:t>
      </w:r>
      <w:r>
        <w:rPr>
          <w:rFonts w:hint="eastAsia"/>
          <w:rtl/>
          <w:lang w:bidi="ar-EG"/>
        </w:rPr>
        <w:t> </w:t>
      </w:r>
      <w:r w:rsidRPr="00E250EF">
        <w:rPr>
          <w:rFonts w:hint="cs"/>
          <w:rtl/>
          <w:lang w:bidi="ar-EG"/>
        </w:rPr>
        <w:t xml:space="preserve">الهواتف المتنقلة مما يؤدي إلى تهديدات أمنية خطيرة. والهوية الدولية للأجهزة المتنقلة هي رقم تسلسلي عالمي فريد تُصدره رابطة </w:t>
      </w:r>
      <w:r w:rsidRPr="00E250EF">
        <w:rPr>
          <w:rtl/>
        </w:rPr>
        <w:t>النظام العالمي للاتصالات المتنقلة</w:t>
      </w:r>
      <w:r w:rsidRPr="00E250EF">
        <w:rPr>
          <w:rFonts w:hint="cs"/>
          <w:rtl/>
        </w:rPr>
        <w:t xml:space="preserve"> </w:t>
      </w:r>
      <w:r w:rsidRPr="00E250EF">
        <w:rPr>
          <w:lang w:bidi="ar-EG"/>
        </w:rPr>
        <w:t>(GSMA)</w:t>
      </w:r>
      <w:r w:rsidRPr="00E250EF">
        <w:rPr>
          <w:rFonts w:hint="cs"/>
          <w:rtl/>
          <w:lang w:bidi="ar-EG"/>
        </w:rPr>
        <w:t xml:space="preserve">، تتم برمجته </w:t>
      </w:r>
      <w:r>
        <w:rPr>
          <w:rFonts w:hint="cs"/>
          <w:rtl/>
          <w:lang w:bidi="ar-EG"/>
        </w:rPr>
        <w:t xml:space="preserve">ظاهرياً </w:t>
      </w:r>
      <w:r w:rsidRPr="00E250EF">
        <w:rPr>
          <w:rFonts w:hint="cs"/>
          <w:rtl/>
          <w:lang w:bidi="ar-EG"/>
        </w:rPr>
        <w:t xml:space="preserve">في ذاكرة الهواتف المتنقلة أثناء مرحلة الإنتاج. وتمثل الهوية الدولية للأجهزة المتنقلة أحد التدابير الرئيسية التي </w:t>
      </w:r>
      <w:r>
        <w:rPr>
          <w:rFonts w:hint="cs"/>
          <w:rtl/>
          <w:lang w:bidi="ar-EG"/>
        </w:rPr>
        <w:t>تعرف</w:t>
      </w:r>
      <w:r w:rsidRPr="00E250EF">
        <w:rPr>
          <w:rFonts w:hint="cs"/>
          <w:rtl/>
          <w:lang w:bidi="ar-EG"/>
        </w:rPr>
        <w:t xml:space="preserve"> على نحو فريد </w:t>
      </w:r>
      <w:r>
        <w:rPr>
          <w:rFonts w:hint="cs"/>
          <w:rtl/>
          <w:lang w:bidi="ar-EG"/>
        </w:rPr>
        <w:t xml:space="preserve">هوية </w:t>
      </w:r>
      <w:r w:rsidRPr="00E250EF">
        <w:rPr>
          <w:rFonts w:hint="cs"/>
          <w:rtl/>
          <w:lang w:bidi="ar-EG"/>
        </w:rPr>
        <w:t>الهاتف المتنقل من أجل مكافحة إساءة استخدام الهواتف المتنقلة التي تؤثر على الأمن وكذلك مكافحة التزييف والاستنساخ وما إلى ذلك.</w:t>
      </w:r>
    </w:p>
    <w:p w:rsidR="00E250EF" w:rsidRPr="00E250EF" w:rsidRDefault="00E250EF" w:rsidP="00E250EF">
      <w:pPr>
        <w:rPr>
          <w:rtl/>
          <w:lang w:bidi="ar-EG"/>
        </w:rPr>
      </w:pPr>
      <w:r>
        <w:rPr>
          <w:lang w:bidi="ar-EG"/>
        </w:rPr>
        <w:t>3</w:t>
      </w:r>
      <w:r w:rsidRPr="00E250EF">
        <w:rPr>
          <w:rtl/>
          <w:lang w:bidi="ar-EG"/>
        </w:rPr>
        <w:tab/>
      </w:r>
      <w:r w:rsidRPr="00E250EF">
        <w:rPr>
          <w:rFonts w:hint="cs"/>
          <w:rtl/>
          <w:lang w:bidi="ar-EG"/>
        </w:rPr>
        <w:t xml:space="preserve">يسلط المقترح الضوء على المسألة المتعلقة بالحاجة إلى جعل هذا الرقم غير قابل للبرمجة </w:t>
      </w:r>
      <w:r>
        <w:rPr>
          <w:rFonts w:hint="cs"/>
          <w:rtl/>
          <w:lang w:bidi="ar-EG"/>
        </w:rPr>
        <w:t xml:space="preserve">خارج شركات التصنيع </w:t>
      </w:r>
      <w:r w:rsidRPr="00E250EF">
        <w:rPr>
          <w:rFonts w:hint="cs"/>
          <w:rtl/>
          <w:lang w:bidi="ar-EG"/>
        </w:rPr>
        <w:t>وفقاً للمواصفات التقنية ل</w:t>
      </w:r>
      <w:r w:rsidRPr="00E250EF">
        <w:rPr>
          <w:rtl/>
        </w:rPr>
        <w:t>مشروع شراكة الجيل الثالث</w:t>
      </w:r>
      <w:r w:rsidRPr="00E250EF">
        <w:rPr>
          <w:rFonts w:hint="cs"/>
          <w:rtl/>
        </w:rPr>
        <w:t xml:space="preserve"> </w:t>
      </w:r>
      <w:r w:rsidRPr="00E250EF">
        <w:rPr>
          <w:lang w:bidi="ar-EG"/>
        </w:rPr>
        <w:t>(3GPP)</w:t>
      </w:r>
      <w:r w:rsidRPr="00E250EF">
        <w:rPr>
          <w:rFonts w:hint="cs"/>
          <w:rtl/>
          <w:lang w:bidi="ar-EG"/>
        </w:rPr>
        <w:t>.</w:t>
      </w:r>
    </w:p>
    <w:p w:rsidR="00E250EF" w:rsidRPr="00E250EF" w:rsidRDefault="00E250EF" w:rsidP="00F76E2E">
      <w:pPr>
        <w:pStyle w:val="Heading1"/>
        <w:rPr>
          <w:rtl/>
        </w:rPr>
      </w:pPr>
      <w:r w:rsidRPr="00E250EF">
        <w:rPr>
          <w:rFonts w:hint="cs"/>
          <w:rtl/>
        </w:rPr>
        <w:t>باء</w:t>
      </w:r>
      <w:r w:rsidR="00F17B1A">
        <w:rPr>
          <w:rtl/>
        </w:rPr>
        <w:tab/>
      </w:r>
      <w:r w:rsidRPr="00E250EF">
        <w:rPr>
          <w:rFonts w:hint="cs"/>
          <w:rtl/>
        </w:rPr>
        <w:t>مناقشة</w:t>
      </w:r>
    </w:p>
    <w:p w:rsidR="00E250EF" w:rsidRPr="00E250EF" w:rsidRDefault="00E250EF" w:rsidP="00E250EF">
      <w:pPr>
        <w:rPr>
          <w:spacing w:val="-2"/>
          <w:rtl/>
          <w:lang w:bidi="ar-EG"/>
        </w:rPr>
      </w:pPr>
      <w:r w:rsidRPr="00E250EF">
        <w:rPr>
          <w:spacing w:val="-2"/>
          <w:lang w:bidi="ar-EG"/>
        </w:rPr>
        <w:t>4</w:t>
      </w:r>
      <w:r w:rsidRPr="00E250EF">
        <w:rPr>
          <w:spacing w:val="-2"/>
          <w:rtl/>
          <w:lang w:bidi="ar-EG"/>
        </w:rPr>
        <w:tab/>
      </w:r>
      <w:r w:rsidRPr="00E250EF">
        <w:rPr>
          <w:rFonts w:hint="cs"/>
          <w:spacing w:val="-2"/>
          <w:rtl/>
          <w:lang w:bidi="ar-EG"/>
        </w:rPr>
        <w:t xml:space="preserve">وكما ذُكر أعلاه، تمثل الهوية الدولية للأجهزة المتنقلة عدداً فريداً يتكون من </w:t>
      </w:r>
      <w:r w:rsidRPr="00E250EF">
        <w:rPr>
          <w:spacing w:val="-2"/>
          <w:lang w:bidi="ar-EG"/>
        </w:rPr>
        <w:t>15</w:t>
      </w:r>
      <w:r w:rsidRPr="00E250EF">
        <w:rPr>
          <w:rFonts w:hint="cs"/>
          <w:spacing w:val="-2"/>
          <w:rtl/>
          <w:lang w:bidi="ar-EG"/>
        </w:rPr>
        <w:t xml:space="preserve"> رقماً يُستعمل لتعريف هوية الهواتف المتنقلة (مثل </w:t>
      </w:r>
      <w:r w:rsidRPr="00E250EF">
        <w:rPr>
          <w:spacing w:val="-2"/>
          <w:lang w:bidi="ar-EG"/>
        </w:rPr>
        <w:t>GSM</w:t>
      </w:r>
      <w:r w:rsidRPr="00E250EF">
        <w:rPr>
          <w:rFonts w:hint="cs"/>
          <w:spacing w:val="-2"/>
          <w:rtl/>
          <w:lang w:bidi="ar-EG"/>
        </w:rPr>
        <w:t xml:space="preserve"> و</w:t>
      </w:r>
      <w:r w:rsidRPr="00E250EF">
        <w:rPr>
          <w:spacing w:val="-2"/>
          <w:lang w:bidi="ar-EG"/>
        </w:rPr>
        <w:t>UMTS</w:t>
      </w:r>
      <w:r w:rsidRPr="00E250EF">
        <w:rPr>
          <w:rFonts w:hint="cs"/>
          <w:spacing w:val="-2"/>
          <w:rtl/>
          <w:lang w:bidi="ar-EG"/>
        </w:rPr>
        <w:t xml:space="preserve"> و</w:t>
      </w:r>
      <w:r w:rsidRPr="00E250EF">
        <w:rPr>
          <w:spacing w:val="-2"/>
          <w:lang w:bidi="ar-EG"/>
        </w:rPr>
        <w:t>LTE</w:t>
      </w:r>
      <w:r w:rsidRPr="00E250EF">
        <w:rPr>
          <w:rFonts w:hint="cs"/>
          <w:spacing w:val="-2"/>
          <w:rtl/>
          <w:lang w:bidi="ar-EG"/>
        </w:rPr>
        <w:t xml:space="preserve">) في إحدى شبكات الاتصالات. ويُتوخى أن يكون </w:t>
      </w:r>
      <w:r w:rsidRPr="00E250EF">
        <w:rPr>
          <w:rFonts w:hint="cs"/>
          <w:spacing w:val="-2"/>
          <w:rtl/>
        </w:rPr>
        <w:t>معرّف هوية</w:t>
      </w:r>
      <w:r w:rsidRPr="00E250EF">
        <w:rPr>
          <w:spacing w:val="-2"/>
          <w:rtl/>
        </w:rPr>
        <w:t xml:space="preserve"> الأجهزة المتنقلة</w:t>
      </w:r>
      <w:r w:rsidRPr="00E250EF">
        <w:rPr>
          <w:rFonts w:hint="cs"/>
          <w:spacing w:val="-2"/>
          <w:rtl/>
        </w:rPr>
        <w:t xml:space="preserve"> رقماً عالمياً فريداً للجهاز المتنقل إلا أن قابلية برمجة الرقم تجعله </w:t>
      </w:r>
      <w:r w:rsidRPr="00E250EF">
        <w:rPr>
          <w:rFonts w:hint="cs"/>
          <w:spacing w:val="-2"/>
          <w:rtl/>
          <w:lang w:bidi="ar-EG"/>
        </w:rPr>
        <w:t>عرضة للتغيير أو التلاعب من جانب مستعملين عديمي الضمير. وقد أدت إمكانية برمجة الهوية الدولية للأجهزة المتنقلة في الهواتف المتنقلة إلى قابلية التعرض للتكرار والتزييف والاستنساخ بل والأهم من ذلك إلى ظهور مسألة التهديد الأمني لوكالات إنفاذ القانون. وعلاوة</w:t>
      </w:r>
      <w:r w:rsidR="00F76E2E">
        <w:rPr>
          <w:rFonts w:hint="cs"/>
          <w:spacing w:val="-2"/>
          <w:rtl/>
          <w:lang w:bidi="ar-EG"/>
        </w:rPr>
        <w:t>ً</w:t>
      </w:r>
      <w:r w:rsidRPr="00E250EF">
        <w:rPr>
          <w:rFonts w:hint="cs"/>
          <w:spacing w:val="-2"/>
          <w:rtl/>
          <w:lang w:bidi="ar-EG"/>
        </w:rPr>
        <w:t xml:space="preserve"> على ذلك، تشكل إعادة برمجة الأرقام </w:t>
      </w:r>
      <w:r w:rsidRPr="00E250EF">
        <w:rPr>
          <w:spacing w:val="-2"/>
          <w:lang w:bidi="ar-EG"/>
        </w:rPr>
        <w:t>IMEI</w:t>
      </w:r>
      <w:r w:rsidRPr="00E250EF">
        <w:rPr>
          <w:rFonts w:hint="cs"/>
          <w:spacing w:val="-2"/>
          <w:rtl/>
          <w:lang w:bidi="ar-EG"/>
        </w:rPr>
        <w:t xml:space="preserve"> برقم </w:t>
      </w:r>
      <w:r w:rsidRPr="00E250EF">
        <w:rPr>
          <w:spacing w:val="-2"/>
          <w:lang w:bidi="ar-EG"/>
        </w:rPr>
        <w:t>IMEI</w:t>
      </w:r>
      <w:r w:rsidRPr="00E250EF">
        <w:rPr>
          <w:rFonts w:hint="cs"/>
          <w:spacing w:val="-2"/>
          <w:rtl/>
          <w:lang w:bidi="ar-EG"/>
        </w:rPr>
        <w:t xml:space="preserve"> صالح صعوبة عملية </w:t>
      </w:r>
      <w:r>
        <w:rPr>
          <w:rFonts w:hint="cs"/>
          <w:spacing w:val="-2"/>
          <w:rtl/>
          <w:lang w:bidi="ar-EG"/>
        </w:rPr>
        <w:t>لموردي</w:t>
      </w:r>
      <w:r w:rsidRPr="00E250EF">
        <w:rPr>
          <w:rFonts w:hint="cs"/>
          <w:spacing w:val="-2"/>
          <w:rtl/>
          <w:lang w:bidi="ar-EG"/>
        </w:rPr>
        <w:t xml:space="preserve"> خدمات الاتصالات فيما يتعلق بقواعد البيانات العالمية الخاصة بالحفاظ على القائمة البيضا</w:t>
      </w:r>
      <w:bookmarkStart w:id="2" w:name="_GoBack"/>
      <w:bookmarkEnd w:id="2"/>
      <w:r w:rsidRPr="00E250EF">
        <w:rPr>
          <w:rFonts w:hint="cs"/>
          <w:spacing w:val="-2"/>
          <w:rtl/>
          <w:lang w:bidi="ar-EG"/>
        </w:rPr>
        <w:t>ء للهويات الفريدة للأجهزة.</w:t>
      </w:r>
    </w:p>
    <w:p w:rsidR="00E250EF" w:rsidRPr="00E250EF" w:rsidRDefault="00E250EF" w:rsidP="006354A3">
      <w:pPr>
        <w:rPr>
          <w:i/>
          <w:rtl/>
          <w:lang w:bidi="ar-EG"/>
        </w:rPr>
      </w:pPr>
      <w:r>
        <w:rPr>
          <w:lang w:bidi="ar-EG"/>
        </w:rPr>
        <w:t>5</w:t>
      </w:r>
      <w:r w:rsidRPr="00E250EF">
        <w:rPr>
          <w:rtl/>
          <w:lang w:bidi="ar-EG"/>
        </w:rPr>
        <w:tab/>
      </w:r>
      <w:r w:rsidRPr="00E250EF">
        <w:rPr>
          <w:rFonts w:hint="cs"/>
          <w:rtl/>
          <w:lang w:bidi="ar-EG"/>
        </w:rPr>
        <w:t xml:space="preserve">يشير المقترح إلى المواصفات التقنية لمشروع </w:t>
      </w:r>
      <w:r w:rsidRPr="00E250EF">
        <w:rPr>
          <w:rtl/>
        </w:rPr>
        <w:t>شراكة الجيل الثالث</w:t>
      </w:r>
      <w:r w:rsidRPr="00E250EF">
        <w:rPr>
          <w:rFonts w:hint="cs"/>
          <w:rtl/>
        </w:rPr>
        <w:t xml:space="preserve"> والمبادئ التوجيهية للرابطة</w:t>
      </w:r>
      <w:r w:rsidR="003E779F">
        <w:rPr>
          <w:rFonts w:hint="eastAsia"/>
          <w:rtl/>
        </w:rPr>
        <w:t> </w:t>
      </w:r>
      <w:r w:rsidRPr="00E250EF">
        <w:rPr>
          <w:lang w:bidi="ar-EG"/>
        </w:rPr>
        <w:t>GSMA</w:t>
      </w:r>
      <w:r w:rsidRPr="00E250EF">
        <w:rPr>
          <w:rFonts w:hint="cs"/>
          <w:rtl/>
          <w:lang w:bidi="ar-EG"/>
        </w:rPr>
        <w:t>. وتحدد</w:t>
      </w:r>
      <w:r w:rsidR="00F17B1A">
        <w:rPr>
          <w:rFonts w:hint="cs"/>
          <w:rtl/>
          <w:lang w:bidi="ar-EG"/>
        </w:rPr>
        <w:t xml:space="preserve"> </w:t>
      </w:r>
      <w:r w:rsidRPr="00E250EF">
        <w:rPr>
          <w:rFonts w:hint="cs"/>
          <w:rtl/>
          <w:lang w:bidi="ar-EG"/>
        </w:rPr>
        <w:t>المواصفة</w:t>
      </w:r>
      <w:r w:rsidR="00F17B1A">
        <w:rPr>
          <w:rFonts w:hint="eastAsia"/>
          <w:rtl/>
          <w:lang w:bidi="ar-EG"/>
        </w:rPr>
        <w:t> </w:t>
      </w:r>
      <w:r w:rsidRPr="00E250EF">
        <w:rPr>
          <w:lang w:bidi="ar-EG"/>
        </w:rPr>
        <w:t>3GPP</w:t>
      </w:r>
      <w:r w:rsidR="00F17B1A">
        <w:rPr>
          <w:lang w:bidi="ar-EG"/>
        </w:rPr>
        <w:t> </w:t>
      </w:r>
      <w:r w:rsidRPr="00E250EF">
        <w:rPr>
          <w:lang w:bidi="ar-EG"/>
        </w:rPr>
        <w:t>TS</w:t>
      </w:r>
      <w:r w:rsidR="00F17B1A">
        <w:rPr>
          <w:lang w:bidi="ar-EG"/>
        </w:rPr>
        <w:t> </w:t>
      </w:r>
      <w:r w:rsidRPr="00E250EF">
        <w:rPr>
          <w:lang w:bidi="ar-EG"/>
        </w:rPr>
        <w:t>22.016</w:t>
      </w:r>
      <w:r w:rsidR="00F17B1A">
        <w:rPr>
          <w:lang w:bidi="ar-EG"/>
        </w:rPr>
        <w:t> </w:t>
      </w:r>
      <w:r w:rsidRPr="00E250EF">
        <w:rPr>
          <w:lang w:bidi="ar-EG"/>
        </w:rPr>
        <w:t>V10.0.0</w:t>
      </w:r>
      <w:r w:rsidRPr="00E250EF">
        <w:rPr>
          <w:rFonts w:hint="cs"/>
          <w:rtl/>
        </w:rPr>
        <w:t xml:space="preserve"> الصادرة في مارس </w:t>
      </w:r>
      <w:r w:rsidRPr="00E250EF">
        <w:rPr>
          <w:lang w:bidi="ar-EG"/>
        </w:rPr>
        <w:t>2011</w:t>
      </w:r>
      <w:r w:rsidRPr="00E250EF">
        <w:rPr>
          <w:rFonts w:hint="cs"/>
          <w:rtl/>
          <w:lang w:bidi="ar-EG"/>
        </w:rPr>
        <w:t xml:space="preserve"> وكذلك المواصفة</w:t>
      </w:r>
      <w:r w:rsidR="00F17B1A">
        <w:rPr>
          <w:rFonts w:hint="eastAsia"/>
          <w:rtl/>
          <w:lang w:bidi="ar-EG"/>
        </w:rPr>
        <w:t> </w:t>
      </w:r>
      <w:r w:rsidRPr="00E250EF">
        <w:rPr>
          <w:lang w:bidi="ar-EG"/>
        </w:rPr>
        <w:t>3GPP</w:t>
      </w:r>
      <w:r w:rsidR="00F17B1A">
        <w:rPr>
          <w:lang w:bidi="ar-EG"/>
        </w:rPr>
        <w:t> </w:t>
      </w:r>
      <w:r w:rsidRPr="00E250EF">
        <w:rPr>
          <w:lang w:bidi="ar-EG"/>
        </w:rPr>
        <w:t>TS</w:t>
      </w:r>
      <w:r w:rsidR="00F17B1A">
        <w:rPr>
          <w:lang w:bidi="ar-EG"/>
        </w:rPr>
        <w:t> </w:t>
      </w:r>
      <w:r w:rsidRPr="00E250EF">
        <w:rPr>
          <w:lang w:bidi="ar-EG"/>
        </w:rPr>
        <w:t>22.016</w:t>
      </w:r>
      <w:r w:rsidR="00F17B1A">
        <w:rPr>
          <w:lang w:bidi="ar-EG"/>
        </w:rPr>
        <w:t> </w:t>
      </w:r>
      <w:r w:rsidRPr="00E250EF">
        <w:rPr>
          <w:lang w:bidi="ar-EG"/>
        </w:rPr>
        <w:t>V14.0.0</w:t>
      </w:r>
      <w:r w:rsidRPr="00E250EF">
        <w:rPr>
          <w:rFonts w:hint="cs"/>
          <w:rtl/>
          <w:lang w:bidi="ar-EG"/>
        </w:rPr>
        <w:t xml:space="preserve"> الأخيرة </w:t>
      </w:r>
      <w:r w:rsidR="00F17B1A" w:rsidRPr="00F17B1A">
        <w:rPr>
          <w:rFonts w:hint="cs"/>
          <w:i/>
          <w:iCs/>
          <w:rtl/>
          <w:lang w:bidi="ar-EG"/>
        </w:rPr>
        <w:t>"</w:t>
      </w:r>
      <w:r w:rsidRPr="00E250EF">
        <w:rPr>
          <w:rFonts w:hint="cs"/>
          <w:i/>
          <w:iCs/>
          <w:rtl/>
          <w:lang w:bidi="ar-EG"/>
        </w:rPr>
        <w:t>أن</w:t>
      </w:r>
      <w:r w:rsidR="00F17B1A">
        <w:rPr>
          <w:rFonts w:hint="eastAsia"/>
          <w:i/>
          <w:iCs/>
          <w:rtl/>
          <w:lang w:bidi="ar-EG"/>
        </w:rPr>
        <w:t> </w:t>
      </w:r>
      <w:r w:rsidRPr="00E250EF">
        <w:rPr>
          <w:rFonts w:hint="cs"/>
          <w:i/>
          <w:iCs/>
          <w:rtl/>
          <w:lang w:bidi="ar-EG"/>
        </w:rPr>
        <w:t>الرقم</w:t>
      </w:r>
      <w:r w:rsidR="00F17B1A">
        <w:rPr>
          <w:rFonts w:hint="eastAsia"/>
          <w:i/>
          <w:iCs/>
          <w:rtl/>
          <w:lang w:bidi="ar-EG"/>
        </w:rPr>
        <w:t> </w:t>
      </w:r>
      <w:r w:rsidRPr="00E250EF">
        <w:rPr>
          <w:i/>
          <w:iCs/>
          <w:lang w:bidi="ar-EG"/>
        </w:rPr>
        <w:t>IMEI</w:t>
      </w:r>
      <w:r w:rsidRPr="00E250EF">
        <w:rPr>
          <w:rFonts w:hint="cs"/>
          <w:i/>
          <w:iCs/>
          <w:rtl/>
          <w:lang w:bidi="ar-EG"/>
        </w:rPr>
        <w:t xml:space="preserve"> يجب أن يكون فريداً وألا يتغير بعد عملية الإنتاج الأخيرة للأجهزة المتنقلة. ويجب أن يكون قادراً على مقاومة التلاعب أي الاحتيال والتغيير بأي وسيلة كانت (مادية أو كهربائية أو برمجية).</w:t>
      </w:r>
      <w:r w:rsidR="00F17B1A">
        <w:rPr>
          <w:rFonts w:hint="cs"/>
          <w:i/>
          <w:iCs/>
          <w:rtl/>
          <w:lang w:bidi="ar-EG"/>
        </w:rPr>
        <w:t>"</w:t>
      </w:r>
      <w:r w:rsidRPr="00E250EF">
        <w:rPr>
          <w:rFonts w:hint="cs"/>
          <w:i/>
          <w:rtl/>
          <w:lang w:bidi="ar-EG"/>
        </w:rPr>
        <w:t xml:space="preserve"> وبناءً على ذلك، أصدرت الرابطة</w:t>
      </w:r>
      <w:r w:rsidR="006354A3">
        <w:rPr>
          <w:rFonts w:hint="eastAsia"/>
          <w:i/>
          <w:rtl/>
          <w:lang w:bidi="ar-EG"/>
        </w:rPr>
        <w:t> </w:t>
      </w:r>
      <w:r w:rsidRPr="00E250EF">
        <w:rPr>
          <w:iCs/>
          <w:lang w:bidi="ar-EG"/>
        </w:rPr>
        <w:t>GSMA</w:t>
      </w:r>
      <w:r w:rsidRPr="00E250EF">
        <w:rPr>
          <w:rFonts w:hint="cs"/>
          <w:i/>
          <w:rtl/>
          <w:lang w:bidi="ar-EG"/>
        </w:rPr>
        <w:t xml:space="preserve"> أيضاً مبادئها التوجيهية. وعلى الرغم من المواصفات الحالية لمشروع شراكة الجيل الثالث والمبادئ التوجيهية لرابطة </w:t>
      </w:r>
      <w:r w:rsidRPr="00E250EF">
        <w:rPr>
          <w:iCs/>
          <w:lang w:bidi="ar-EG"/>
        </w:rPr>
        <w:t>GSMA</w:t>
      </w:r>
      <w:r w:rsidRPr="00E250EF">
        <w:rPr>
          <w:rFonts w:hint="cs"/>
          <w:i/>
          <w:rtl/>
          <w:lang w:bidi="ar-EG"/>
        </w:rPr>
        <w:t xml:space="preserve"> بشأن </w:t>
      </w:r>
      <w:r>
        <w:rPr>
          <w:rFonts w:hint="cs"/>
          <w:i/>
          <w:rtl/>
          <w:lang w:bidi="ar-EG"/>
        </w:rPr>
        <w:t>اشتراط</w:t>
      </w:r>
      <w:r w:rsidRPr="00E250EF">
        <w:rPr>
          <w:rFonts w:hint="cs"/>
          <w:i/>
          <w:rtl/>
          <w:lang w:bidi="ar-EG"/>
        </w:rPr>
        <w:t xml:space="preserve"> عدم قابلية برمجة الرقم </w:t>
      </w:r>
      <w:r w:rsidRPr="00E250EF">
        <w:rPr>
          <w:lang w:bidi="ar-EG"/>
        </w:rPr>
        <w:t>IMEI</w:t>
      </w:r>
      <w:r w:rsidRPr="00E250EF">
        <w:rPr>
          <w:rFonts w:hint="cs"/>
          <w:i/>
          <w:rtl/>
          <w:lang w:bidi="ar-EG"/>
        </w:rPr>
        <w:t xml:space="preserve"> بعد عملية </w:t>
      </w:r>
      <w:r>
        <w:rPr>
          <w:rFonts w:hint="cs"/>
          <w:i/>
          <w:rtl/>
          <w:lang w:bidi="ar-EG"/>
        </w:rPr>
        <w:t>الإنتاج في المصنع</w:t>
      </w:r>
      <w:r w:rsidRPr="00E250EF">
        <w:rPr>
          <w:rFonts w:hint="cs"/>
          <w:i/>
          <w:rtl/>
          <w:lang w:bidi="ar-EG"/>
        </w:rPr>
        <w:t xml:space="preserve">، لا زالت إعادة برمجة الرمز </w:t>
      </w:r>
      <w:r w:rsidRPr="00E250EF">
        <w:rPr>
          <w:lang w:bidi="ar-EG"/>
        </w:rPr>
        <w:t>IMEI</w:t>
      </w:r>
      <w:r w:rsidRPr="00E250EF">
        <w:rPr>
          <w:rFonts w:hint="cs"/>
          <w:i/>
          <w:rtl/>
          <w:lang w:bidi="ar-EG"/>
        </w:rPr>
        <w:t xml:space="preserve"> وتغييره في الهاتف المتنقل </w:t>
      </w:r>
      <w:r>
        <w:rPr>
          <w:rFonts w:hint="cs"/>
          <w:i/>
          <w:rtl/>
          <w:lang w:bidi="ar-EG"/>
        </w:rPr>
        <w:t xml:space="preserve">خارج المصنع </w:t>
      </w:r>
      <w:r w:rsidRPr="00E250EF">
        <w:rPr>
          <w:rFonts w:hint="cs"/>
          <w:i/>
          <w:rtl/>
          <w:lang w:bidi="ar-EG"/>
        </w:rPr>
        <w:t xml:space="preserve">بمثابة لعبة </w:t>
      </w:r>
      <w:r>
        <w:rPr>
          <w:rFonts w:hint="cs"/>
          <w:i/>
          <w:rtl/>
          <w:lang w:bidi="ar-EG"/>
        </w:rPr>
        <w:t>من ألعاب الأطفال</w:t>
      </w:r>
      <w:r w:rsidRPr="00E250EF">
        <w:rPr>
          <w:rFonts w:hint="cs"/>
          <w:i/>
          <w:rtl/>
          <w:lang w:bidi="ar-EG"/>
        </w:rPr>
        <w:t>.</w:t>
      </w:r>
    </w:p>
    <w:p w:rsidR="00E250EF" w:rsidRPr="00E250EF" w:rsidRDefault="00E250EF" w:rsidP="00EC3B50">
      <w:pPr>
        <w:rPr>
          <w:i/>
          <w:rtl/>
          <w:lang w:bidi="ar-EG"/>
        </w:rPr>
      </w:pPr>
      <w:r w:rsidRPr="00E250EF">
        <w:rPr>
          <w:iCs/>
          <w:lang w:bidi="ar-EG"/>
        </w:rPr>
        <w:t>6</w:t>
      </w:r>
      <w:r w:rsidRPr="00E250EF">
        <w:rPr>
          <w:i/>
          <w:rtl/>
          <w:lang w:bidi="ar-EG"/>
        </w:rPr>
        <w:tab/>
      </w:r>
      <w:r w:rsidRPr="00E250EF">
        <w:rPr>
          <w:rFonts w:hint="cs"/>
          <w:i/>
          <w:rtl/>
          <w:lang w:bidi="ar-EG"/>
        </w:rPr>
        <w:t xml:space="preserve">تواجه كل </w:t>
      </w:r>
      <w:r>
        <w:rPr>
          <w:rFonts w:hint="cs"/>
          <w:i/>
          <w:rtl/>
          <w:lang w:bidi="ar-EG"/>
        </w:rPr>
        <w:t>الإدارات</w:t>
      </w:r>
      <w:r w:rsidRPr="00E250EF">
        <w:rPr>
          <w:rFonts w:hint="cs"/>
          <w:i/>
          <w:rtl/>
          <w:lang w:bidi="ar-EG"/>
        </w:rPr>
        <w:t xml:space="preserve"> تقريباً التحدي المتمثل في زيادة حالات سرقة الهواتف المتنقلة واستعمال الهواتف المتنقلة غير</w:t>
      </w:r>
      <w:r w:rsidR="00F17B1A">
        <w:rPr>
          <w:rFonts w:hint="eastAsia"/>
          <w:i/>
          <w:rtl/>
          <w:lang w:bidi="ar-EG"/>
        </w:rPr>
        <w:t> </w:t>
      </w:r>
      <w:r w:rsidRPr="00E250EF">
        <w:rPr>
          <w:rFonts w:hint="cs"/>
          <w:i/>
          <w:rtl/>
          <w:lang w:bidi="ar-EG"/>
        </w:rPr>
        <w:t xml:space="preserve">القانونية وغير الحقيقية في الشبكة. وهناك حالات تم فيها العثور على عدة آلاف </w:t>
      </w:r>
      <w:r>
        <w:rPr>
          <w:rFonts w:hint="cs"/>
          <w:i/>
          <w:rtl/>
          <w:lang w:bidi="ar-EG"/>
        </w:rPr>
        <w:t xml:space="preserve">من </w:t>
      </w:r>
      <w:r w:rsidRPr="00E250EF">
        <w:rPr>
          <w:rFonts w:hint="cs"/>
          <w:i/>
          <w:rtl/>
          <w:lang w:bidi="ar-EG"/>
        </w:rPr>
        <w:t xml:space="preserve">الهواتف </w:t>
      </w:r>
      <w:r>
        <w:rPr>
          <w:rFonts w:hint="cs"/>
          <w:i/>
          <w:rtl/>
          <w:lang w:bidi="ar-EG"/>
        </w:rPr>
        <w:t xml:space="preserve">تحمل </w:t>
      </w:r>
      <w:r w:rsidRPr="00E250EF">
        <w:rPr>
          <w:rFonts w:hint="cs"/>
          <w:i/>
          <w:rtl/>
          <w:lang w:bidi="ar-EG"/>
        </w:rPr>
        <w:t>ذات الرقم</w:t>
      </w:r>
      <w:r w:rsidR="00EC3B50">
        <w:rPr>
          <w:rFonts w:hint="eastAsia"/>
          <w:i/>
          <w:rtl/>
          <w:lang w:bidi="ar-EG"/>
        </w:rPr>
        <w:t> </w:t>
      </w:r>
      <w:r w:rsidRPr="00E250EF">
        <w:rPr>
          <w:lang w:bidi="ar-EG"/>
        </w:rPr>
        <w:t>IMEI</w:t>
      </w:r>
      <w:r w:rsidRPr="00E250EF">
        <w:rPr>
          <w:rFonts w:hint="cs"/>
          <w:i/>
          <w:rtl/>
          <w:lang w:bidi="ar-EG"/>
        </w:rPr>
        <w:t xml:space="preserve"> مما طرح قضية سيادة القانون والنظام والآثار الأمنية أيضاً. وعلاوة</w:t>
      </w:r>
      <w:r w:rsidR="0007631A">
        <w:rPr>
          <w:rFonts w:hint="cs"/>
          <w:i/>
          <w:rtl/>
          <w:lang w:bidi="ar-EG"/>
        </w:rPr>
        <w:t>ً</w:t>
      </w:r>
      <w:r w:rsidRPr="00E250EF">
        <w:rPr>
          <w:rFonts w:hint="cs"/>
          <w:i/>
          <w:rtl/>
          <w:lang w:bidi="ar-EG"/>
        </w:rPr>
        <w:t xml:space="preserve"> على ذلك، تطرح الأرقام </w:t>
      </w:r>
      <w:r w:rsidRPr="00E250EF">
        <w:rPr>
          <w:lang w:bidi="ar-EG"/>
        </w:rPr>
        <w:t>IMEI</w:t>
      </w:r>
      <w:r w:rsidRPr="00E250EF">
        <w:rPr>
          <w:rFonts w:hint="cs"/>
          <w:i/>
          <w:rtl/>
          <w:lang w:bidi="ar-EG"/>
        </w:rPr>
        <w:t xml:space="preserve"> الزائفة وغير الحقيقية تحدياً رئيسياً فيما</w:t>
      </w:r>
      <w:r w:rsidR="00F17B1A">
        <w:rPr>
          <w:rFonts w:hint="eastAsia"/>
          <w:i/>
          <w:rtl/>
          <w:lang w:bidi="ar-EG"/>
        </w:rPr>
        <w:t> </w:t>
      </w:r>
      <w:r w:rsidRPr="00E250EF">
        <w:rPr>
          <w:rFonts w:hint="cs"/>
          <w:i/>
          <w:rtl/>
          <w:lang w:bidi="ar-EG"/>
        </w:rPr>
        <w:t>يتعلق بإجراء التحقيقات.</w:t>
      </w:r>
    </w:p>
    <w:p w:rsidR="00E250EF" w:rsidRPr="00E250EF" w:rsidRDefault="00E250EF" w:rsidP="00E250EF">
      <w:pPr>
        <w:rPr>
          <w:i/>
          <w:rtl/>
        </w:rPr>
      </w:pPr>
      <w:r>
        <w:rPr>
          <w:iCs/>
          <w:lang w:bidi="ar-EG"/>
        </w:rPr>
        <w:lastRenderedPageBreak/>
        <w:t>7</w:t>
      </w:r>
      <w:r w:rsidRPr="00E250EF">
        <w:rPr>
          <w:iCs/>
          <w:rtl/>
          <w:lang w:bidi="ar-EG"/>
        </w:rPr>
        <w:tab/>
      </w:r>
      <w:r w:rsidRPr="00E250EF">
        <w:rPr>
          <w:rFonts w:hint="cs"/>
          <w:i/>
          <w:rtl/>
          <w:lang w:bidi="ar-EG"/>
        </w:rPr>
        <w:t xml:space="preserve">في القرار </w:t>
      </w:r>
      <w:r w:rsidRPr="00E250EF">
        <w:rPr>
          <w:iCs/>
          <w:lang w:bidi="ar-EG"/>
        </w:rPr>
        <w:t>174</w:t>
      </w:r>
      <w:r w:rsidRPr="00E250EF">
        <w:rPr>
          <w:rFonts w:hint="cs"/>
          <w:i/>
          <w:rtl/>
          <w:lang w:bidi="ar-EG"/>
        </w:rPr>
        <w:t xml:space="preserve"> لمؤتمر المندوبين المفوضين، اعترفت الدول الأعضاء بأن </w:t>
      </w:r>
      <w:r w:rsidRPr="00F17B1A">
        <w:rPr>
          <w:i/>
          <w:iCs/>
          <w:rtl/>
        </w:rPr>
        <w:t xml:space="preserve">التعاون </w:t>
      </w:r>
      <w:r w:rsidRPr="00F17B1A">
        <w:rPr>
          <w:rFonts w:hint="cs"/>
          <w:i/>
          <w:iCs/>
          <w:rtl/>
        </w:rPr>
        <w:t>والتآزر</w:t>
      </w:r>
      <w:r w:rsidRPr="00F17B1A">
        <w:rPr>
          <w:i/>
          <w:iCs/>
          <w:rtl/>
        </w:rPr>
        <w:t xml:space="preserve"> على المستوى العالمي بين </w:t>
      </w:r>
      <w:r w:rsidRPr="00F17B1A">
        <w:rPr>
          <w:rFonts w:hint="cs"/>
          <w:i/>
          <w:iCs/>
          <w:rtl/>
        </w:rPr>
        <w:t>الدول الأعضاء و</w:t>
      </w:r>
      <w:r w:rsidRPr="00F17B1A">
        <w:rPr>
          <w:i/>
          <w:iCs/>
          <w:rtl/>
        </w:rPr>
        <w:t xml:space="preserve">المنظمات الدولية </w:t>
      </w:r>
      <w:r w:rsidRPr="00F17B1A">
        <w:rPr>
          <w:rFonts w:hint="cs"/>
          <w:i/>
          <w:iCs/>
          <w:rtl/>
        </w:rPr>
        <w:t xml:space="preserve">وجميع أصحاب المصلحة الآخرين، </w:t>
      </w:r>
      <w:r w:rsidRPr="00F17B1A">
        <w:rPr>
          <w:i/>
          <w:iCs/>
          <w:rtl/>
        </w:rPr>
        <w:t xml:space="preserve">ضروريان من أجل </w:t>
      </w:r>
      <w:r w:rsidRPr="00F17B1A">
        <w:rPr>
          <w:rFonts w:hint="cs"/>
          <w:i/>
          <w:iCs/>
          <w:rtl/>
        </w:rPr>
        <w:t>معالجة و</w:t>
      </w:r>
      <w:r w:rsidRPr="00F17B1A">
        <w:rPr>
          <w:i/>
          <w:iCs/>
          <w:rtl/>
        </w:rPr>
        <w:t>منع الاستعمال غير القانوني لتكنولوجيا المعلومات</w:t>
      </w:r>
      <w:r w:rsidRPr="00F17B1A">
        <w:rPr>
          <w:rFonts w:hint="cs"/>
          <w:i/>
          <w:iCs/>
          <w:rtl/>
        </w:rPr>
        <w:t> </w:t>
      </w:r>
      <w:r w:rsidRPr="00F17B1A">
        <w:rPr>
          <w:i/>
          <w:iCs/>
          <w:rtl/>
        </w:rPr>
        <w:t>والاتصالات</w:t>
      </w:r>
      <w:r w:rsidRPr="00F17B1A">
        <w:rPr>
          <w:rFonts w:hint="cs"/>
          <w:i/>
          <w:iCs/>
          <w:rtl/>
        </w:rPr>
        <w:t>؛ و</w:t>
      </w:r>
      <w:r w:rsidRPr="00F17B1A">
        <w:rPr>
          <w:i/>
          <w:iCs/>
          <w:rtl/>
        </w:rPr>
        <w:t xml:space="preserve">بالدور </w:t>
      </w:r>
      <w:r w:rsidRPr="00F17B1A">
        <w:rPr>
          <w:rFonts w:hint="cs"/>
          <w:i/>
          <w:iCs/>
          <w:rtl/>
        </w:rPr>
        <w:t xml:space="preserve">الإشرافي والتسهيلي المسند إلى </w:t>
      </w:r>
      <w:r w:rsidR="00F17B1A" w:rsidRPr="00F17B1A">
        <w:rPr>
          <w:rFonts w:hint="cs"/>
          <w:i/>
          <w:iCs/>
          <w:rtl/>
        </w:rPr>
        <w:t>الاتحاد</w:t>
      </w:r>
      <w:r w:rsidRPr="00F17B1A">
        <w:rPr>
          <w:rFonts w:hint="cs"/>
          <w:i/>
          <w:iCs/>
          <w:rtl/>
        </w:rPr>
        <w:t xml:space="preserve"> بموجب </w:t>
      </w:r>
      <w:r w:rsidRPr="00F17B1A">
        <w:rPr>
          <w:i/>
          <w:iCs/>
          <w:rtl/>
        </w:rPr>
        <w:t>خط العمل جيم</w:t>
      </w:r>
      <w:r w:rsidRPr="00F17B1A">
        <w:rPr>
          <w:i/>
          <w:iCs/>
          <w:lang w:bidi="ar-EG"/>
        </w:rPr>
        <w:t>5</w:t>
      </w:r>
      <w:r w:rsidRPr="00F17B1A">
        <w:rPr>
          <w:rFonts w:hint="cs"/>
          <w:i/>
          <w:iCs/>
          <w:rtl/>
        </w:rPr>
        <w:t>؛ وبأن تبادل المعلومات على الصعيد العالمي بشأن التدابير والممارسات الأمنية ذات الصلة له قيمة خاصة لدى البلدان النامية</w:t>
      </w:r>
      <w:r w:rsidRPr="00F17B1A">
        <w:rPr>
          <w:rStyle w:val="FootnoteReference"/>
          <w:rtl/>
        </w:rPr>
        <w:footnoteReference w:customMarkFollows="1" w:id="1"/>
        <w:t>1</w:t>
      </w:r>
      <w:r w:rsidRPr="00F17B1A">
        <w:rPr>
          <w:rFonts w:hint="cs"/>
          <w:i/>
          <w:iCs/>
          <w:rtl/>
        </w:rPr>
        <w:t xml:space="preserve"> في تخفيف آثار الاستعمالات غير القانونية لتكنولوجيا المعلومات والاتصالات.</w:t>
      </w:r>
    </w:p>
    <w:p w:rsidR="00E250EF" w:rsidRPr="00F17B1A" w:rsidRDefault="00E250EF" w:rsidP="00E250EF">
      <w:pPr>
        <w:rPr>
          <w:i/>
          <w:iCs/>
          <w:rtl/>
        </w:rPr>
      </w:pPr>
      <w:r w:rsidRPr="00E250EF">
        <w:rPr>
          <w:iCs/>
          <w:lang w:bidi="ar-EG"/>
        </w:rPr>
        <w:t>8</w:t>
      </w:r>
      <w:r w:rsidRPr="00E250EF">
        <w:rPr>
          <w:i/>
          <w:rtl/>
          <w:lang w:bidi="ar-EG"/>
        </w:rPr>
        <w:tab/>
      </w:r>
      <w:r w:rsidRPr="00E250EF">
        <w:rPr>
          <w:rFonts w:hint="cs"/>
          <w:i/>
          <w:rtl/>
          <w:lang w:bidi="ar-EG"/>
        </w:rPr>
        <w:t xml:space="preserve">ويشير القرار إلى </w:t>
      </w:r>
      <w:r w:rsidRPr="00F17B1A">
        <w:rPr>
          <w:i/>
          <w:iCs/>
          <w:rtl/>
        </w:rPr>
        <w:t>ضعف البنى التحتية الوطنية الحيوية وزيادة اعتمادها على تكنولوجيا المعلومات والاتصالات والتهديدات المترتبة على الاستعمال غير القانوني لتكنولوجيا المعلومات والاتصالات</w:t>
      </w:r>
      <w:r w:rsidRPr="00F17B1A">
        <w:rPr>
          <w:rFonts w:hint="cs"/>
          <w:i/>
          <w:iCs/>
          <w:rtl/>
        </w:rPr>
        <w:t xml:space="preserve">. </w:t>
      </w:r>
      <w:r w:rsidRPr="00F17B1A">
        <w:rPr>
          <w:rFonts w:hint="cs"/>
          <w:rtl/>
        </w:rPr>
        <w:t>ويقرر</w:t>
      </w:r>
      <w:r w:rsidRPr="00F17B1A">
        <w:rPr>
          <w:rFonts w:hint="cs"/>
          <w:i/>
          <w:iCs/>
          <w:rtl/>
        </w:rPr>
        <w:t xml:space="preserve"> تكليف الأمين العام ب</w:t>
      </w:r>
      <w:r w:rsidRPr="00F17B1A">
        <w:rPr>
          <w:i/>
          <w:iCs/>
          <w:rtl/>
        </w:rPr>
        <w:t>زيادة وعي الدول الأعضاء بالتأثير السلبي الذي قد ينجم عن الاستعمال غير القانوني لموارد المعلومات</w:t>
      </w:r>
      <w:r w:rsidRPr="00F17B1A">
        <w:rPr>
          <w:rFonts w:hint="cs"/>
          <w:i/>
          <w:iCs/>
          <w:rtl/>
        </w:rPr>
        <w:t> </w:t>
      </w:r>
      <w:r w:rsidRPr="00F17B1A">
        <w:rPr>
          <w:i/>
          <w:iCs/>
          <w:rtl/>
        </w:rPr>
        <w:t>والاتصالات</w:t>
      </w:r>
      <w:r w:rsidRPr="00F17B1A">
        <w:rPr>
          <w:rFonts w:hint="cs"/>
          <w:i/>
          <w:iCs/>
          <w:rtl/>
        </w:rPr>
        <w:t xml:space="preserve">؛ وبمواصلة زيادة الوعي، في إطار ولاية </w:t>
      </w:r>
      <w:r w:rsidR="00F17B1A" w:rsidRPr="00F17B1A">
        <w:rPr>
          <w:rFonts w:hint="cs"/>
          <w:i/>
          <w:iCs/>
          <w:rtl/>
        </w:rPr>
        <w:t>الاتحاد</w:t>
      </w:r>
      <w:r w:rsidRPr="00F17B1A">
        <w:rPr>
          <w:rFonts w:hint="cs"/>
          <w:i/>
          <w:iCs/>
          <w:rtl/>
        </w:rPr>
        <w:t>، بضرورة الحد من المخاطر والتهديدات ذات الصلة الناجمة عن الاستعمال غير القانوني لتكنولوجيا المعلومات والاتصالات</w:t>
      </w:r>
      <w:r w:rsidRPr="00F17B1A">
        <w:rPr>
          <w:i/>
          <w:iCs/>
          <w:rtl/>
        </w:rPr>
        <w:t xml:space="preserve"> ومواصلة تعزيز التعاون بين المنظمات الدولية والإقليمية </w:t>
      </w:r>
      <w:r w:rsidRPr="00F17B1A">
        <w:rPr>
          <w:rFonts w:hint="cs"/>
          <w:i/>
          <w:iCs/>
          <w:rtl/>
        </w:rPr>
        <w:t>ذات الصلة.</w:t>
      </w:r>
    </w:p>
    <w:p w:rsidR="00E250EF" w:rsidRPr="00E250EF" w:rsidRDefault="00E250EF" w:rsidP="00E250EF">
      <w:pPr>
        <w:rPr>
          <w:rtl/>
          <w:lang w:bidi="ar-EG"/>
        </w:rPr>
      </w:pPr>
      <w:r>
        <w:rPr>
          <w:iCs/>
          <w:lang w:bidi="ar-EG"/>
        </w:rPr>
        <w:t>9</w:t>
      </w:r>
      <w:r w:rsidRPr="00E250EF">
        <w:rPr>
          <w:iCs/>
          <w:rtl/>
          <w:lang w:bidi="ar-EG"/>
        </w:rPr>
        <w:tab/>
      </w:r>
      <w:r w:rsidRPr="00E250EF">
        <w:rPr>
          <w:rFonts w:hint="cs"/>
          <w:rtl/>
          <w:lang w:bidi="ar-EG"/>
        </w:rPr>
        <w:t xml:space="preserve">ينبغي أن يكون تنفيذ الرقم </w:t>
      </w:r>
      <w:r w:rsidRPr="00E250EF">
        <w:rPr>
          <w:lang w:bidi="ar-EG"/>
        </w:rPr>
        <w:t>IMEI</w:t>
      </w:r>
      <w:r w:rsidRPr="00E250EF">
        <w:rPr>
          <w:rFonts w:hint="cs"/>
          <w:rtl/>
          <w:lang w:bidi="ar-EG"/>
        </w:rPr>
        <w:t xml:space="preserve"> في الهاتف المتنقل في المصنع على نحو </w:t>
      </w:r>
      <w:r>
        <w:rPr>
          <w:rFonts w:hint="cs"/>
          <w:rtl/>
          <w:lang w:bidi="ar-EG"/>
        </w:rPr>
        <w:t>بحيث يؤدي تغيير الرقم </w:t>
      </w:r>
      <w:r>
        <w:rPr>
          <w:lang w:bidi="ar-EG"/>
        </w:rPr>
        <w:t>IMEI</w:t>
      </w:r>
      <w:r>
        <w:rPr>
          <w:rFonts w:hint="cs"/>
          <w:rtl/>
          <w:lang w:bidi="ar-EG"/>
        </w:rPr>
        <w:t xml:space="preserve"> إلى أن يصبح </w:t>
      </w:r>
      <w:r w:rsidRPr="00E250EF">
        <w:rPr>
          <w:rFonts w:hint="cs"/>
          <w:rtl/>
          <w:lang w:bidi="ar-EG"/>
        </w:rPr>
        <w:t xml:space="preserve">الجهاز المتنقل غير صالح إذا تم التلاعب بالرقم </w:t>
      </w:r>
      <w:r w:rsidRPr="00E250EF">
        <w:rPr>
          <w:lang w:bidi="ar-EG"/>
        </w:rPr>
        <w:t>IMEI</w:t>
      </w:r>
      <w:r w:rsidRPr="00E250EF">
        <w:rPr>
          <w:rFonts w:hint="cs"/>
          <w:rtl/>
          <w:lang w:bidi="ar-EG"/>
        </w:rPr>
        <w:t>.</w:t>
      </w:r>
    </w:p>
    <w:p w:rsidR="00E250EF" w:rsidRPr="00E250EF" w:rsidRDefault="00E250EF" w:rsidP="00E250EF">
      <w:pPr>
        <w:pStyle w:val="Heading1"/>
        <w:rPr>
          <w:rtl/>
        </w:rPr>
      </w:pPr>
      <w:r w:rsidRPr="00E250EF">
        <w:rPr>
          <w:rFonts w:hint="cs"/>
          <w:rtl/>
        </w:rPr>
        <w:t>جيم</w:t>
      </w:r>
      <w:r w:rsidRPr="00E250EF">
        <w:rPr>
          <w:rFonts w:hint="cs"/>
          <w:rtl/>
        </w:rPr>
        <w:tab/>
        <w:t>المقترح</w:t>
      </w:r>
    </w:p>
    <w:p w:rsidR="00E250EF" w:rsidRPr="00E250EF" w:rsidRDefault="00E250EF" w:rsidP="00E250EF">
      <w:pPr>
        <w:rPr>
          <w:i/>
          <w:rtl/>
          <w:lang w:bidi="ar-EG"/>
        </w:rPr>
      </w:pPr>
      <w:r>
        <w:rPr>
          <w:iCs/>
          <w:lang w:bidi="ar-EG"/>
        </w:rPr>
        <w:t>10</w:t>
      </w:r>
      <w:r w:rsidRPr="00E250EF">
        <w:rPr>
          <w:iCs/>
          <w:rtl/>
          <w:lang w:bidi="ar-EG"/>
        </w:rPr>
        <w:tab/>
      </w:r>
      <w:r w:rsidRPr="00E250EF">
        <w:rPr>
          <w:rFonts w:hint="cs"/>
          <w:i/>
          <w:rtl/>
          <w:lang w:bidi="ar-EG"/>
        </w:rPr>
        <w:t xml:space="preserve">تنفيذ المواصفات ذات الصلة بالمعني الحقيقي أمر أساسي لجعل الأرقام </w:t>
      </w:r>
      <w:r w:rsidRPr="00E250EF">
        <w:rPr>
          <w:lang w:bidi="ar-EG"/>
        </w:rPr>
        <w:t>IMEI</w:t>
      </w:r>
      <w:r w:rsidRPr="00E250EF">
        <w:rPr>
          <w:rFonts w:hint="cs"/>
          <w:i/>
          <w:rtl/>
          <w:lang w:bidi="ar-EG"/>
        </w:rPr>
        <w:t xml:space="preserve"> الفريدة غير قابلة للتلاعب بعد مرحلة الإنتاج. ونظراً إلى أهمية وضرورة الأرقام </w:t>
      </w:r>
      <w:r w:rsidRPr="00E250EF">
        <w:rPr>
          <w:lang w:bidi="ar-EG"/>
        </w:rPr>
        <w:t>IMEI</w:t>
      </w:r>
      <w:r w:rsidRPr="00E250EF">
        <w:rPr>
          <w:rFonts w:hint="cs"/>
          <w:i/>
          <w:rtl/>
          <w:lang w:bidi="ar-EG"/>
        </w:rPr>
        <w:t xml:space="preserve"> غير القابلة للمسح وللبرمجة في الهواتف المتنقلة، لا بد من </w:t>
      </w:r>
      <w:r>
        <w:rPr>
          <w:rFonts w:hint="cs"/>
          <w:i/>
          <w:rtl/>
          <w:lang w:bidi="ar-EG"/>
        </w:rPr>
        <w:t xml:space="preserve">رفع </w:t>
      </w:r>
      <w:r w:rsidRPr="00E250EF">
        <w:rPr>
          <w:rFonts w:hint="cs"/>
          <w:i/>
          <w:rtl/>
          <w:lang w:bidi="ar-EG"/>
        </w:rPr>
        <w:t xml:space="preserve">هذه المسألة </w:t>
      </w:r>
      <w:r>
        <w:rPr>
          <w:rFonts w:hint="cs"/>
          <w:i/>
          <w:rtl/>
          <w:lang w:bidi="ar-EG"/>
        </w:rPr>
        <w:t>إلى عناية</w:t>
      </w:r>
      <w:r w:rsidRPr="00E250EF">
        <w:rPr>
          <w:rFonts w:hint="cs"/>
          <w:i/>
          <w:rtl/>
          <w:lang w:bidi="ar-EG"/>
        </w:rPr>
        <w:t xml:space="preserve"> الاتحاد والدول الأعضاء </w:t>
      </w:r>
      <w:r>
        <w:rPr>
          <w:rFonts w:hint="cs"/>
          <w:i/>
          <w:rtl/>
          <w:lang w:bidi="ar-EG"/>
        </w:rPr>
        <w:t>الموقرة</w:t>
      </w:r>
      <w:r w:rsidRPr="00E250EF">
        <w:rPr>
          <w:rFonts w:hint="cs"/>
          <w:i/>
          <w:rtl/>
          <w:lang w:bidi="ar-EG"/>
        </w:rPr>
        <w:t>.</w:t>
      </w:r>
    </w:p>
    <w:p w:rsidR="00E250EF" w:rsidRPr="00E250EF" w:rsidRDefault="00E250EF" w:rsidP="00E250EF">
      <w:pPr>
        <w:rPr>
          <w:rtl/>
          <w:lang w:bidi="ar-EG"/>
        </w:rPr>
      </w:pPr>
      <w:r w:rsidRPr="00E250EF">
        <w:rPr>
          <w:iCs/>
          <w:lang w:bidi="ar-EG"/>
        </w:rPr>
        <w:t>11</w:t>
      </w:r>
      <w:r w:rsidRPr="00E250EF">
        <w:rPr>
          <w:iCs/>
          <w:rtl/>
          <w:lang w:bidi="ar-EG"/>
        </w:rPr>
        <w:tab/>
      </w:r>
      <w:r w:rsidRPr="00E250EF">
        <w:rPr>
          <w:rFonts w:hint="cs"/>
          <w:i/>
          <w:rtl/>
          <w:lang w:bidi="ar-EG"/>
        </w:rPr>
        <w:t xml:space="preserve">يُطلب من الاتحاد أن يعمل مع الرابطة </w:t>
      </w:r>
      <w:r w:rsidRPr="00E250EF">
        <w:rPr>
          <w:iCs/>
          <w:lang w:bidi="ar-EG"/>
        </w:rPr>
        <w:t>GSMA</w:t>
      </w:r>
      <w:r w:rsidRPr="00E250EF">
        <w:rPr>
          <w:rFonts w:hint="cs"/>
          <w:i/>
          <w:rtl/>
          <w:lang w:bidi="ar-EG"/>
        </w:rPr>
        <w:t xml:space="preserve"> وغيرها من المنظمات ذات الصلة بشأن مسألة تنفيذ المبادئ التوجيهية نظراً للآثار الأمنية التي تنطوي عليها المسألة من أجل جعل الرقم </w:t>
      </w:r>
      <w:r w:rsidRPr="00E250EF">
        <w:rPr>
          <w:lang w:bidi="ar-EG"/>
        </w:rPr>
        <w:t>IMEI</w:t>
      </w:r>
      <w:r w:rsidRPr="00E250EF">
        <w:rPr>
          <w:rFonts w:hint="cs"/>
          <w:i/>
          <w:rtl/>
          <w:lang w:bidi="ar-EG"/>
        </w:rPr>
        <w:t xml:space="preserve"> غير قابل للتغيير بعد عملية الإنتاج النهائي للأجهزة المتنقلة. </w:t>
      </w:r>
      <w:r w:rsidRPr="00E250EF">
        <w:rPr>
          <w:rFonts w:hint="cs"/>
          <w:rtl/>
          <w:lang w:bidi="ar-EG"/>
        </w:rPr>
        <w:t>ويجب أن يكون هذا الرقم قادراً على مقاومة التلاعب أي الاحتيال والتغيير بأي وسيلة كانت (مادية أو كهربائية أو برمجية).</w:t>
      </w:r>
    </w:p>
    <w:p w:rsidR="00E250EF" w:rsidRPr="00E250EF" w:rsidRDefault="00E250EF" w:rsidP="00E250EF">
      <w:pPr>
        <w:rPr>
          <w:rtl/>
          <w:lang w:bidi="ar-EG"/>
        </w:rPr>
      </w:pPr>
      <w:r w:rsidRPr="00E250EF">
        <w:rPr>
          <w:lang w:bidi="ar-EG"/>
        </w:rPr>
        <w:t>12</w:t>
      </w:r>
      <w:r w:rsidRPr="00E250EF">
        <w:rPr>
          <w:rtl/>
          <w:lang w:bidi="ar-EG"/>
        </w:rPr>
        <w:tab/>
      </w:r>
      <w:r w:rsidRPr="00E250EF">
        <w:rPr>
          <w:rFonts w:hint="cs"/>
          <w:rtl/>
          <w:lang w:bidi="ar-EG"/>
        </w:rPr>
        <w:t>تُدعى الدول الأعضاء وتُحث على اتخاذ التدابير اللازمة للتصدي للتهديد العالمي الذي تطرحه قابلية برمجة الأرقام</w:t>
      </w:r>
      <w:r>
        <w:rPr>
          <w:rFonts w:hint="eastAsia"/>
          <w:rtl/>
          <w:lang w:bidi="ar-EG"/>
        </w:rPr>
        <w:t> </w:t>
      </w:r>
      <w:r w:rsidRPr="00E250EF">
        <w:rPr>
          <w:lang w:bidi="ar-EG"/>
        </w:rPr>
        <w:t>IMEI</w:t>
      </w:r>
      <w:r w:rsidRPr="00E250EF">
        <w:rPr>
          <w:rFonts w:hint="cs"/>
          <w:rtl/>
          <w:lang w:bidi="ar-EG"/>
        </w:rPr>
        <w:t xml:space="preserve"> </w:t>
      </w:r>
      <w:r>
        <w:rPr>
          <w:rFonts w:hint="cs"/>
          <w:rtl/>
          <w:lang w:bidi="ar-EG"/>
        </w:rPr>
        <w:t xml:space="preserve">خارج المصنع </w:t>
      </w:r>
      <w:r w:rsidRPr="00E250EF">
        <w:rPr>
          <w:rFonts w:hint="cs"/>
          <w:rtl/>
          <w:lang w:bidi="ar-EG"/>
        </w:rPr>
        <w:t xml:space="preserve">وذلك من خلال معالجة المسألة مع </w:t>
      </w:r>
      <w:r>
        <w:rPr>
          <w:rFonts w:hint="cs"/>
          <w:rtl/>
          <w:lang w:bidi="ar-EG"/>
        </w:rPr>
        <w:t xml:space="preserve">موردي </w:t>
      </w:r>
      <w:r w:rsidRPr="00E250EF">
        <w:rPr>
          <w:rFonts w:hint="cs"/>
          <w:rtl/>
          <w:lang w:bidi="ar-EG"/>
        </w:rPr>
        <w:t>الخدمات ومصنعي الأجهزة المتنقلة من خلال إطار السياسة اللازم للتخفيف من حدة إساءة الاستعمال على النحو المبين أعلاه.</w:t>
      </w:r>
    </w:p>
    <w:p w:rsidR="00E250EF" w:rsidRPr="00E250EF" w:rsidRDefault="00E250EF" w:rsidP="00E250EF">
      <w:pPr>
        <w:rPr>
          <w:rtl/>
          <w:lang w:bidi="ar-EG"/>
        </w:rPr>
      </w:pPr>
      <w:r w:rsidRPr="00E250EF">
        <w:rPr>
          <w:lang w:bidi="ar-EG"/>
        </w:rPr>
        <w:t>13</w:t>
      </w:r>
      <w:r w:rsidRPr="00E250EF">
        <w:rPr>
          <w:rtl/>
          <w:lang w:bidi="ar-EG"/>
        </w:rPr>
        <w:tab/>
      </w:r>
      <w:r>
        <w:rPr>
          <w:rFonts w:hint="cs"/>
          <w:rtl/>
          <w:lang w:bidi="ar-EG"/>
        </w:rPr>
        <w:t xml:space="preserve">يمكن لمكتب </w:t>
      </w:r>
      <w:r w:rsidRPr="00E250EF">
        <w:rPr>
          <w:rFonts w:hint="cs"/>
          <w:rtl/>
          <w:lang w:bidi="ar-EG"/>
        </w:rPr>
        <w:t xml:space="preserve">تقييس الاتصالات بالاتحاد </w:t>
      </w:r>
      <w:r>
        <w:rPr>
          <w:rFonts w:hint="cs"/>
          <w:rtl/>
          <w:lang w:bidi="ar-EG"/>
        </w:rPr>
        <w:t xml:space="preserve">دراسة </w:t>
      </w:r>
      <w:r w:rsidRPr="00E250EF">
        <w:rPr>
          <w:rFonts w:hint="cs"/>
          <w:rtl/>
          <w:lang w:bidi="ar-EG"/>
        </w:rPr>
        <w:t xml:space="preserve">هذه المسألة </w:t>
      </w:r>
      <w:r>
        <w:rPr>
          <w:rFonts w:hint="cs"/>
          <w:rtl/>
          <w:lang w:bidi="ar-EG"/>
        </w:rPr>
        <w:t xml:space="preserve">لمواجهة </w:t>
      </w:r>
      <w:r w:rsidRPr="00E250EF">
        <w:rPr>
          <w:rFonts w:hint="cs"/>
          <w:rtl/>
          <w:lang w:bidi="ar-EG"/>
        </w:rPr>
        <w:t>تحديات تنفيذ المواصفات التقنية ل</w:t>
      </w:r>
      <w:r w:rsidRPr="00E250EF">
        <w:rPr>
          <w:rtl/>
        </w:rPr>
        <w:t>مشروع شراكة الجيل الثالث</w:t>
      </w:r>
      <w:r w:rsidRPr="00E250EF">
        <w:rPr>
          <w:rFonts w:hint="cs"/>
          <w:rtl/>
        </w:rPr>
        <w:t xml:space="preserve"> ويمكن أن يوفر </w:t>
      </w:r>
      <w:r>
        <w:rPr>
          <w:rFonts w:hint="cs"/>
          <w:rtl/>
        </w:rPr>
        <w:t>التوجيهات اللازمة</w:t>
      </w:r>
      <w:r w:rsidR="008D7CDD">
        <w:rPr>
          <w:rFonts w:hint="cs"/>
          <w:rtl/>
        </w:rPr>
        <w:t xml:space="preserve"> بهذا الشأن.</w:t>
      </w:r>
    </w:p>
    <w:p w:rsidR="004401F1" w:rsidRPr="004401F1" w:rsidRDefault="0097034E" w:rsidP="0097034E">
      <w:pPr>
        <w:spacing w:before="600"/>
        <w:jc w:val="center"/>
        <w:rPr>
          <w:lang w:bidi="ar-EG"/>
        </w:rPr>
      </w:pPr>
      <w:r>
        <w:rPr>
          <w:rFonts w:hint="cs"/>
          <w:rtl/>
          <w:lang w:bidi="ar-EG"/>
        </w:rPr>
        <w:t>___________</w:t>
      </w:r>
    </w:p>
    <w:sectPr w:rsidR="004401F1" w:rsidRPr="004401F1"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30" w:rsidRDefault="006F2C30" w:rsidP="00E07379">
      <w:pPr>
        <w:spacing w:before="0" w:line="240" w:lineRule="auto"/>
      </w:pPr>
      <w:r>
        <w:separator/>
      </w:r>
    </w:p>
  </w:endnote>
  <w:endnote w:type="continuationSeparator" w:id="0">
    <w:p w:rsidR="006F2C30" w:rsidRDefault="006F2C3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401F1" w:rsidRDefault="000E4FF0" w:rsidP="0007631A">
    <w:pPr>
      <w:pStyle w:val="Footer"/>
      <w:tabs>
        <w:tab w:val="clear" w:pos="5812"/>
        <w:tab w:val="right" w:pos="5670"/>
      </w:tabs>
      <w:rPr>
        <w:lang w:val="fr-CH"/>
      </w:rPr>
    </w:pPr>
    <w:r>
      <w:fldChar w:fldCharType="begin"/>
    </w:r>
    <w:r w:rsidRPr="004401F1">
      <w:rPr>
        <w:lang w:val="fr-CH"/>
      </w:rPr>
      <w:instrText xml:space="preserve"> FILENAME \p \* MERGEFORMAT </w:instrText>
    </w:r>
    <w:r>
      <w:fldChar w:fldCharType="separate"/>
    </w:r>
    <w:r w:rsidR="00E250EF">
      <w:rPr>
        <w:noProof/>
        <w:lang w:val="fr-CH"/>
      </w:rPr>
      <w:t>P:\ARA\SG\CONSEIL\C17\000\087A.docx</w:t>
    </w:r>
    <w:r>
      <w:rPr>
        <w:noProof/>
      </w:rPr>
      <w:fldChar w:fldCharType="end"/>
    </w:r>
    <w:r w:rsidR="0007631A">
      <w:rPr>
        <w:lang w:val="fr-CH"/>
      </w:rPr>
      <w:t>   </w:t>
    </w:r>
    <w:r w:rsidR="00BD0C50" w:rsidRPr="004401F1">
      <w:rPr>
        <w:lang w:val="fr-CH"/>
      </w:rPr>
      <w:t>(</w:t>
    </w:r>
    <w:r w:rsidR="00E250EF">
      <w:rPr>
        <w:lang w:val="fr-CH"/>
      </w:rPr>
      <w:t>417468</w:t>
    </w:r>
    <w:r w:rsidR="00BD0C50" w:rsidRPr="004401F1">
      <w:rPr>
        <w:lang w:val="fr-CH"/>
      </w:rPr>
      <w:t>)</w:t>
    </w:r>
    <w:r w:rsidR="00BD0C50" w:rsidRPr="004401F1">
      <w:rPr>
        <w:lang w:val="fr-CH"/>
      </w:rPr>
      <w:tab/>
    </w:r>
    <w:r w:rsidR="00BD0C50" w:rsidRPr="00665956">
      <w:fldChar w:fldCharType="begin"/>
    </w:r>
    <w:r w:rsidR="00BD0C50" w:rsidRPr="00665956">
      <w:instrText xml:space="preserve"> savedate \@ dd.MM.yy </w:instrText>
    </w:r>
    <w:r w:rsidR="00BD0C50" w:rsidRPr="00665956">
      <w:fldChar w:fldCharType="separate"/>
    </w:r>
    <w:r w:rsidR="0007631A">
      <w:rPr>
        <w:noProof/>
      </w:rPr>
      <w:t>12.05.17</w:t>
    </w:r>
    <w:r w:rsidR="00BD0C50" w:rsidRPr="00665956">
      <w:fldChar w:fldCharType="end"/>
    </w:r>
    <w:r w:rsidR="00BD0C50" w:rsidRPr="004401F1">
      <w:rPr>
        <w:lang w:val="fr-CH"/>
      </w:rPr>
      <w:tab/>
    </w:r>
    <w:r w:rsidR="00BD0C50" w:rsidRPr="00665956">
      <w:fldChar w:fldCharType="begin"/>
    </w:r>
    <w:r w:rsidR="00BD0C50" w:rsidRPr="00665956">
      <w:instrText xml:space="preserve"> printdate \@ dd.MM.yy </w:instrText>
    </w:r>
    <w:r w:rsidR="00BD0C50" w:rsidRPr="00665956">
      <w:fldChar w:fldCharType="separate"/>
    </w:r>
    <w:r w:rsidR="00BD3DDD">
      <w:rPr>
        <w:noProof/>
      </w:rPr>
      <w:t>12.05.17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07631A">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E250EF">
      <w:rPr>
        <w:rFonts w:cs="Calibri"/>
        <w:noProof/>
        <w:vanish/>
        <w:lang w:val="fr-FR"/>
      </w:rPr>
      <w:t>P:\ARA\SG\CONSEIL\C17\000\087A.docx</w:t>
    </w:r>
    <w:r w:rsidRPr="00C66157">
      <w:rPr>
        <w:rFonts w:cs="Calibri"/>
        <w:vanish/>
      </w:rPr>
      <w:fldChar w:fldCharType="end"/>
    </w:r>
    <w:r w:rsidR="0007631A">
      <w:rPr>
        <w:rFonts w:cs="Calibri"/>
        <w:vanish/>
        <w:lang w:val="fr-CH"/>
      </w:rPr>
      <w:t>   </w:t>
    </w:r>
    <w:r w:rsidRPr="00C66157">
      <w:rPr>
        <w:rFonts w:cs="Calibri"/>
        <w:vanish/>
        <w:lang w:val="fr-FR"/>
      </w:rPr>
      <w:t>(</w:t>
    </w:r>
    <w:r w:rsidR="00E250EF">
      <w:rPr>
        <w:rFonts w:cs="Calibri"/>
        <w:vanish/>
        <w:lang w:val="fr-FR"/>
      </w:rPr>
      <w:t>417468</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07631A">
      <w:rPr>
        <w:rFonts w:cs="Calibri"/>
        <w:noProof/>
        <w:vanish/>
        <w:lang w:val="fr-FR"/>
      </w:rPr>
      <w:t>12.05.17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BD3DDD">
      <w:rPr>
        <w:rFonts w:cs="Calibri"/>
        <w:noProof/>
        <w:vanish/>
        <w:lang w:val="fr-FR"/>
      </w:rPr>
      <w:t>12.05.17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30" w:rsidRDefault="006F2C30" w:rsidP="00E07379">
      <w:pPr>
        <w:spacing w:before="0" w:line="240" w:lineRule="auto"/>
      </w:pPr>
      <w:r>
        <w:separator/>
      </w:r>
    </w:p>
  </w:footnote>
  <w:footnote w:type="continuationSeparator" w:id="0">
    <w:p w:rsidR="006F2C30" w:rsidRDefault="006F2C30" w:rsidP="00E07379">
      <w:pPr>
        <w:spacing w:before="0" w:line="240" w:lineRule="auto"/>
      </w:pPr>
      <w:r>
        <w:continuationSeparator/>
      </w:r>
    </w:p>
  </w:footnote>
  <w:footnote w:id="1">
    <w:p w:rsidR="00E250EF" w:rsidRDefault="00E250EF" w:rsidP="00E250EF">
      <w:pPr>
        <w:pStyle w:val="FootnoteText"/>
        <w:rPr>
          <w:rtl/>
        </w:rPr>
      </w:pPr>
      <w:r>
        <w:rPr>
          <w:rStyle w:val="FootnoteReference"/>
          <w:rtl/>
        </w:rPr>
        <w:t>1</w:t>
      </w:r>
      <w:r>
        <w:rPr>
          <w:rtl/>
        </w:rPr>
        <w:tab/>
      </w:r>
      <w:r w:rsidRPr="00B80EEE">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8D7CDD" w:rsidP="0007631A">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E250EF">
          <w:rPr>
            <w:rFonts w:eastAsiaTheme="minorEastAsia" w:cs="Calibri"/>
            <w:noProof/>
            <w:sz w:val="20"/>
            <w:szCs w:val="20"/>
            <w:lang w:eastAsia="zh-CN"/>
          </w:rPr>
          <w:t>87</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30"/>
    <w:rsid w:val="000124CC"/>
    <w:rsid w:val="00041F8B"/>
    <w:rsid w:val="00046444"/>
    <w:rsid w:val="0006023B"/>
    <w:rsid w:val="0007631A"/>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81108"/>
    <w:rsid w:val="003C106D"/>
    <w:rsid w:val="003C475F"/>
    <w:rsid w:val="003E4132"/>
    <w:rsid w:val="003E779F"/>
    <w:rsid w:val="003F678F"/>
    <w:rsid w:val="0042686F"/>
    <w:rsid w:val="004367CE"/>
    <w:rsid w:val="004401F1"/>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354A3"/>
    <w:rsid w:val="0065591D"/>
    <w:rsid w:val="00662C5A"/>
    <w:rsid w:val="00670AF5"/>
    <w:rsid w:val="006B75C1"/>
    <w:rsid w:val="006C1556"/>
    <w:rsid w:val="006F267F"/>
    <w:rsid w:val="006F2C30"/>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D7CDD"/>
    <w:rsid w:val="00917694"/>
    <w:rsid w:val="009263CD"/>
    <w:rsid w:val="00930E6D"/>
    <w:rsid w:val="0097034E"/>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D3DDD"/>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250EF"/>
    <w:rsid w:val="00E32189"/>
    <w:rsid w:val="00E45211"/>
    <w:rsid w:val="00E7380C"/>
    <w:rsid w:val="00E74BE7"/>
    <w:rsid w:val="00E86CC9"/>
    <w:rsid w:val="00E96624"/>
    <w:rsid w:val="00EC3B50"/>
    <w:rsid w:val="00F126F1"/>
    <w:rsid w:val="00F17B1A"/>
    <w:rsid w:val="00F2106A"/>
    <w:rsid w:val="00F36D8B"/>
    <w:rsid w:val="00F401D0"/>
    <w:rsid w:val="00F45F2B"/>
    <w:rsid w:val="00F57AE4"/>
    <w:rsid w:val="00F67150"/>
    <w:rsid w:val="00F76E2E"/>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7FB575C-1926-443E-BF44-1862E235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5A862548-AFA5-48D0-82AC-DBA4C7C3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31</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9</cp:revision>
  <cp:lastPrinted>2017-05-12T07:33:00Z</cp:lastPrinted>
  <dcterms:created xsi:type="dcterms:W3CDTF">2017-05-12T09:47:00Z</dcterms:created>
  <dcterms:modified xsi:type="dcterms:W3CDTF">2017-05-15T06:30:00Z</dcterms:modified>
  <cp:category>Conference document</cp:category>
</cp:coreProperties>
</file>