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1C5E57">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1C5E57">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1C5E57">
            <w:pPr>
              <w:spacing w:before="0" w:after="48"/>
              <w:rPr>
                <w:b/>
                <w:smallCaps/>
                <w:szCs w:val="24"/>
              </w:rPr>
            </w:pPr>
          </w:p>
        </w:tc>
        <w:tc>
          <w:tcPr>
            <w:tcW w:w="3120" w:type="dxa"/>
            <w:tcBorders>
              <w:bottom w:val="single" w:sz="12" w:space="0" w:color="auto"/>
            </w:tcBorders>
          </w:tcPr>
          <w:p w:rsidR="00700D1F" w:rsidRPr="00617BE4" w:rsidRDefault="00700D1F" w:rsidP="001C5E5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1C5E57">
            <w:pPr>
              <w:spacing w:before="0" w:after="48"/>
              <w:rPr>
                <w:b/>
                <w:smallCaps/>
                <w:szCs w:val="24"/>
              </w:rPr>
            </w:pPr>
          </w:p>
        </w:tc>
        <w:tc>
          <w:tcPr>
            <w:tcW w:w="3120" w:type="dxa"/>
            <w:tcBorders>
              <w:top w:val="single" w:sz="12" w:space="0" w:color="auto"/>
            </w:tcBorders>
          </w:tcPr>
          <w:p w:rsidR="00700D1F" w:rsidRPr="00617BE4" w:rsidRDefault="00700D1F" w:rsidP="001C5E5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1C5E57">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691E04">
              <w:rPr>
                <w:b/>
              </w:rPr>
              <w:t>4.1</w:t>
            </w:r>
          </w:p>
        </w:tc>
        <w:tc>
          <w:tcPr>
            <w:tcW w:w="3120" w:type="dxa"/>
          </w:tcPr>
          <w:p w:rsidR="00700D1F" w:rsidRPr="00700D1F" w:rsidRDefault="00700D1F" w:rsidP="001C5E57">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3F3E47">
              <w:rPr>
                <w:b/>
                <w:bCs/>
                <w:szCs w:val="24"/>
                <w:lang w:eastAsia="zh-CN"/>
              </w:rPr>
              <w:t>8</w:t>
            </w:r>
            <w:r w:rsidR="00691E04">
              <w:rPr>
                <w:b/>
                <w:bCs/>
                <w:szCs w:val="24"/>
                <w:lang w:eastAsia="zh-CN"/>
              </w:rPr>
              <w:t>5</w:t>
            </w:r>
            <w:r w:rsidRPr="00FC5386">
              <w:rPr>
                <w:b/>
                <w:bCs/>
                <w:szCs w:val="24"/>
                <w:lang w:eastAsia="zh-CN"/>
              </w:rPr>
              <w:t>-C</w:t>
            </w:r>
          </w:p>
        </w:tc>
      </w:tr>
      <w:bookmarkEnd w:id="1"/>
      <w:tr w:rsidR="00700D1F">
        <w:trPr>
          <w:cantSplit/>
          <w:trHeight w:val="23"/>
        </w:trPr>
        <w:tc>
          <w:tcPr>
            <w:tcW w:w="6911" w:type="dxa"/>
            <w:vMerge/>
          </w:tcPr>
          <w:p w:rsidR="00700D1F" w:rsidRDefault="00700D1F" w:rsidP="001C5E57">
            <w:pPr>
              <w:tabs>
                <w:tab w:val="left" w:pos="851"/>
              </w:tabs>
              <w:rPr>
                <w:b/>
                <w:lang w:eastAsia="zh-CN"/>
              </w:rPr>
            </w:pPr>
          </w:p>
        </w:tc>
        <w:tc>
          <w:tcPr>
            <w:tcW w:w="3120" w:type="dxa"/>
          </w:tcPr>
          <w:p w:rsidR="00700D1F" w:rsidRPr="00FC5386" w:rsidRDefault="00700D1F" w:rsidP="001C5E57">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A96506">
              <w:rPr>
                <w:rFonts w:asciiTheme="minorHAnsi" w:hAnsiTheme="minorHAnsi" w:cstheme="minorHAnsi"/>
                <w:b/>
                <w:bCs/>
                <w:szCs w:val="24"/>
                <w:lang w:eastAsia="zh-CN"/>
              </w:rPr>
              <w:t>4</w:t>
            </w:r>
            <w:r w:rsidRPr="00FC5386">
              <w:rPr>
                <w:rFonts w:hint="eastAsia"/>
                <w:b/>
                <w:bCs/>
                <w:szCs w:val="24"/>
                <w:lang w:eastAsia="zh-CN"/>
              </w:rPr>
              <w:t>月</w:t>
            </w:r>
            <w:r w:rsidR="003F3E47">
              <w:rPr>
                <w:rFonts w:asciiTheme="minorHAnsi" w:hAnsiTheme="minorHAnsi" w:cstheme="minorHAnsi"/>
                <w:b/>
                <w:bCs/>
                <w:szCs w:val="24"/>
                <w:lang w:eastAsia="zh-CN"/>
              </w:rPr>
              <w:t>28</w:t>
            </w:r>
            <w:r w:rsidRPr="00FC5386">
              <w:rPr>
                <w:rFonts w:hint="eastAsia"/>
                <w:b/>
                <w:bCs/>
                <w:szCs w:val="24"/>
                <w:lang w:eastAsia="zh-CN"/>
              </w:rPr>
              <w:t>日</w:t>
            </w:r>
          </w:p>
        </w:tc>
      </w:tr>
      <w:tr w:rsidR="00700D1F">
        <w:trPr>
          <w:cantSplit/>
          <w:trHeight w:val="23"/>
        </w:trPr>
        <w:tc>
          <w:tcPr>
            <w:tcW w:w="6911" w:type="dxa"/>
            <w:vMerge/>
          </w:tcPr>
          <w:p w:rsidR="00700D1F" w:rsidRDefault="00700D1F" w:rsidP="001C5E57">
            <w:pPr>
              <w:tabs>
                <w:tab w:val="left" w:pos="851"/>
              </w:tabs>
              <w:rPr>
                <w:b/>
                <w:lang w:eastAsia="zh-CN"/>
              </w:rPr>
            </w:pPr>
          </w:p>
        </w:tc>
        <w:tc>
          <w:tcPr>
            <w:tcW w:w="3120" w:type="dxa"/>
          </w:tcPr>
          <w:p w:rsidR="00700D1F" w:rsidRPr="00FC5386" w:rsidRDefault="00700D1F" w:rsidP="001C5E5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1C5E5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3F3E47" w:rsidRDefault="00691E04" w:rsidP="001C5E57">
            <w:pPr>
              <w:pStyle w:val="Title1"/>
              <w:rPr>
                <w:lang w:eastAsia="zh-CN"/>
              </w:rPr>
            </w:pPr>
            <w:r>
              <w:rPr>
                <w:rFonts w:hint="eastAsia"/>
                <w:lang w:eastAsia="zh-CN"/>
              </w:rPr>
              <w:t>波兰</w:t>
            </w:r>
            <w:r w:rsidR="003F3E47">
              <w:rPr>
                <w:rFonts w:hint="eastAsia"/>
                <w:lang w:eastAsia="zh-CN"/>
              </w:rPr>
              <w:t>共和国提交的文稿</w:t>
            </w:r>
          </w:p>
          <w:p w:rsidR="0093362E" w:rsidRPr="003F3E47" w:rsidRDefault="008C5163" w:rsidP="001C5E57">
            <w:pPr>
              <w:pStyle w:val="Title1"/>
              <w:rPr>
                <w:lang w:eastAsia="zh-CN"/>
              </w:rPr>
            </w:pPr>
            <w:bookmarkStart w:id="2" w:name="lt_pId013"/>
            <w:r>
              <w:rPr>
                <w:rFonts w:hint="eastAsia"/>
                <w:lang w:eastAsia="zh-CN"/>
              </w:rPr>
              <w:t>成员国</w:t>
            </w:r>
            <w:r>
              <w:rPr>
                <w:lang w:eastAsia="zh-CN"/>
              </w:rPr>
              <w:t>免费在线获取国际电联</w:t>
            </w:r>
            <w:r>
              <w:rPr>
                <w:rFonts w:hint="eastAsia"/>
                <w:lang w:eastAsia="zh-CN"/>
              </w:rPr>
              <w:t>的</w:t>
            </w:r>
            <w:r>
              <w:rPr>
                <w:lang w:eastAsia="zh-CN"/>
              </w:rPr>
              <w:t>报告、统计数据和指标</w:t>
            </w:r>
            <w:bookmarkEnd w:id="2"/>
          </w:p>
        </w:tc>
      </w:tr>
    </w:tbl>
    <w:p w:rsidR="0093362E" w:rsidRDefault="0093362E" w:rsidP="001C5E57">
      <w:pPr>
        <w:rPr>
          <w:lang w:eastAsia="zh-CN"/>
        </w:rPr>
      </w:pPr>
    </w:p>
    <w:p w:rsidR="00A96506" w:rsidRPr="006323C1" w:rsidRDefault="003F3E47" w:rsidP="001C5E57">
      <w:pPr>
        <w:spacing w:before="360"/>
        <w:ind w:firstLineChars="200" w:firstLine="480"/>
        <w:jc w:val="both"/>
        <w:rPr>
          <w:rFonts w:asciiTheme="minorHAnsi" w:hAnsiTheme="minorHAnsi"/>
          <w:lang w:eastAsia="zh-CN"/>
        </w:rPr>
      </w:pPr>
      <w:r>
        <w:rPr>
          <w:rFonts w:hint="eastAsia"/>
          <w:lang w:val="fr-CH" w:eastAsia="zh-CN"/>
        </w:rPr>
        <w:t>我</w:t>
      </w:r>
      <w:r>
        <w:rPr>
          <w:rFonts w:hint="eastAsia"/>
          <w:lang w:eastAsia="zh-CN"/>
        </w:rPr>
        <w:t>荣幸地向各理事国转呈</w:t>
      </w:r>
      <w:r w:rsidR="00691E04">
        <w:rPr>
          <w:rFonts w:hint="eastAsia"/>
          <w:b/>
          <w:bCs/>
          <w:lang w:eastAsia="zh-CN"/>
        </w:rPr>
        <w:t>波兰</w:t>
      </w:r>
      <w:r>
        <w:rPr>
          <w:rFonts w:hint="eastAsia"/>
          <w:b/>
          <w:bCs/>
          <w:lang w:eastAsia="zh-CN"/>
        </w:rPr>
        <w:t>共和国</w:t>
      </w:r>
      <w:r>
        <w:rPr>
          <w:rFonts w:hint="eastAsia"/>
          <w:lang w:eastAsia="zh-CN"/>
        </w:rPr>
        <w:t>提交的文稿。</w:t>
      </w:r>
    </w:p>
    <w:p w:rsidR="00A96506" w:rsidRPr="006323C1" w:rsidRDefault="00A96506" w:rsidP="001C5E57">
      <w:pPr>
        <w:spacing w:before="360"/>
        <w:jc w:val="both"/>
        <w:rPr>
          <w:rFonts w:asciiTheme="minorHAnsi" w:hAnsiTheme="minorHAnsi"/>
          <w:lang w:eastAsia="zh-CN"/>
        </w:rPr>
      </w:pPr>
      <w:bookmarkStart w:id="3" w:name="_GoBack"/>
      <w:bookmarkEnd w:id="3"/>
    </w:p>
    <w:p w:rsidR="00A96506" w:rsidRPr="006323C1" w:rsidRDefault="00A96506" w:rsidP="001C5E57">
      <w:pPr>
        <w:tabs>
          <w:tab w:val="clear" w:pos="794"/>
          <w:tab w:val="clear" w:pos="1191"/>
          <w:tab w:val="clear" w:pos="1588"/>
          <w:tab w:val="clear" w:pos="1985"/>
          <w:tab w:val="center" w:pos="7088"/>
        </w:tabs>
        <w:rPr>
          <w:rFonts w:asciiTheme="minorHAnsi" w:hAnsiTheme="minorHAnsi"/>
          <w:lang w:eastAsia="zh-CN"/>
        </w:rPr>
      </w:pPr>
      <w:r w:rsidRPr="006323C1">
        <w:rPr>
          <w:rFonts w:asciiTheme="minorHAnsi" w:hAnsiTheme="minorHAnsi"/>
          <w:lang w:eastAsia="zh-CN"/>
        </w:rPr>
        <w:tab/>
      </w:r>
      <w:r w:rsidRPr="006323C1">
        <w:rPr>
          <w:rFonts w:asciiTheme="minorHAnsi" w:hAnsiTheme="minorHAnsi"/>
          <w:lang w:eastAsia="zh-CN"/>
        </w:rPr>
        <w:tab/>
      </w:r>
      <w:r w:rsidR="00430E97">
        <w:rPr>
          <w:rFonts w:asciiTheme="minorHAnsi" w:hAnsiTheme="minorHAnsi" w:hint="eastAsia"/>
          <w:lang w:eastAsia="zh-CN"/>
        </w:rPr>
        <w:t>秘书长</w:t>
      </w:r>
      <w:r w:rsidRPr="006323C1">
        <w:rPr>
          <w:rFonts w:asciiTheme="minorHAnsi" w:hAnsiTheme="minorHAnsi"/>
          <w:lang w:eastAsia="zh-CN"/>
        </w:rPr>
        <w:br/>
      </w:r>
      <w:r w:rsidRPr="006323C1">
        <w:rPr>
          <w:rFonts w:asciiTheme="minorHAnsi" w:hAnsiTheme="minorHAnsi"/>
          <w:lang w:eastAsia="zh-CN"/>
        </w:rPr>
        <w:tab/>
      </w:r>
      <w:r w:rsidRPr="006323C1">
        <w:rPr>
          <w:rFonts w:asciiTheme="minorHAnsi" w:hAnsiTheme="minorHAnsi"/>
          <w:lang w:eastAsia="zh-CN"/>
        </w:rPr>
        <w:tab/>
      </w:r>
      <w:r w:rsidR="00430E97">
        <w:rPr>
          <w:rFonts w:asciiTheme="minorHAnsi" w:hAnsiTheme="minorHAnsi" w:hint="eastAsia"/>
          <w:lang w:eastAsia="zh-CN"/>
        </w:rPr>
        <w:t>赵厚麟</w:t>
      </w:r>
    </w:p>
    <w:p w:rsidR="00A96506" w:rsidRDefault="00A96506" w:rsidP="001C5E57">
      <w:pPr>
        <w:rPr>
          <w:rFonts w:asciiTheme="minorHAnsi" w:hAnsiTheme="minorHAnsi"/>
          <w:lang w:eastAsia="zh-CN"/>
        </w:rPr>
      </w:pPr>
    </w:p>
    <w:p w:rsidR="00E378D8" w:rsidRPr="00A96506" w:rsidRDefault="00E378D8" w:rsidP="001C5E57">
      <w:pPr>
        <w:tabs>
          <w:tab w:val="clear" w:pos="794"/>
          <w:tab w:val="clear" w:pos="1191"/>
          <w:tab w:val="clear" w:pos="1588"/>
          <w:tab w:val="clear" w:pos="1985"/>
          <w:tab w:val="center" w:pos="8222"/>
        </w:tabs>
        <w:rPr>
          <w:szCs w:val="22"/>
          <w:lang w:val="en-US" w:eastAsia="zh-CN"/>
        </w:rPr>
      </w:pPr>
    </w:p>
    <w:p w:rsidR="00E378D8" w:rsidRPr="00A96506" w:rsidRDefault="00E378D8" w:rsidP="001C5E57">
      <w:pPr>
        <w:tabs>
          <w:tab w:val="left" w:pos="720"/>
        </w:tabs>
        <w:overflowPunct/>
        <w:autoSpaceDE/>
        <w:adjustRightInd/>
        <w:spacing w:before="0"/>
        <w:rPr>
          <w:lang w:val="en-US" w:eastAsia="zh-CN"/>
        </w:rPr>
      </w:pPr>
      <w:r w:rsidRPr="00A96506">
        <w:rPr>
          <w:lang w:val="en-US" w:eastAsia="zh-CN"/>
        </w:rPr>
        <w:br w:type="page"/>
      </w:r>
    </w:p>
    <w:p w:rsidR="003F3E47" w:rsidRPr="001C08DC" w:rsidRDefault="00691E04" w:rsidP="001C5E57">
      <w:pPr>
        <w:pStyle w:val="Source"/>
        <w:rPr>
          <w:lang w:eastAsia="zh-CN"/>
        </w:rPr>
      </w:pPr>
      <w:r>
        <w:rPr>
          <w:rFonts w:ascii="SimSun" w:hAnsi="SimSun" w:cs="SimSun" w:hint="eastAsia"/>
          <w:color w:val="000000"/>
          <w:lang w:eastAsia="zh-CN"/>
        </w:rPr>
        <w:lastRenderedPageBreak/>
        <w:t>波兰</w:t>
      </w:r>
    </w:p>
    <w:p w:rsidR="003F3E47" w:rsidRPr="001C08DC" w:rsidRDefault="008C5163" w:rsidP="001C5E57">
      <w:pPr>
        <w:pStyle w:val="Title1"/>
        <w:rPr>
          <w:lang w:eastAsia="zh-CN"/>
        </w:rPr>
      </w:pPr>
      <w:r w:rsidRPr="008C5163">
        <w:rPr>
          <w:rFonts w:hint="eastAsia"/>
          <w:lang w:eastAsia="zh-CN"/>
        </w:rPr>
        <w:t>成员国免费在线获取国际电联的报告、统计数据和指标</w:t>
      </w:r>
    </w:p>
    <w:p w:rsidR="00691E04" w:rsidRPr="007C6003" w:rsidRDefault="00691E04" w:rsidP="001C5E57">
      <w:pPr>
        <w:pStyle w:val="Heading1"/>
        <w:rPr>
          <w:lang w:eastAsia="zh-CN"/>
        </w:rPr>
      </w:pPr>
      <w:r w:rsidRPr="00FC43CB">
        <w:rPr>
          <w:lang w:eastAsia="zh-CN"/>
        </w:rPr>
        <w:t>1</w:t>
      </w:r>
      <w:r w:rsidRPr="00FC43CB">
        <w:rPr>
          <w:lang w:eastAsia="zh-CN"/>
        </w:rPr>
        <w:tab/>
      </w:r>
      <w:r w:rsidR="00CE52DF" w:rsidRPr="00CE52DF">
        <w:rPr>
          <w:rFonts w:hint="eastAsia"/>
          <w:lang w:eastAsia="zh-CN"/>
        </w:rPr>
        <w:t>引言</w:t>
      </w:r>
    </w:p>
    <w:p w:rsidR="00691E04" w:rsidRPr="007C6003" w:rsidRDefault="008C5163" w:rsidP="001C5E57">
      <w:pPr>
        <w:ind w:firstLineChars="200" w:firstLine="480"/>
        <w:rPr>
          <w:lang w:eastAsia="zh-CN"/>
        </w:rPr>
      </w:pPr>
      <w:bookmarkStart w:id="4" w:name="lt_pId023"/>
      <w:r>
        <w:rPr>
          <w:rFonts w:hint="eastAsia"/>
          <w:lang w:eastAsia="zh-CN"/>
        </w:rPr>
        <w:t>本</w:t>
      </w:r>
      <w:r>
        <w:rPr>
          <w:lang w:eastAsia="zh-CN"/>
        </w:rPr>
        <w:t>文稿是针对</w:t>
      </w:r>
      <w:r>
        <w:rPr>
          <w:rFonts w:hint="eastAsia"/>
          <w:lang w:eastAsia="zh-CN"/>
        </w:rPr>
        <w:t>免费</w:t>
      </w:r>
      <w:r>
        <w:rPr>
          <w:lang w:eastAsia="zh-CN"/>
        </w:rPr>
        <w:t>在线获取国际电联出版物</w:t>
      </w:r>
      <w:r>
        <w:rPr>
          <w:rFonts w:hint="eastAsia"/>
          <w:lang w:eastAsia="zh-CN"/>
        </w:rPr>
        <w:t>的</w:t>
      </w:r>
      <w:r>
        <w:rPr>
          <w:lang w:eastAsia="zh-CN"/>
        </w:rPr>
        <w:t>问题，这些出版物包括但不限于</w:t>
      </w:r>
      <w:r>
        <w:rPr>
          <w:rFonts w:hint="eastAsia"/>
          <w:lang w:eastAsia="zh-CN"/>
        </w:rPr>
        <w:t>在</w:t>
      </w:r>
      <w:r>
        <w:rPr>
          <w:lang w:eastAsia="zh-CN"/>
        </w:rPr>
        <w:t>成员国提供的数据基础之上，由国际电联起草的</w:t>
      </w:r>
      <w:r w:rsidRPr="008C5163">
        <w:rPr>
          <w:rFonts w:hint="eastAsia"/>
          <w:lang w:eastAsia="zh-CN"/>
        </w:rPr>
        <w:t>报告、统计数据和指标</w:t>
      </w:r>
      <w:r>
        <w:rPr>
          <w:rFonts w:hint="eastAsia"/>
          <w:lang w:eastAsia="zh-CN"/>
        </w:rPr>
        <w:t>数据</w:t>
      </w:r>
      <w:r>
        <w:rPr>
          <w:lang w:eastAsia="zh-CN"/>
        </w:rPr>
        <w:t>库</w:t>
      </w:r>
      <w:r>
        <w:rPr>
          <w:rFonts w:hint="eastAsia"/>
          <w:lang w:eastAsia="zh-CN"/>
        </w:rPr>
        <w:t>以</w:t>
      </w:r>
      <w:r>
        <w:rPr>
          <w:lang w:eastAsia="zh-CN"/>
        </w:rPr>
        <w:t>及其它类型的文件。</w:t>
      </w:r>
      <w:bookmarkStart w:id="5" w:name="lt_pId024"/>
      <w:bookmarkEnd w:id="4"/>
      <w:r>
        <w:rPr>
          <w:rFonts w:hint="eastAsia"/>
          <w:lang w:eastAsia="zh-CN"/>
        </w:rPr>
        <w:t>波兰认</w:t>
      </w:r>
      <w:r>
        <w:rPr>
          <w:lang w:eastAsia="zh-CN"/>
        </w:rPr>
        <w:t>为，</w:t>
      </w:r>
      <w:r>
        <w:rPr>
          <w:rFonts w:hint="eastAsia"/>
          <w:lang w:eastAsia="zh-CN"/>
        </w:rPr>
        <w:t>应</w:t>
      </w:r>
      <w:r>
        <w:rPr>
          <w:lang w:eastAsia="zh-CN"/>
        </w:rPr>
        <w:t>保证以提供相关数据，特别是通过调查和问卷调查表的形式</w:t>
      </w:r>
      <w:r>
        <w:rPr>
          <w:rFonts w:hint="eastAsia"/>
          <w:lang w:eastAsia="zh-CN"/>
        </w:rPr>
        <w:t>为</w:t>
      </w:r>
      <w:r>
        <w:rPr>
          <w:lang w:eastAsia="zh-CN"/>
        </w:rPr>
        <w:t>国际电联出版物提供国</w:t>
      </w:r>
      <w:r>
        <w:rPr>
          <w:rFonts w:hint="eastAsia"/>
          <w:lang w:eastAsia="zh-CN"/>
        </w:rPr>
        <w:t>内</w:t>
      </w:r>
      <w:r>
        <w:rPr>
          <w:lang w:eastAsia="zh-CN"/>
        </w:rPr>
        <w:t>电信市场数据的</w:t>
      </w:r>
      <w:r>
        <w:rPr>
          <w:rFonts w:hint="eastAsia"/>
          <w:lang w:eastAsia="zh-CN"/>
        </w:rPr>
        <w:t>各</w:t>
      </w:r>
      <w:r>
        <w:rPr>
          <w:lang w:eastAsia="zh-CN"/>
        </w:rPr>
        <w:t>成员国，</w:t>
      </w:r>
      <w:r>
        <w:rPr>
          <w:rFonts w:hint="eastAsia"/>
          <w:lang w:eastAsia="zh-CN"/>
        </w:rPr>
        <w:t>可</w:t>
      </w:r>
      <w:r>
        <w:rPr>
          <w:lang w:eastAsia="zh-CN"/>
        </w:rPr>
        <w:t>免费在线获取</w:t>
      </w:r>
      <w:r>
        <w:rPr>
          <w:rFonts w:hint="eastAsia"/>
          <w:lang w:eastAsia="zh-CN"/>
        </w:rPr>
        <w:t>相</w:t>
      </w:r>
      <w:r>
        <w:rPr>
          <w:lang w:eastAsia="zh-CN"/>
        </w:rPr>
        <w:t>应的出版物。</w:t>
      </w:r>
      <w:bookmarkEnd w:id="5"/>
    </w:p>
    <w:p w:rsidR="00691E04" w:rsidRDefault="00691E04" w:rsidP="001C5E57">
      <w:pPr>
        <w:pStyle w:val="Heading1"/>
        <w:rPr>
          <w:lang w:eastAsia="zh-CN"/>
        </w:rPr>
      </w:pPr>
      <w:r w:rsidRPr="007C6003">
        <w:rPr>
          <w:lang w:eastAsia="zh-CN"/>
        </w:rPr>
        <w:t>2</w:t>
      </w:r>
      <w:r w:rsidRPr="007C6003">
        <w:rPr>
          <w:lang w:eastAsia="zh-CN"/>
        </w:rPr>
        <w:tab/>
      </w:r>
      <w:r w:rsidR="00CE52DF" w:rsidRPr="00CE52DF">
        <w:rPr>
          <w:rFonts w:hint="eastAsia"/>
          <w:lang w:eastAsia="zh-CN"/>
        </w:rPr>
        <w:t>背景</w:t>
      </w:r>
    </w:p>
    <w:p w:rsidR="00691E04" w:rsidRPr="002A45E0" w:rsidRDefault="008C5163" w:rsidP="001C5E57">
      <w:pPr>
        <w:ind w:firstLineChars="200" w:firstLine="480"/>
        <w:rPr>
          <w:lang w:eastAsia="zh-CN"/>
        </w:rPr>
      </w:pPr>
      <w:bookmarkStart w:id="6" w:name="lt_pId027"/>
      <w:r>
        <w:rPr>
          <w:rFonts w:hint="eastAsia"/>
          <w:lang w:eastAsia="zh-CN"/>
        </w:rPr>
        <w:t>认</w:t>
      </w:r>
      <w:r>
        <w:rPr>
          <w:lang w:eastAsia="zh-CN"/>
        </w:rPr>
        <w:t>识到：</w:t>
      </w:r>
      <w:bookmarkEnd w:id="6"/>
    </w:p>
    <w:p w:rsidR="00691E04" w:rsidRPr="00CE52DF" w:rsidRDefault="00CE52DF" w:rsidP="001C5E57">
      <w:pPr>
        <w:rPr>
          <w:lang w:eastAsia="zh-CN"/>
        </w:rPr>
      </w:pPr>
      <w:r>
        <w:rPr>
          <w:rFonts w:hint="eastAsia"/>
          <w:lang w:eastAsia="zh-CN"/>
        </w:rPr>
        <w:t>1</w:t>
      </w:r>
      <w:r>
        <w:rPr>
          <w:lang w:eastAsia="zh-CN"/>
        </w:rPr>
        <w:tab/>
      </w:r>
      <w:r w:rsidRPr="00D84DD8">
        <w:rPr>
          <w:lang w:eastAsia="zh-CN"/>
        </w:rPr>
        <w:t>理事会第</w:t>
      </w:r>
      <w:r w:rsidRPr="00D84DD8">
        <w:rPr>
          <w:lang w:eastAsia="zh-CN"/>
        </w:rPr>
        <w:t>563</w:t>
      </w:r>
      <w:r w:rsidRPr="00D84DD8">
        <w:rPr>
          <w:lang w:eastAsia="zh-CN"/>
        </w:rPr>
        <w:t>号决议要求理事会财务和人力和财务资工作组（</w:t>
      </w:r>
      <w:r w:rsidRPr="00D84DD8">
        <w:rPr>
          <w:lang w:eastAsia="zh-CN"/>
        </w:rPr>
        <w:t>CWG</w:t>
      </w:r>
      <w:r>
        <w:rPr>
          <w:rFonts w:hint="eastAsia"/>
          <w:lang w:eastAsia="zh-CN"/>
        </w:rPr>
        <w:t>-</w:t>
      </w:r>
      <w:r w:rsidRPr="00D84DD8">
        <w:rPr>
          <w:lang w:eastAsia="zh-CN"/>
        </w:rPr>
        <w:t>FHR</w:t>
      </w:r>
      <w:r w:rsidRPr="00D84DD8">
        <w:rPr>
          <w:lang w:eastAsia="zh-CN"/>
        </w:rPr>
        <w:t>）审查国际电联文件获取策略，以确定应在多大程度上实行文件的公开提供。</w:t>
      </w:r>
    </w:p>
    <w:p w:rsidR="00CE52DF" w:rsidRPr="00116C83" w:rsidRDefault="00CE52DF" w:rsidP="001C5E57">
      <w:pPr>
        <w:pStyle w:val="Normalaftertitle"/>
        <w:snapToGrid w:val="0"/>
        <w:spacing w:before="120"/>
        <w:jc w:val="both"/>
        <w:rPr>
          <w:szCs w:val="24"/>
          <w:lang w:eastAsia="zh-CN"/>
        </w:rPr>
      </w:pPr>
      <w:bookmarkStart w:id="7" w:name="lt_pId032"/>
      <w:r>
        <w:rPr>
          <w:szCs w:val="24"/>
          <w:lang w:eastAsia="zh-CN"/>
        </w:rPr>
        <w:t>2</w:t>
      </w:r>
      <w:r>
        <w:rPr>
          <w:szCs w:val="24"/>
          <w:lang w:eastAsia="zh-CN"/>
        </w:rPr>
        <w:tab/>
      </w:r>
      <w:r w:rsidRPr="00116C83">
        <w:rPr>
          <w:szCs w:val="24"/>
          <w:lang w:eastAsia="zh-CN"/>
        </w:rPr>
        <w:t>2014</w:t>
      </w:r>
      <w:r w:rsidRPr="00116C83">
        <w:rPr>
          <w:rFonts w:hint="eastAsia"/>
          <w:szCs w:val="24"/>
          <w:lang w:eastAsia="zh-CN"/>
        </w:rPr>
        <w:t>年全权代表大会通过理事会责成理事会财务和人力资源工作组</w:t>
      </w:r>
      <w:r>
        <w:rPr>
          <w:rFonts w:hint="eastAsia"/>
          <w:szCs w:val="24"/>
          <w:lang w:eastAsia="zh-CN"/>
        </w:rPr>
        <w:t>（</w:t>
      </w:r>
      <w:r w:rsidRPr="00116C83">
        <w:rPr>
          <w:szCs w:val="24"/>
          <w:lang w:eastAsia="zh-CN"/>
        </w:rPr>
        <w:t>CWG-FHR</w:t>
      </w:r>
      <w:r>
        <w:rPr>
          <w:rFonts w:hint="eastAsia"/>
          <w:szCs w:val="24"/>
          <w:lang w:eastAsia="zh-CN"/>
        </w:rPr>
        <w:t>）：</w:t>
      </w:r>
    </w:p>
    <w:p w:rsidR="00CE52DF" w:rsidRPr="00BD3963" w:rsidRDefault="00CE52DF" w:rsidP="001C5E57">
      <w:pPr>
        <w:pStyle w:val="enumlev1"/>
        <w:rPr>
          <w:lang w:eastAsia="zh-CN"/>
        </w:rPr>
      </w:pPr>
      <w:r>
        <w:rPr>
          <w:lang w:eastAsia="zh-CN"/>
        </w:rPr>
        <w:t>a</w:t>
      </w:r>
      <w:r w:rsidRPr="00BD3963">
        <w:rPr>
          <w:lang w:eastAsia="zh-CN"/>
        </w:rPr>
        <w:t>)</w:t>
      </w:r>
      <w:r w:rsidRPr="00BD3963">
        <w:rPr>
          <w:lang w:eastAsia="zh-CN"/>
        </w:rPr>
        <w:tab/>
      </w:r>
      <w:r>
        <w:rPr>
          <w:rFonts w:hint="eastAsia"/>
          <w:lang w:eastAsia="zh-CN"/>
        </w:rPr>
        <w:t>继续审议国际电联的文件获取政策，以便确定文件公开获取的程度并起草提交理事会的文件获取政策草案；</w:t>
      </w:r>
    </w:p>
    <w:p w:rsidR="00CE52DF" w:rsidRPr="00BD3963" w:rsidRDefault="00CE52DF" w:rsidP="001C5E57">
      <w:pPr>
        <w:pStyle w:val="enumlev1"/>
        <w:rPr>
          <w:lang w:eastAsia="zh-CN"/>
        </w:rPr>
      </w:pPr>
      <w:r>
        <w:rPr>
          <w:lang w:eastAsia="zh-CN"/>
        </w:rPr>
        <w:t>b)</w:t>
      </w:r>
      <w:r>
        <w:rPr>
          <w:lang w:eastAsia="zh-CN"/>
        </w:rPr>
        <w:tab/>
      </w:r>
      <w:r>
        <w:rPr>
          <w:rFonts w:hint="eastAsia"/>
          <w:lang w:eastAsia="zh-CN"/>
        </w:rPr>
        <w:t>审议为此建立专门小组的必要性</w:t>
      </w:r>
      <w:r w:rsidR="005E520D">
        <w:rPr>
          <w:rFonts w:hint="eastAsia"/>
          <w:lang w:eastAsia="zh-CN"/>
        </w:rPr>
        <w:t>，</w:t>
      </w:r>
    </w:p>
    <w:p w:rsidR="00691E04" w:rsidRDefault="008C5163" w:rsidP="001C5E57">
      <w:pPr>
        <w:snapToGrid w:val="0"/>
        <w:spacing w:after="120"/>
        <w:ind w:firstLineChars="200" w:firstLine="480"/>
        <w:rPr>
          <w:szCs w:val="24"/>
          <w:lang w:eastAsia="zh-CN"/>
        </w:rPr>
      </w:pPr>
      <w:proofErr w:type="gramStart"/>
      <w:r>
        <w:rPr>
          <w:rFonts w:hint="eastAsia"/>
          <w:szCs w:val="24"/>
          <w:lang w:eastAsia="zh-CN"/>
        </w:rPr>
        <w:t>亦</w:t>
      </w:r>
      <w:r>
        <w:rPr>
          <w:szCs w:val="24"/>
          <w:lang w:eastAsia="zh-CN"/>
        </w:rPr>
        <w:t>认识</w:t>
      </w:r>
      <w:proofErr w:type="gramEnd"/>
      <w:r>
        <w:rPr>
          <w:szCs w:val="24"/>
          <w:lang w:eastAsia="zh-CN"/>
        </w:rPr>
        <w:t>到</w:t>
      </w:r>
      <w:r>
        <w:rPr>
          <w:rFonts w:hint="eastAsia"/>
          <w:szCs w:val="24"/>
          <w:lang w:eastAsia="zh-CN"/>
        </w:rPr>
        <w:t>2014</w:t>
      </w:r>
      <w:r>
        <w:rPr>
          <w:rFonts w:hint="eastAsia"/>
          <w:szCs w:val="24"/>
          <w:lang w:eastAsia="zh-CN"/>
        </w:rPr>
        <w:t>年</w:t>
      </w:r>
      <w:r>
        <w:rPr>
          <w:szCs w:val="24"/>
          <w:lang w:eastAsia="zh-CN"/>
        </w:rPr>
        <w:t>全权代表大会：</w:t>
      </w:r>
      <w:bookmarkEnd w:id="7"/>
    </w:p>
    <w:p w:rsidR="005E520D" w:rsidRDefault="005E520D" w:rsidP="001C5E57">
      <w:pPr>
        <w:pStyle w:val="enumlev1"/>
        <w:rPr>
          <w:rFonts w:cs="Segoe UI"/>
          <w:lang w:eastAsia="zh-CN"/>
        </w:rPr>
      </w:pPr>
      <w:bookmarkStart w:id="8" w:name="lt_pId038"/>
      <w:r>
        <w:rPr>
          <w:lang w:eastAsia="zh-CN"/>
        </w:rPr>
        <w:t>a</w:t>
      </w:r>
      <w:r w:rsidRPr="00BD3963">
        <w:rPr>
          <w:lang w:eastAsia="zh-CN"/>
        </w:rPr>
        <w:t>)</w:t>
      </w:r>
      <w:r w:rsidRPr="00BD3963">
        <w:rPr>
          <w:lang w:eastAsia="zh-CN"/>
        </w:rPr>
        <w:tab/>
      </w:r>
      <w:r w:rsidRPr="005E520D">
        <w:rPr>
          <w:rFonts w:hint="eastAsia"/>
          <w:lang w:eastAsia="zh-CN"/>
        </w:rPr>
        <w:t>责成</w:t>
      </w:r>
      <w:r w:rsidRPr="005E520D">
        <w:rPr>
          <w:rFonts w:cs="Segoe UI" w:hint="eastAsia"/>
          <w:lang w:eastAsia="zh-CN"/>
        </w:rPr>
        <w:t>CWG-FHR</w:t>
      </w:r>
      <w:r w:rsidRPr="005E520D">
        <w:rPr>
          <w:rFonts w:hint="eastAsia"/>
          <w:lang w:eastAsia="zh-CN"/>
        </w:rPr>
        <w:t>将拟订的获取政策转呈理事会，供其酌情予以审议、暂时批准和实施；</w:t>
      </w:r>
    </w:p>
    <w:p w:rsidR="005E520D" w:rsidRDefault="005E520D" w:rsidP="001C5E57">
      <w:pPr>
        <w:pStyle w:val="enumlev1"/>
        <w:rPr>
          <w:rFonts w:cs="Segoe UI"/>
          <w:lang w:eastAsia="zh-CN"/>
        </w:rPr>
      </w:pPr>
      <w:r>
        <w:rPr>
          <w:lang w:eastAsia="zh-CN"/>
        </w:rPr>
        <w:t>b</w:t>
      </w:r>
      <w:r w:rsidRPr="00BD3963">
        <w:rPr>
          <w:lang w:eastAsia="zh-CN"/>
        </w:rPr>
        <w:t>)</w:t>
      </w:r>
      <w:r w:rsidRPr="00BD3963">
        <w:rPr>
          <w:lang w:eastAsia="zh-CN"/>
        </w:rPr>
        <w:tab/>
      </w:r>
      <w:r w:rsidRPr="005E520D">
        <w:rPr>
          <w:rFonts w:hint="eastAsia"/>
          <w:lang w:eastAsia="zh-CN"/>
        </w:rPr>
        <w:t>责成并授权理事会审议</w:t>
      </w:r>
      <w:r w:rsidRPr="005E520D">
        <w:rPr>
          <w:rFonts w:cs="Segoe UI" w:hint="eastAsia"/>
          <w:lang w:eastAsia="zh-CN"/>
        </w:rPr>
        <w:t>CWG-FHR</w:t>
      </w:r>
      <w:r w:rsidRPr="005E520D">
        <w:rPr>
          <w:rFonts w:hint="eastAsia"/>
          <w:lang w:eastAsia="zh-CN"/>
        </w:rPr>
        <w:t>的报告并酌情暂时批准并实施相关政策；</w:t>
      </w:r>
    </w:p>
    <w:p w:rsidR="005E520D" w:rsidRDefault="005E520D" w:rsidP="001C5E57">
      <w:pPr>
        <w:pStyle w:val="enumlev1"/>
        <w:rPr>
          <w:lang w:eastAsia="zh-CN"/>
        </w:rPr>
      </w:pPr>
      <w:r>
        <w:rPr>
          <w:lang w:eastAsia="zh-CN"/>
        </w:rPr>
        <w:t>c</w:t>
      </w:r>
      <w:r w:rsidRPr="00BD3963">
        <w:rPr>
          <w:lang w:eastAsia="zh-CN"/>
        </w:rPr>
        <w:t>)</w:t>
      </w:r>
      <w:r w:rsidRPr="00BD3963">
        <w:rPr>
          <w:lang w:eastAsia="zh-CN"/>
        </w:rPr>
        <w:tab/>
      </w:r>
      <w:r w:rsidRPr="005E520D">
        <w:rPr>
          <w:rFonts w:hint="eastAsia"/>
          <w:lang w:eastAsia="zh-CN"/>
        </w:rPr>
        <w:t>责成理事会向全权代表大会提交政策，以便做出最终决定。</w:t>
      </w:r>
    </w:p>
    <w:p w:rsidR="005E520D" w:rsidRPr="005E520D" w:rsidRDefault="005E520D" w:rsidP="001C5E57">
      <w:pPr>
        <w:rPr>
          <w:lang w:eastAsia="zh-CN"/>
        </w:rPr>
      </w:pPr>
      <w:r w:rsidRPr="005E520D">
        <w:rPr>
          <w:lang w:eastAsia="zh-CN"/>
        </w:rPr>
        <w:t>3</w:t>
      </w:r>
      <w:r w:rsidRPr="005E520D">
        <w:rPr>
          <w:lang w:eastAsia="zh-CN"/>
        </w:rPr>
        <w:tab/>
      </w:r>
      <w:r w:rsidRPr="005E520D">
        <w:rPr>
          <w:rFonts w:cs="Microsoft YaHei" w:hint="eastAsia"/>
          <w:lang w:eastAsia="zh-CN"/>
        </w:rPr>
        <w:t>国际电联理事会在</w:t>
      </w:r>
      <w:r w:rsidRPr="005E520D">
        <w:rPr>
          <w:rFonts w:hint="eastAsia"/>
          <w:lang w:eastAsia="zh-CN"/>
        </w:rPr>
        <w:t>2016</w:t>
      </w:r>
      <w:r w:rsidRPr="005E520D">
        <w:rPr>
          <w:rFonts w:cs="Microsoft YaHei" w:hint="eastAsia"/>
          <w:lang w:eastAsia="zh-CN"/>
        </w:rPr>
        <w:t>年会议上首次通过了信息</w:t>
      </w:r>
      <w:r w:rsidRPr="005E520D">
        <w:rPr>
          <w:rFonts w:hint="eastAsia"/>
          <w:lang w:eastAsia="zh-CN"/>
        </w:rPr>
        <w:t>/</w:t>
      </w:r>
      <w:r w:rsidRPr="005E520D">
        <w:rPr>
          <w:rFonts w:cs="Microsoft YaHei" w:hint="eastAsia"/>
          <w:lang w:eastAsia="zh-CN"/>
        </w:rPr>
        <w:t>文件获取政策。该政策于</w:t>
      </w:r>
      <w:r w:rsidRPr="005E520D">
        <w:rPr>
          <w:rFonts w:hint="eastAsia"/>
          <w:lang w:eastAsia="zh-CN"/>
        </w:rPr>
        <w:t>2017</w:t>
      </w:r>
      <w:r w:rsidRPr="005E520D">
        <w:rPr>
          <w:rFonts w:cs="Microsoft YaHei" w:hint="eastAsia"/>
          <w:lang w:eastAsia="zh-CN"/>
        </w:rPr>
        <w:t>年</w:t>
      </w:r>
      <w:r w:rsidRPr="005E520D">
        <w:rPr>
          <w:rFonts w:hint="eastAsia"/>
          <w:lang w:eastAsia="zh-CN"/>
        </w:rPr>
        <w:t>1</w:t>
      </w:r>
      <w:r w:rsidRPr="005E520D">
        <w:rPr>
          <w:rFonts w:cs="Microsoft YaHei" w:hint="eastAsia"/>
          <w:lang w:eastAsia="zh-CN"/>
        </w:rPr>
        <w:t>月</w:t>
      </w:r>
      <w:r w:rsidRPr="005E520D">
        <w:rPr>
          <w:rFonts w:hint="eastAsia"/>
          <w:lang w:eastAsia="zh-CN"/>
        </w:rPr>
        <w:t>1</w:t>
      </w:r>
      <w:r w:rsidRPr="005E520D">
        <w:rPr>
          <w:rFonts w:cs="Microsoft YaHei" w:hint="eastAsia"/>
          <w:lang w:eastAsia="zh-CN"/>
        </w:rPr>
        <w:t>日临时生效，有待</w:t>
      </w:r>
      <w:r w:rsidRPr="005E520D">
        <w:rPr>
          <w:rFonts w:hint="eastAsia"/>
          <w:lang w:eastAsia="zh-CN"/>
        </w:rPr>
        <w:t>2018</w:t>
      </w:r>
      <w:r w:rsidRPr="005E520D">
        <w:rPr>
          <w:rFonts w:cs="Microsoft YaHei" w:hint="eastAsia"/>
          <w:lang w:eastAsia="zh-CN"/>
        </w:rPr>
        <w:t>年全权代表大会最终批准。</w:t>
      </w:r>
    </w:p>
    <w:p w:rsidR="00A454AC" w:rsidRDefault="005E520D" w:rsidP="00385689">
      <w:pPr>
        <w:rPr>
          <w:color w:val="000000"/>
          <w:lang w:eastAsia="zh-CN"/>
        </w:rPr>
      </w:pPr>
      <w:r>
        <w:rPr>
          <w:lang w:eastAsia="zh-CN"/>
        </w:rPr>
        <w:t>4</w:t>
      </w:r>
      <w:r>
        <w:rPr>
          <w:lang w:eastAsia="zh-CN"/>
        </w:rPr>
        <w:tab/>
      </w:r>
      <w:r w:rsidR="00A454AC">
        <w:rPr>
          <w:rFonts w:hint="eastAsia"/>
          <w:lang w:eastAsia="zh-CN"/>
        </w:rPr>
        <w:t>免费</w:t>
      </w:r>
      <w:r w:rsidR="00A454AC">
        <w:rPr>
          <w:lang w:eastAsia="zh-CN"/>
        </w:rPr>
        <w:t>出版物中的例外包括：</w:t>
      </w:r>
      <w:r w:rsidR="00691E04" w:rsidRPr="00854079">
        <w:rPr>
          <w:color w:val="000000"/>
          <w:lang w:eastAsia="zh-CN"/>
        </w:rPr>
        <w:t>ITU-D</w:t>
      </w:r>
      <w:r w:rsidR="00A454AC">
        <w:rPr>
          <w:color w:val="000000"/>
          <w:lang w:eastAsia="zh-CN"/>
        </w:rPr>
        <w:t>指标数据库、统计年鉴、电信发展趋势、</w:t>
      </w:r>
      <w:r w:rsidR="00691E04" w:rsidRPr="00854079">
        <w:rPr>
          <w:color w:val="000000"/>
          <w:lang w:eastAsia="zh-CN"/>
        </w:rPr>
        <w:t>SMS4DC</w:t>
      </w:r>
      <w:r w:rsidR="00A454AC">
        <w:rPr>
          <w:rFonts w:hint="eastAsia"/>
          <w:color w:val="000000"/>
          <w:lang w:eastAsia="zh-CN"/>
        </w:rPr>
        <w:t>软件</w:t>
      </w:r>
      <w:r w:rsidR="00A454AC">
        <w:rPr>
          <w:color w:val="000000"/>
          <w:lang w:eastAsia="zh-CN"/>
        </w:rPr>
        <w:t>和一些</w:t>
      </w:r>
      <w:r w:rsidR="00691E04" w:rsidRPr="00854079">
        <w:rPr>
          <w:color w:val="000000"/>
          <w:lang w:eastAsia="zh-CN"/>
        </w:rPr>
        <w:t>ITU-R</w:t>
      </w:r>
      <w:r w:rsidR="00A454AC">
        <w:rPr>
          <w:rFonts w:hint="eastAsia"/>
          <w:color w:val="000000"/>
          <w:lang w:eastAsia="zh-CN"/>
        </w:rPr>
        <w:t>手</w:t>
      </w:r>
      <w:r w:rsidR="00A454AC">
        <w:rPr>
          <w:color w:val="000000"/>
          <w:lang w:eastAsia="zh-CN"/>
        </w:rPr>
        <w:t>册。</w:t>
      </w:r>
      <w:bookmarkStart w:id="9" w:name="lt_pId039"/>
      <w:bookmarkEnd w:id="8"/>
    </w:p>
    <w:p w:rsidR="00691E04" w:rsidRPr="00854079" w:rsidRDefault="008C5163" w:rsidP="00385689">
      <w:pPr>
        <w:overflowPunct/>
        <w:autoSpaceDE/>
        <w:autoSpaceDN/>
        <w:adjustRightInd/>
        <w:ind w:firstLineChars="200" w:firstLine="480"/>
        <w:jc w:val="both"/>
        <w:textAlignment w:val="auto"/>
        <w:rPr>
          <w:szCs w:val="24"/>
          <w:lang w:eastAsia="zh-CN"/>
        </w:rPr>
      </w:pPr>
      <w:r>
        <w:rPr>
          <w:rFonts w:hint="eastAsia"/>
          <w:szCs w:val="24"/>
          <w:lang w:eastAsia="zh-CN"/>
        </w:rPr>
        <w:t>在</w:t>
      </w:r>
      <w:r>
        <w:rPr>
          <w:szCs w:val="24"/>
          <w:lang w:eastAsia="zh-CN"/>
        </w:rPr>
        <w:t>这方面</w:t>
      </w:r>
      <w:r w:rsidR="00A454AC">
        <w:rPr>
          <w:rFonts w:hint="eastAsia"/>
          <w:szCs w:val="24"/>
          <w:lang w:eastAsia="zh-CN"/>
        </w:rPr>
        <w:t>，</w:t>
      </w:r>
      <w:r>
        <w:rPr>
          <w:szCs w:val="24"/>
          <w:lang w:eastAsia="zh-CN"/>
        </w:rPr>
        <w:t>波兰建议</w:t>
      </w:r>
      <w:r w:rsidR="00A454AC">
        <w:rPr>
          <w:rFonts w:hint="eastAsia"/>
          <w:szCs w:val="24"/>
          <w:lang w:eastAsia="zh-CN"/>
        </w:rPr>
        <w:t>将</w:t>
      </w:r>
      <w:r w:rsidR="00A454AC">
        <w:rPr>
          <w:szCs w:val="24"/>
          <w:lang w:eastAsia="zh-CN"/>
        </w:rPr>
        <w:t>当前的获取政策扩大至国际电联出版物，这些目前不能免费获取的出版物</w:t>
      </w:r>
      <w:r w:rsidR="00A454AC">
        <w:rPr>
          <w:rFonts w:hint="eastAsia"/>
          <w:szCs w:val="24"/>
          <w:lang w:eastAsia="zh-CN"/>
        </w:rPr>
        <w:t>中</w:t>
      </w:r>
      <w:r w:rsidR="00A454AC">
        <w:rPr>
          <w:szCs w:val="24"/>
          <w:lang w:eastAsia="zh-CN"/>
        </w:rPr>
        <w:t>包</w:t>
      </w:r>
      <w:r w:rsidR="00A454AC">
        <w:rPr>
          <w:rFonts w:hint="eastAsia"/>
          <w:szCs w:val="24"/>
          <w:lang w:eastAsia="zh-CN"/>
        </w:rPr>
        <w:t>含</w:t>
      </w:r>
      <w:r w:rsidR="00A454AC">
        <w:rPr>
          <w:szCs w:val="24"/>
          <w:lang w:eastAsia="zh-CN"/>
        </w:rPr>
        <w:t>成</w:t>
      </w:r>
      <w:r w:rsidR="00A454AC">
        <w:rPr>
          <w:rFonts w:hint="eastAsia"/>
          <w:szCs w:val="24"/>
          <w:lang w:eastAsia="zh-CN"/>
        </w:rPr>
        <w:t>员</w:t>
      </w:r>
      <w:r w:rsidR="00A454AC">
        <w:rPr>
          <w:szCs w:val="24"/>
          <w:lang w:eastAsia="zh-CN"/>
        </w:rPr>
        <w:t>国提供的电信数据</w:t>
      </w:r>
      <w:r w:rsidR="00A454AC">
        <w:rPr>
          <w:rFonts w:hint="eastAsia"/>
          <w:szCs w:val="24"/>
          <w:lang w:eastAsia="zh-CN"/>
        </w:rPr>
        <w:t>。</w:t>
      </w:r>
      <w:bookmarkStart w:id="10" w:name="lt_pId040"/>
      <w:bookmarkEnd w:id="9"/>
      <w:r w:rsidR="00A454AC">
        <w:rPr>
          <w:rFonts w:hint="eastAsia"/>
          <w:szCs w:val="24"/>
          <w:lang w:eastAsia="zh-CN"/>
        </w:rPr>
        <w:t>此</w:t>
      </w:r>
      <w:r w:rsidR="00A454AC">
        <w:rPr>
          <w:szCs w:val="24"/>
          <w:lang w:eastAsia="zh-CN"/>
        </w:rPr>
        <w:t>文稿</w:t>
      </w:r>
      <w:r w:rsidR="00A454AC">
        <w:rPr>
          <w:rFonts w:hint="eastAsia"/>
          <w:szCs w:val="24"/>
          <w:lang w:eastAsia="zh-CN"/>
        </w:rPr>
        <w:t>仅适用</w:t>
      </w:r>
      <w:r w:rsidR="00A454AC">
        <w:rPr>
          <w:szCs w:val="24"/>
          <w:lang w:eastAsia="zh-CN"/>
        </w:rPr>
        <w:t>于</w:t>
      </w:r>
      <w:r w:rsidR="00A454AC">
        <w:rPr>
          <w:rFonts w:hint="eastAsia"/>
          <w:szCs w:val="24"/>
          <w:lang w:eastAsia="zh-CN"/>
        </w:rPr>
        <w:t>为</w:t>
      </w:r>
      <w:r w:rsidR="00A454AC">
        <w:rPr>
          <w:szCs w:val="24"/>
          <w:lang w:eastAsia="zh-CN"/>
        </w:rPr>
        <w:t>那些给特定</w:t>
      </w:r>
      <w:r w:rsidR="00A454AC">
        <w:rPr>
          <w:rFonts w:hint="eastAsia"/>
          <w:szCs w:val="24"/>
          <w:lang w:eastAsia="zh-CN"/>
        </w:rPr>
        <w:t>出版</w:t>
      </w:r>
      <w:r w:rsidR="00A454AC">
        <w:rPr>
          <w:szCs w:val="24"/>
          <w:lang w:eastAsia="zh-CN"/>
        </w:rPr>
        <w:t>物做出</w:t>
      </w:r>
      <w:r w:rsidR="00A454AC">
        <w:rPr>
          <w:rFonts w:hint="eastAsia"/>
          <w:szCs w:val="24"/>
          <w:lang w:eastAsia="zh-CN"/>
        </w:rPr>
        <w:t>过</w:t>
      </w:r>
      <w:r w:rsidR="00A454AC">
        <w:rPr>
          <w:szCs w:val="24"/>
          <w:lang w:eastAsia="zh-CN"/>
        </w:rPr>
        <w:t>贡献</w:t>
      </w:r>
      <w:r w:rsidR="00A454AC">
        <w:rPr>
          <w:rFonts w:hint="eastAsia"/>
          <w:szCs w:val="24"/>
          <w:lang w:eastAsia="zh-CN"/>
        </w:rPr>
        <w:t>的</w:t>
      </w:r>
      <w:r w:rsidR="00A454AC">
        <w:rPr>
          <w:szCs w:val="24"/>
          <w:lang w:eastAsia="zh-CN"/>
        </w:rPr>
        <w:t>成员国提供的免费在线获取。</w:t>
      </w:r>
      <w:bookmarkEnd w:id="10"/>
    </w:p>
    <w:p w:rsidR="00691E04" w:rsidRPr="00854079" w:rsidRDefault="00B255E8" w:rsidP="00385689">
      <w:pPr>
        <w:overflowPunct/>
        <w:autoSpaceDE/>
        <w:autoSpaceDN/>
        <w:adjustRightInd/>
        <w:ind w:firstLineChars="200" w:firstLine="480"/>
        <w:jc w:val="both"/>
        <w:textAlignment w:val="auto"/>
        <w:rPr>
          <w:szCs w:val="24"/>
          <w:lang w:eastAsia="zh-CN"/>
        </w:rPr>
      </w:pPr>
      <w:bookmarkStart w:id="11" w:name="lt_pId041"/>
      <w:r>
        <w:rPr>
          <w:rFonts w:hint="eastAsia"/>
          <w:szCs w:val="24"/>
          <w:lang w:eastAsia="zh-CN"/>
        </w:rPr>
        <w:t>关</w:t>
      </w:r>
      <w:r>
        <w:rPr>
          <w:szCs w:val="24"/>
          <w:lang w:eastAsia="zh-CN"/>
        </w:rPr>
        <w:t>于此类获取的建议指出，</w:t>
      </w:r>
      <w:r>
        <w:rPr>
          <w:rFonts w:hint="eastAsia"/>
          <w:szCs w:val="24"/>
          <w:lang w:eastAsia="zh-CN"/>
        </w:rPr>
        <w:t>成员</w:t>
      </w:r>
      <w:r>
        <w:rPr>
          <w:szCs w:val="24"/>
          <w:lang w:eastAsia="zh-CN"/>
        </w:rPr>
        <w:t>国提供高质量</w:t>
      </w:r>
      <w:r w:rsidR="00305C8C">
        <w:rPr>
          <w:rFonts w:hint="eastAsia"/>
          <w:szCs w:val="24"/>
          <w:lang w:eastAsia="zh-CN"/>
        </w:rPr>
        <w:t>的</w:t>
      </w:r>
      <w:r>
        <w:rPr>
          <w:szCs w:val="24"/>
          <w:lang w:eastAsia="zh-CN"/>
        </w:rPr>
        <w:t>信息</w:t>
      </w:r>
      <w:r>
        <w:rPr>
          <w:rFonts w:hint="eastAsia"/>
          <w:szCs w:val="24"/>
          <w:lang w:eastAsia="zh-CN"/>
        </w:rPr>
        <w:t>通常</w:t>
      </w:r>
      <w:r>
        <w:rPr>
          <w:szCs w:val="24"/>
          <w:lang w:eastAsia="zh-CN"/>
        </w:rPr>
        <w:t>需要其</w:t>
      </w:r>
      <w:r>
        <w:rPr>
          <w:rFonts w:hint="eastAsia"/>
          <w:szCs w:val="24"/>
          <w:lang w:eastAsia="zh-CN"/>
        </w:rPr>
        <w:t>主</w:t>
      </w:r>
      <w:r>
        <w:rPr>
          <w:szCs w:val="24"/>
          <w:lang w:eastAsia="zh-CN"/>
        </w:rPr>
        <w:t>管部门花费大量时间并开展大量工作。</w:t>
      </w:r>
      <w:bookmarkStart w:id="12" w:name="lt_pId042"/>
      <w:bookmarkEnd w:id="11"/>
      <w:r>
        <w:rPr>
          <w:rFonts w:hint="eastAsia"/>
          <w:szCs w:val="24"/>
          <w:lang w:eastAsia="zh-CN"/>
        </w:rPr>
        <w:t>成员</w:t>
      </w:r>
      <w:r>
        <w:rPr>
          <w:szCs w:val="24"/>
          <w:lang w:eastAsia="zh-CN"/>
        </w:rPr>
        <w:t>国除需要支付劳动费用之外，还</w:t>
      </w:r>
      <w:r>
        <w:rPr>
          <w:rFonts w:hint="eastAsia"/>
          <w:szCs w:val="24"/>
          <w:lang w:eastAsia="zh-CN"/>
        </w:rPr>
        <w:t>要</w:t>
      </w:r>
      <w:r>
        <w:rPr>
          <w:szCs w:val="24"/>
          <w:lang w:eastAsia="zh-CN"/>
        </w:rPr>
        <w:t>为获取</w:t>
      </w:r>
      <w:r w:rsidR="00305C8C" w:rsidRPr="00305C8C">
        <w:rPr>
          <w:rFonts w:ascii="SimSun" w:hAnsi="SimSun"/>
          <w:szCs w:val="24"/>
          <w:lang w:eastAsia="zh-CN"/>
        </w:rPr>
        <w:t>“</w:t>
      </w:r>
      <w:r w:rsidRPr="00854079">
        <w:rPr>
          <w:color w:val="000000"/>
          <w:lang w:eastAsia="zh-CN"/>
        </w:rPr>
        <w:t>ITU-D</w:t>
      </w:r>
      <w:r>
        <w:rPr>
          <w:color w:val="000000"/>
          <w:lang w:eastAsia="zh-CN"/>
        </w:rPr>
        <w:t>指标数据库</w:t>
      </w:r>
      <w:r w:rsidR="00305C8C" w:rsidRPr="00305C8C">
        <w:rPr>
          <w:rFonts w:ascii="SimSun" w:hAnsi="SimSun"/>
          <w:szCs w:val="24"/>
          <w:lang w:eastAsia="zh-CN"/>
        </w:rPr>
        <w:t>”</w:t>
      </w:r>
      <w:r>
        <w:rPr>
          <w:rFonts w:hint="eastAsia"/>
          <w:szCs w:val="24"/>
          <w:lang w:eastAsia="zh-CN"/>
        </w:rPr>
        <w:t>或</w:t>
      </w:r>
      <w:r w:rsidR="00305C8C" w:rsidRPr="00305C8C">
        <w:rPr>
          <w:rFonts w:ascii="SimSun" w:hAnsi="SimSun"/>
          <w:szCs w:val="24"/>
          <w:lang w:eastAsia="zh-CN"/>
        </w:rPr>
        <w:t>“</w:t>
      </w:r>
      <w:r>
        <w:rPr>
          <w:color w:val="000000"/>
          <w:lang w:eastAsia="zh-CN"/>
        </w:rPr>
        <w:t>统计年鉴</w:t>
      </w:r>
      <w:r w:rsidR="00305C8C" w:rsidRPr="00305C8C">
        <w:rPr>
          <w:rFonts w:ascii="SimSun" w:hAnsi="SimSun"/>
          <w:szCs w:val="24"/>
          <w:lang w:eastAsia="zh-CN"/>
        </w:rPr>
        <w:t>”</w:t>
      </w:r>
      <w:r>
        <w:rPr>
          <w:rFonts w:hint="eastAsia"/>
          <w:szCs w:val="24"/>
          <w:lang w:eastAsia="zh-CN"/>
        </w:rPr>
        <w:t>等出版</w:t>
      </w:r>
      <w:r>
        <w:rPr>
          <w:szCs w:val="24"/>
          <w:lang w:eastAsia="zh-CN"/>
        </w:rPr>
        <w:t>物付费。</w:t>
      </w:r>
      <w:bookmarkStart w:id="13" w:name="lt_pId043"/>
      <w:bookmarkEnd w:id="12"/>
      <w:r>
        <w:rPr>
          <w:rFonts w:hint="eastAsia"/>
          <w:szCs w:val="24"/>
          <w:lang w:eastAsia="zh-CN"/>
        </w:rPr>
        <w:t>这</w:t>
      </w:r>
      <w:r>
        <w:rPr>
          <w:szCs w:val="24"/>
          <w:lang w:eastAsia="zh-CN"/>
        </w:rPr>
        <w:t>种情况可</w:t>
      </w:r>
      <w:r>
        <w:rPr>
          <w:rFonts w:hint="eastAsia"/>
          <w:szCs w:val="24"/>
          <w:lang w:eastAsia="zh-CN"/>
        </w:rPr>
        <w:t>能会</w:t>
      </w:r>
      <w:r>
        <w:rPr>
          <w:szCs w:val="24"/>
          <w:lang w:eastAsia="zh-CN"/>
        </w:rPr>
        <w:t>打消成</w:t>
      </w:r>
      <w:r>
        <w:rPr>
          <w:rFonts w:hint="eastAsia"/>
          <w:szCs w:val="24"/>
          <w:lang w:eastAsia="zh-CN"/>
        </w:rPr>
        <w:t>员</w:t>
      </w:r>
      <w:r>
        <w:rPr>
          <w:szCs w:val="24"/>
          <w:lang w:eastAsia="zh-CN"/>
        </w:rPr>
        <w:t>国在</w:t>
      </w:r>
      <w:r>
        <w:rPr>
          <w:rFonts w:hint="eastAsia"/>
          <w:szCs w:val="24"/>
          <w:lang w:eastAsia="zh-CN"/>
        </w:rPr>
        <w:t>完成</w:t>
      </w:r>
      <w:r>
        <w:rPr>
          <w:szCs w:val="24"/>
          <w:lang w:eastAsia="zh-CN"/>
        </w:rPr>
        <w:t>调查或</w:t>
      </w:r>
      <w:r>
        <w:rPr>
          <w:rFonts w:hint="eastAsia"/>
          <w:szCs w:val="24"/>
          <w:lang w:eastAsia="zh-CN"/>
        </w:rPr>
        <w:t>填写</w:t>
      </w:r>
      <w:r>
        <w:rPr>
          <w:szCs w:val="24"/>
          <w:lang w:eastAsia="zh-CN"/>
        </w:rPr>
        <w:t>问卷调查表时提供高质量数据的意愿。</w:t>
      </w:r>
      <w:bookmarkStart w:id="14" w:name="lt_pId044"/>
      <w:bookmarkEnd w:id="13"/>
      <w:r>
        <w:rPr>
          <w:rFonts w:hint="eastAsia"/>
          <w:szCs w:val="24"/>
          <w:lang w:eastAsia="zh-CN"/>
        </w:rPr>
        <w:t>当</w:t>
      </w:r>
      <w:r>
        <w:rPr>
          <w:szCs w:val="24"/>
          <w:lang w:eastAsia="zh-CN"/>
        </w:rPr>
        <w:t>成员国认识到其收到的最终</w:t>
      </w:r>
      <w:r>
        <w:rPr>
          <w:rFonts w:hint="eastAsia"/>
          <w:szCs w:val="24"/>
          <w:lang w:eastAsia="zh-CN"/>
        </w:rPr>
        <w:t>出版</w:t>
      </w:r>
      <w:r>
        <w:rPr>
          <w:szCs w:val="24"/>
          <w:lang w:eastAsia="zh-CN"/>
        </w:rPr>
        <w:t>物是基于该国所提供的数据时，</w:t>
      </w:r>
      <w:r>
        <w:rPr>
          <w:rFonts w:hint="eastAsia"/>
          <w:szCs w:val="24"/>
          <w:lang w:eastAsia="zh-CN"/>
        </w:rPr>
        <w:t>可</w:t>
      </w:r>
      <w:r>
        <w:rPr>
          <w:szCs w:val="24"/>
          <w:lang w:eastAsia="zh-CN"/>
        </w:rPr>
        <w:t>能会</w:t>
      </w:r>
      <w:r>
        <w:rPr>
          <w:rFonts w:hint="eastAsia"/>
          <w:szCs w:val="24"/>
          <w:lang w:eastAsia="zh-CN"/>
        </w:rPr>
        <w:t>对</w:t>
      </w:r>
      <w:r w:rsidR="00305C8C">
        <w:rPr>
          <w:rFonts w:hint="eastAsia"/>
          <w:szCs w:val="24"/>
          <w:lang w:eastAsia="zh-CN"/>
        </w:rPr>
        <w:t>成员国</w:t>
      </w:r>
      <w:r>
        <w:rPr>
          <w:szCs w:val="24"/>
          <w:lang w:eastAsia="zh-CN"/>
        </w:rPr>
        <w:t>尽职提供材料产生积极的影响。</w:t>
      </w:r>
      <w:bookmarkStart w:id="15" w:name="lt_pId045"/>
      <w:bookmarkEnd w:id="14"/>
      <w:r>
        <w:rPr>
          <w:rFonts w:hint="eastAsia"/>
          <w:szCs w:val="24"/>
          <w:lang w:eastAsia="zh-CN"/>
        </w:rPr>
        <w:t>因</w:t>
      </w:r>
      <w:r>
        <w:rPr>
          <w:szCs w:val="24"/>
          <w:lang w:eastAsia="zh-CN"/>
        </w:rPr>
        <w:t>此，</w:t>
      </w:r>
      <w:proofErr w:type="gramStart"/>
      <w:r>
        <w:rPr>
          <w:szCs w:val="24"/>
          <w:lang w:eastAsia="zh-CN"/>
        </w:rPr>
        <w:t>对</w:t>
      </w:r>
      <w:r>
        <w:rPr>
          <w:rFonts w:hint="eastAsia"/>
          <w:szCs w:val="24"/>
          <w:lang w:eastAsia="zh-CN"/>
        </w:rPr>
        <w:t>尽</w:t>
      </w:r>
      <w:r>
        <w:rPr>
          <w:szCs w:val="24"/>
          <w:lang w:eastAsia="zh-CN"/>
        </w:rPr>
        <w:t>全力</w:t>
      </w:r>
      <w:proofErr w:type="gramEnd"/>
      <w:r>
        <w:rPr>
          <w:szCs w:val="24"/>
          <w:lang w:eastAsia="zh-CN"/>
        </w:rPr>
        <w:t>筹备相关信息的所有成员国</w:t>
      </w:r>
      <w:r>
        <w:rPr>
          <w:rFonts w:hint="eastAsia"/>
          <w:szCs w:val="24"/>
          <w:lang w:eastAsia="zh-CN"/>
        </w:rPr>
        <w:t>而</w:t>
      </w:r>
      <w:r>
        <w:rPr>
          <w:szCs w:val="24"/>
          <w:lang w:eastAsia="zh-CN"/>
        </w:rPr>
        <w:t>言这将</w:t>
      </w:r>
      <w:r w:rsidR="00305C8C">
        <w:rPr>
          <w:rFonts w:hint="eastAsia"/>
          <w:szCs w:val="24"/>
          <w:lang w:eastAsia="zh-CN"/>
        </w:rPr>
        <w:t>产生</w:t>
      </w:r>
      <w:r>
        <w:rPr>
          <w:szCs w:val="24"/>
          <w:lang w:eastAsia="zh-CN"/>
        </w:rPr>
        <w:t>附加价值，</w:t>
      </w:r>
      <w:r w:rsidR="00305C8C">
        <w:rPr>
          <w:rFonts w:hint="eastAsia"/>
          <w:szCs w:val="24"/>
          <w:lang w:eastAsia="zh-CN"/>
        </w:rPr>
        <w:t>且会</w:t>
      </w:r>
      <w:r w:rsidR="00305C8C">
        <w:rPr>
          <w:szCs w:val="24"/>
          <w:lang w:eastAsia="zh-CN"/>
        </w:rPr>
        <w:t>因此</w:t>
      </w:r>
      <w:r>
        <w:rPr>
          <w:szCs w:val="24"/>
          <w:lang w:eastAsia="zh-CN"/>
        </w:rPr>
        <w:t>从国际电联收到在此数据基础上</w:t>
      </w:r>
      <w:r w:rsidR="00305C8C">
        <w:rPr>
          <w:rFonts w:hint="eastAsia"/>
          <w:szCs w:val="24"/>
          <w:lang w:eastAsia="zh-CN"/>
        </w:rPr>
        <w:t>编制</w:t>
      </w:r>
      <w:r>
        <w:rPr>
          <w:szCs w:val="24"/>
          <w:lang w:eastAsia="zh-CN"/>
        </w:rPr>
        <w:t>的出版物。</w:t>
      </w:r>
      <w:bookmarkEnd w:id="15"/>
    </w:p>
    <w:p w:rsidR="00691E04" w:rsidRPr="00854079" w:rsidRDefault="00691E04" w:rsidP="001C5E57">
      <w:pPr>
        <w:pStyle w:val="Heading1"/>
        <w:rPr>
          <w:lang w:eastAsia="zh-CN"/>
        </w:rPr>
      </w:pPr>
      <w:r w:rsidRPr="00854079">
        <w:rPr>
          <w:lang w:eastAsia="zh-CN"/>
        </w:rPr>
        <w:lastRenderedPageBreak/>
        <w:t>3</w:t>
      </w:r>
      <w:r w:rsidRPr="00854079">
        <w:rPr>
          <w:lang w:eastAsia="zh-CN"/>
        </w:rPr>
        <w:tab/>
      </w:r>
      <w:bookmarkStart w:id="16" w:name="lt_pId047"/>
      <w:r w:rsidR="00B255E8">
        <w:rPr>
          <w:rFonts w:hint="eastAsia"/>
          <w:lang w:eastAsia="zh-CN"/>
        </w:rPr>
        <w:t>建议</w:t>
      </w:r>
      <w:bookmarkEnd w:id="16"/>
    </w:p>
    <w:p w:rsidR="00691E04" w:rsidRPr="00854079" w:rsidRDefault="00745E18" w:rsidP="00385689">
      <w:pPr>
        <w:overflowPunct/>
        <w:autoSpaceDE/>
        <w:autoSpaceDN/>
        <w:adjustRightInd/>
        <w:ind w:firstLineChars="200" w:firstLine="480"/>
        <w:jc w:val="both"/>
        <w:textAlignment w:val="auto"/>
        <w:rPr>
          <w:szCs w:val="24"/>
          <w:lang w:eastAsia="zh-CN"/>
        </w:rPr>
      </w:pPr>
      <w:bookmarkStart w:id="17" w:name="lt_pId048"/>
      <w:r>
        <w:rPr>
          <w:rFonts w:hint="eastAsia"/>
          <w:szCs w:val="24"/>
          <w:lang w:eastAsia="zh-CN"/>
        </w:rPr>
        <w:t>因</w:t>
      </w:r>
      <w:r>
        <w:rPr>
          <w:szCs w:val="24"/>
          <w:lang w:eastAsia="zh-CN"/>
        </w:rPr>
        <w:t>此波兰建议</w:t>
      </w:r>
      <w:r>
        <w:rPr>
          <w:rFonts w:hint="eastAsia"/>
          <w:szCs w:val="24"/>
          <w:lang w:eastAsia="zh-CN"/>
        </w:rPr>
        <w:t>理事</w:t>
      </w:r>
      <w:r>
        <w:rPr>
          <w:szCs w:val="24"/>
          <w:lang w:eastAsia="zh-CN"/>
        </w:rPr>
        <w:t>会决定</w:t>
      </w:r>
      <w:r>
        <w:rPr>
          <w:rFonts w:hint="eastAsia"/>
          <w:szCs w:val="24"/>
          <w:lang w:eastAsia="zh-CN"/>
        </w:rPr>
        <w:t>，向</w:t>
      </w:r>
      <w:r>
        <w:rPr>
          <w:szCs w:val="24"/>
          <w:lang w:eastAsia="zh-CN"/>
        </w:rPr>
        <w:t>做出贡献的国家免费提供国际电联在相关成员国所提供</w:t>
      </w:r>
      <w:r>
        <w:rPr>
          <w:rFonts w:hint="eastAsia"/>
          <w:szCs w:val="24"/>
          <w:lang w:eastAsia="zh-CN"/>
        </w:rPr>
        <w:t>电信</w:t>
      </w:r>
      <w:r>
        <w:rPr>
          <w:szCs w:val="24"/>
          <w:lang w:eastAsia="zh-CN"/>
        </w:rPr>
        <w:t>数据基础之上编制的所有出版物。</w:t>
      </w:r>
      <w:bookmarkStart w:id="18" w:name="lt_pId049"/>
      <w:bookmarkEnd w:id="17"/>
      <w:r>
        <w:rPr>
          <w:rFonts w:hint="eastAsia"/>
          <w:szCs w:val="24"/>
          <w:lang w:eastAsia="zh-CN"/>
        </w:rPr>
        <w:t>此</w:t>
      </w:r>
      <w:r>
        <w:rPr>
          <w:szCs w:val="24"/>
          <w:lang w:eastAsia="zh-CN"/>
        </w:rPr>
        <w:t>文稿中</w:t>
      </w:r>
      <w:r>
        <w:rPr>
          <w:rFonts w:hint="eastAsia"/>
          <w:szCs w:val="24"/>
          <w:lang w:eastAsia="zh-CN"/>
        </w:rPr>
        <w:t>所</w:t>
      </w:r>
      <w:r>
        <w:rPr>
          <w:szCs w:val="24"/>
          <w:lang w:eastAsia="zh-CN"/>
        </w:rPr>
        <w:t>指出版物，</w:t>
      </w:r>
      <w:r>
        <w:rPr>
          <w:rFonts w:hint="eastAsia"/>
          <w:szCs w:val="24"/>
          <w:lang w:eastAsia="zh-CN"/>
        </w:rPr>
        <w:t>仅涉及</w:t>
      </w:r>
      <w:r>
        <w:rPr>
          <w:szCs w:val="24"/>
          <w:lang w:eastAsia="zh-CN"/>
        </w:rPr>
        <w:t>那些</w:t>
      </w:r>
      <w:r>
        <w:rPr>
          <w:rFonts w:hint="eastAsia"/>
          <w:szCs w:val="24"/>
          <w:lang w:eastAsia="zh-CN"/>
        </w:rPr>
        <w:t>国</w:t>
      </w:r>
      <w:r>
        <w:rPr>
          <w:szCs w:val="24"/>
          <w:lang w:eastAsia="zh-CN"/>
        </w:rPr>
        <w:t>际电联</w:t>
      </w:r>
      <w:r w:rsidR="00305C8C">
        <w:rPr>
          <w:rFonts w:hint="eastAsia"/>
          <w:szCs w:val="24"/>
          <w:lang w:eastAsia="zh-CN"/>
        </w:rPr>
        <w:t>目前</w:t>
      </w:r>
      <w:r>
        <w:rPr>
          <w:szCs w:val="24"/>
          <w:lang w:eastAsia="zh-CN"/>
        </w:rPr>
        <w:t>需</w:t>
      </w:r>
      <w:r>
        <w:rPr>
          <w:rFonts w:hint="eastAsia"/>
          <w:szCs w:val="24"/>
          <w:lang w:eastAsia="zh-CN"/>
        </w:rPr>
        <w:t>要</w:t>
      </w:r>
      <w:r>
        <w:rPr>
          <w:szCs w:val="24"/>
          <w:lang w:eastAsia="zh-CN"/>
        </w:rPr>
        <w:t>收费</w:t>
      </w:r>
      <w:r>
        <w:rPr>
          <w:rFonts w:hint="eastAsia"/>
          <w:szCs w:val="24"/>
          <w:lang w:eastAsia="zh-CN"/>
        </w:rPr>
        <w:t>，且起草是基于成员</w:t>
      </w:r>
      <w:r>
        <w:rPr>
          <w:szCs w:val="24"/>
          <w:lang w:eastAsia="zh-CN"/>
        </w:rPr>
        <w:t>国所</w:t>
      </w:r>
      <w:r>
        <w:rPr>
          <w:rFonts w:hint="eastAsia"/>
          <w:szCs w:val="24"/>
          <w:lang w:eastAsia="zh-CN"/>
        </w:rPr>
        <w:t>提供</w:t>
      </w:r>
      <w:r>
        <w:rPr>
          <w:szCs w:val="24"/>
          <w:lang w:eastAsia="zh-CN"/>
        </w:rPr>
        <w:t>数据的出版物。</w:t>
      </w:r>
      <w:bookmarkEnd w:id="18"/>
    </w:p>
    <w:p w:rsidR="00691E04" w:rsidRDefault="00691E04" w:rsidP="001C5E57">
      <w:pPr>
        <w:pStyle w:val="Reasons"/>
        <w:rPr>
          <w:lang w:eastAsia="zh-CN"/>
        </w:rPr>
      </w:pPr>
    </w:p>
    <w:p w:rsidR="00691E04" w:rsidRDefault="00691E04" w:rsidP="001C5E57">
      <w:pPr>
        <w:jc w:val="center"/>
      </w:pPr>
      <w:r>
        <w:t>______________</w:t>
      </w:r>
    </w:p>
    <w:sectPr w:rsidR="00691E04"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172" w:rsidRDefault="004A1172">
      <w:r>
        <w:separator/>
      </w:r>
    </w:p>
  </w:endnote>
  <w:endnote w:type="continuationSeparator" w:id="0">
    <w:p w:rsidR="004A1172" w:rsidRDefault="004A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B2"/>
    <w:family w:val="auto"/>
    <w:notTrueType/>
    <w:pitch w:val="default"/>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72" w:rsidRPr="00BD18DD" w:rsidRDefault="00385689" w:rsidP="009A6F47">
    <w:pPr>
      <w:pStyle w:val="Footer"/>
      <w:rPr>
        <w:color w:val="D9D9D9" w:themeColor="background1" w:themeShade="D9"/>
      </w:rPr>
    </w:pPr>
    <w:r w:rsidRPr="00BD18DD">
      <w:rPr>
        <w:color w:val="D9D9D9" w:themeColor="background1" w:themeShade="D9"/>
      </w:rPr>
      <w:fldChar w:fldCharType="begin"/>
    </w:r>
    <w:r w:rsidRPr="00BD18DD">
      <w:rPr>
        <w:color w:val="D9D9D9" w:themeColor="background1" w:themeShade="D9"/>
      </w:rPr>
      <w:instrText xml:space="preserve"> FILENAME \p  \* MERGEFORMAT </w:instrText>
    </w:r>
    <w:r w:rsidRPr="00BD18DD">
      <w:rPr>
        <w:color w:val="D9D9D9" w:themeColor="background1" w:themeShade="D9"/>
      </w:rPr>
      <w:fldChar w:fldCharType="separate"/>
    </w:r>
    <w:r w:rsidR="001C5E57" w:rsidRPr="00BD18DD">
      <w:rPr>
        <w:color w:val="D9D9D9" w:themeColor="background1" w:themeShade="D9"/>
      </w:rPr>
      <w:t>P:\CHI\SG\CONSEIL\C17\000\085C.docx</w:t>
    </w:r>
    <w:r w:rsidRPr="00BD18DD">
      <w:rPr>
        <w:color w:val="D9D9D9" w:themeColor="background1" w:themeShade="D9"/>
      </w:rPr>
      <w:fldChar w:fldCharType="end"/>
    </w:r>
    <w:r w:rsidR="004A1172" w:rsidRPr="00BD18DD">
      <w:rPr>
        <w:color w:val="D9D9D9" w:themeColor="background1" w:themeShade="D9"/>
      </w:rPr>
      <w:t xml:space="preserve"> (</w:t>
    </w:r>
    <w:r w:rsidR="00526C7F" w:rsidRPr="00BD18DD">
      <w:rPr>
        <w:color w:val="D9D9D9" w:themeColor="background1" w:themeShade="D9"/>
      </w:rPr>
      <w:t>41746</w:t>
    </w:r>
    <w:r w:rsidR="009A6F47" w:rsidRPr="00BD18DD">
      <w:rPr>
        <w:color w:val="D9D9D9" w:themeColor="background1" w:themeShade="D9"/>
      </w:rPr>
      <w:t>1</w:t>
    </w:r>
    <w:r w:rsidR="004A1172" w:rsidRPr="00BD18DD">
      <w:rPr>
        <w:color w:val="D9D9D9" w:themeColor="background1" w:themeShade="D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72" w:rsidRDefault="004A1172"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4A1172" w:rsidRDefault="00385689" w:rsidP="009A6F47">
    <w:pPr>
      <w:pStyle w:val="Footer"/>
    </w:pPr>
    <w:fldSimple w:instr=" FILENAME \p  \* MERGEFORMAT ">
      <w:r w:rsidR="001C5E57">
        <w:t>P:\CHI\SG\CONSEIL\C17\000\085C.docx</w:t>
      </w:r>
    </w:fldSimple>
    <w:r w:rsidR="004A1172">
      <w:t xml:space="preserve"> (</w:t>
    </w:r>
    <w:r w:rsidR="009A6F47">
      <w:t>417461</w:t>
    </w:r>
    <w:r w:rsidR="004A1172">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172" w:rsidRDefault="004A1172">
      <w:r>
        <w:t>____________________</w:t>
      </w:r>
    </w:p>
  </w:footnote>
  <w:footnote w:type="continuationSeparator" w:id="0">
    <w:p w:rsidR="004A1172" w:rsidRDefault="004A1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72" w:rsidRDefault="004A1172" w:rsidP="00CE6F22">
    <w:pPr>
      <w:pStyle w:val="Header"/>
    </w:pPr>
    <w:r>
      <w:fldChar w:fldCharType="begin"/>
    </w:r>
    <w:r>
      <w:instrText>PAGE</w:instrText>
    </w:r>
    <w:r>
      <w:fldChar w:fldCharType="separate"/>
    </w:r>
    <w:r w:rsidR="00BD18DD">
      <w:rPr>
        <w:noProof/>
      </w:rPr>
      <w:t>2</w:t>
    </w:r>
    <w:r>
      <w:rPr>
        <w:noProof/>
      </w:rPr>
      <w:fldChar w:fldCharType="end"/>
    </w:r>
  </w:p>
  <w:p w:rsidR="004A1172" w:rsidRDefault="004A1172" w:rsidP="009A6F47">
    <w:pPr>
      <w:pStyle w:val="Header"/>
      <w:rPr>
        <w:lang w:eastAsia="zh-CN"/>
      </w:rPr>
    </w:pPr>
    <w:r>
      <w:t>C1</w:t>
    </w:r>
    <w:r>
      <w:rPr>
        <w:lang w:eastAsia="zh-CN"/>
      </w:rPr>
      <w:t>7</w:t>
    </w:r>
    <w:r>
      <w:t>/</w:t>
    </w:r>
    <w:r w:rsidR="00526C7F">
      <w:rPr>
        <w:lang w:eastAsia="zh-CN"/>
      </w:rPr>
      <w:t>8</w:t>
    </w:r>
    <w:r w:rsidR="009A6F47">
      <w:rPr>
        <w:lang w:eastAsia="zh-CN"/>
      </w:rPr>
      <w:t>5</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179FE"/>
    <w:multiLevelType w:val="hybridMultilevel"/>
    <w:tmpl w:val="F24842B0"/>
    <w:lvl w:ilvl="0" w:tplc="661A53A2">
      <w:numFmt w:val="bullet"/>
      <w:lvlText w:val="•"/>
      <w:lvlJc w:val="left"/>
      <w:pPr>
        <w:ind w:left="720" w:hanging="360"/>
      </w:pPr>
      <w:rPr>
        <w:rFonts w:ascii="TimesNewRoman" w:eastAsiaTheme="minorEastAsia" w:hAnsi="TimesNewRoman" w:cs="TimesNew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D5F04"/>
    <w:multiLevelType w:val="hybridMultilevel"/>
    <w:tmpl w:val="E02C90FE"/>
    <w:lvl w:ilvl="0" w:tplc="12548996">
      <w:start w:val="1"/>
      <w:numFmt w:val="lowerLetter"/>
      <w:lvlText w:val="%1)"/>
      <w:lvlJc w:val="left"/>
      <w:pPr>
        <w:ind w:left="1080" w:hanging="360"/>
      </w:pPr>
      <w:rPr>
        <w:rFonts w:ascii="Calibri" w:hAnsi="Calibri" w:hint="default"/>
        <w:b w:val="0"/>
        <w:i w:val="0"/>
        <w:sz w:val="22"/>
      </w:rPr>
    </w:lvl>
    <w:lvl w:ilvl="1" w:tplc="E3AAAC98">
      <w:start w:val="1"/>
      <w:numFmt w:val="lowerLetter"/>
      <w:lvlText w:val="%2."/>
      <w:lvlJc w:val="left"/>
      <w:pPr>
        <w:ind w:left="1800" w:hanging="360"/>
      </w:pPr>
    </w:lvl>
    <w:lvl w:ilvl="2" w:tplc="AD96044E" w:tentative="1">
      <w:start w:val="1"/>
      <w:numFmt w:val="lowerRoman"/>
      <w:lvlText w:val="%3."/>
      <w:lvlJc w:val="right"/>
      <w:pPr>
        <w:ind w:left="2520" w:hanging="180"/>
      </w:pPr>
    </w:lvl>
    <w:lvl w:ilvl="3" w:tplc="694C0738" w:tentative="1">
      <w:start w:val="1"/>
      <w:numFmt w:val="decimal"/>
      <w:lvlText w:val="%4."/>
      <w:lvlJc w:val="left"/>
      <w:pPr>
        <w:ind w:left="3240" w:hanging="360"/>
      </w:pPr>
    </w:lvl>
    <w:lvl w:ilvl="4" w:tplc="3014FBBC" w:tentative="1">
      <w:start w:val="1"/>
      <w:numFmt w:val="lowerLetter"/>
      <w:lvlText w:val="%5."/>
      <w:lvlJc w:val="left"/>
      <w:pPr>
        <w:ind w:left="3960" w:hanging="360"/>
      </w:pPr>
    </w:lvl>
    <w:lvl w:ilvl="5" w:tplc="282A4A08" w:tentative="1">
      <w:start w:val="1"/>
      <w:numFmt w:val="lowerRoman"/>
      <w:lvlText w:val="%6."/>
      <w:lvlJc w:val="right"/>
      <w:pPr>
        <w:ind w:left="4680" w:hanging="180"/>
      </w:pPr>
    </w:lvl>
    <w:lvl w:ilvl="6" w:tplc="99B66202" w:tentative="1">
      <w:start w:val="1"/>
      <w:numFmt w:val="decimal"/>
      <w:lvlText w:val="%7."/>
      <w:lvlJc w:val="left"/>
      <w:pPr>
        <w:ind w:left="5400" w:hanging="360"/>
      </w:pPr>
    </w:lvl>
    <w:lvl w:ilvl="7" w:tplc="55E0D394" w:tentative="1">
      <w:start w:val="1"/>
      <w:numFmt w:val="lowerLetter"/>
      <w:lvlText w:val="%8."/>
      <w:lvlJc w:val="left"/>
      <w:pPr>
        <w:ind w:left="6120" w:hanging="360"/>
      </w:pPr>
    </w:lvl>
    <w:lvl w:ilvl="8" w:tplc="94FCF28C" w:tentative="1">
      <w:start w:val="1"/>
      <w:numFmt w:val="lowerRoman"/>
      <w:lvlText w:val="%9."/>
      <w:lvlJc w:val="right"/>
      <w:pPr>
        <w:ind w:left="6840"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C31CB"/>
    <w:multiLevelType w:val="hybridMultilevel"/>
    <w:tmpl w:val="59E64F52"/>
    <w:lvl w:ilvl="0" w:tplc="DB5ACFFC">
      <w:start w:val="1"/>
      <w:numFmt w:val="decimal"/>
      <w:lvlText w:val="%1."/>
      <w:lvlJc w:val="left"/>
      <w:pPr>
        <w:ind w:left="720" w:hanging="360"/>
      </w:pPr>
    </w:lvl>
    <w:lvl w:ilvl="1" w:tplc="98EAC708" w:tentative="1">
      <w:start w:val="1"/>
      <w:numFmt w:val="lowerLetter"/>
      <w:lvlText w:val="%2."/>
      <w:lvlJc w:val="left"/>
      <w:pPr>
        <w:ind w:left="1440" w:hanging="360"/>
      </w:pPr>
    </w:lvl>
    <w:lvl w:ilvl="2" w:tplc="0C5EE0CE" w:tentative="1">
      <w:start w:val="1"/>
      <w:numFmt w:val="lowerRoman"/>
      <w:lvlText w:val="%3."/>
      <w:lvlJc w:val="right"/>
      <w:pPr>
        <w:ind w:left="2160" w:hanging="180"/>
      </w:pPr>
    </w:lvl>
    <w:lvl w:ilvl="3" w:tplc="C80E74D6" w:tentative="1">
      <w:start w:val="1"/>
      <w:numFmt w:val="decimal"/>
      <w:lvlText w:val="%4."/>
      <w:lvlJc w:val="left"/>
      <w:pPr>
        <w:ind w:left="2880" w:hanging="360"/>
      </w:pPr>
    </w:lvl>
    <w:lvl w:ilvl="4" w:tplc="D8F6D64C" w:tentative="1">
      <w:start w:val="1"/>
      <w:numFmt w:val="lowerLetter"/>
      <w:lvlText w:val="%5."/>
      <w:lvlJc w:val="left"/>
      <w:pPr>
        <w:ind w:left="3600" w:hanging="360"/>
      </w:pPr>
    </w:lvl>
    <w:lvl w:ilvl="5" w:tplc="D0C229AA" w:tentative="1">
      <w:start w:val="1"/>
      <w:numFmt w:val="lowerRoman"/>
      <w:lvlText w:val="%6."/>
      <w:lvlJc w:val="right"/>
      <w:pPr>
        <w:ind w:left="4320" w:hanging="180"/>
      </w:pPr>
    </w:lvl>
    <w:lvl w:ilvl="6" w:tplc="B8BA5CF4" w:tentative="1">
      <w:start w:val="1"/>
      <w:numFmt w:val="decimal"/>
      <w:lvlText w:val="%7."/>
      <w:lvlJc w:val="left"/>
      <w:pPr>
        <w:ind w:left="5040" w:hanging="360"/>
      </w:pPr>
    </w:lvl>
    <w:lvl w:ilvl="7" w:tplc="547EFDC8" w:tentative="1">
      <w:start w:val="1"/>
      <w:numFmt w:val="lowerLetter"/>
      <w:lvlText w:val="%8."/>
      <w:lvlJc w:val="left"/>
      <w:pPr>
        <w:ind w:left="5760" w:hanging="360"/>
      </w:pPr>
    </w:lvl>
    <w:lvl w:ilvl="8" w:tplc="768C39B4" w:tentative="1">
      <w:start w:val="1"/>
      <w:numFmt w:val="lowerRoman"/>
      <w:lvlText w:val="%9."/>
      <w:lvlJc w:val="right"/>
      <w:pPr>
        <w:ind w:left="6480" w:hanging="180"/>
      </w:pPr>
    </w:lvl>
  </w:abstractNum>
  <w:abstractNum w:abstractNumId="6" w15:restartNumberingAfterBreak="0">
    <w:nsid w:val="34013BEA"/>
    <w:multiLevelType w:val="hybridMultilevel"/>
    <w:tmpl w:val="7C6A7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7877D3A"/>
    <w:multiLevelType w:val="hybridMultilevel"/>
    <w:tmpl w:val="CF6C057C"/>
    <w:lvl w:ilvl="0" w:tplc="8D289A5C">
      <w:start w:val="1"/>
      <w:numFmt w:val="lowerRoman"/>
      <w:lvlText w:val="%1."/>
      <w:lvlJc w:val="left"/>
      <w:pPr>
        <w:ind w:left="1462" w:hanging="720"/>
      </w:pPr>
      <w:rPr>
        <w:rFonts w:hint="default"/>
      </w:rPr>
    </w:lvl>
    <w:lvl w:ilvl="1" w:tplc="6BDA2316" w:tentative="1">
      <w:start w:val="1"/>
      <w:numFmt w:val="lowerLetter"/>
      <w:lvlText w:val="%2."/>
      <w:lvlJc w:val="left"/>
      <w:pPr>
        <w:ind w:left="1822" w:hanging="360"/>
      </w:pPr>
    </w:lvl>
    <w:lvl w:ilvl="2" w:tplc="8FD8D07C" w:tentative="1">
      <w:start w:val="1"/>
      <w:numFmt w:val="lowerRoman"/>
      <w:lvlText w:val="%3."/>
      <w:lvlJc w:val="right"/>
      <w:pPr>
        <w:ind w:left="2542" w:hanging="180"/>
      </w:pPr>
    </w:lvl>
    <w:lvl w:ilvl="3" w:tplc="D9621F1C" w:tentative="1">
      <w:start w:val="1"/>
      <w:numFmt w:val="decimal"/>
      <w:lvlText w:val="%4."/>
      <w:lvlJc w:val="left"/>
      <w:pPr>
        <w:ind w:left="3262" w:hanging="360"/>
      </w:pPr>
    </w:lvl>
    <w:lvl w:ilvl="4" w:tplc="D90E77EA" w:tentative="1">
      <w:start w:val="1"/>
      <w:numFmt w:val="lowerLetter"/>
      <w:lvlText w:val="%5."/>
      <w:lvlJc w:val="left"/>
      <w:pPr>
        <w:ind w:left="3982" w:hanging="360"/>
      </w:pPr>
    </w:lvl>
    <w:lvl w:ilvl="5" w:tplc="C6E61E02" w:tentative="1">
      <w:start w:val="1"/>
      <w:numFmt w:val="lowerRoman"/>
      <w:lvlText w:val="%6."/>
      <w:lvlJc w:val="right"/>
      <w:pPr>
        <w:ind w:left="4702" w:hanging="180"/>
      </w:pPr>
    </w:lvl>
    <w:lvl w:ilvl="6" w:tplc="7F369742" w:tentative="1">
      <w:start w:val="1"/>
      <w:numFmt w:val="decimal"/>
      <w:lvlText w:val="%7."/>
      <w:lvlJc w:val="left"/>
      <w:pPr>
        <w:ind w:left="5422" w:hanging="360"/>
      </w:pPr>
    </w:lvl>
    <w:lvl w:ilvl="7" w:tplc="69A0A454" w:tentative="1">
      <w:start w:val="1"/>
      <w:numFmt w:val="lowerLetter"/>
      <w:lvlText w:val="%8."/>
      <w:lvlJc w:val="left"/>
      <w:pPr>
        <w:ind w:left="6142" w:hanging="360"/>
      </w:pPr>
    </w:lvl>
    <w:lvl w:ilvl="8" w:tplc="A85C7490" w:tentative="1">
      <w:start w:val="1"/>
      <w:numFmt w:val="lowerRoman"/>
      <w:lvlText w:val="%9."/>
      <w:lvlJc w:val="right"/>
      <w:pPr>
        <w:ind w:left="6862" w:hanging="180"/>
      </w:pPr>
    </w:lvl>
  </w:abstractNum>
  <w:abstractNum w:abstractNumId="9" w15:restartNumberingAfterBreak="0">
    <w:nsid w:val="4B943AC4"/>
    <w:multiLevelType w:val="hybridMultilevel"/>
    <w:tmpl w:val="66702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06239F"/>
    <w:multiLevelType w:val="hybridMultilevel"/>
    <w:tmpl w:val="7384232C"/>
    <w:lvl w:ilvl="0" w:tplc="3F5CF6D6">
      <w:start w:val="1"/>
      <w:numFmt w:val="lowerLetter"/>
      <w:lvlText w:val="%1)"/>
      <w:lvlJc w:val="left"/>
      <w:pPr>
        <w:ind w:left="1080" w:hanging="360"/>
      </w:pPr>
      <w:rPr>
        <w:rFonts w:ascii="Calibri" w:hAnsi="Calibri" w:hint="default"/>
        <w:b w:val="0"/>
        <w:i w:val="0"/>
        <w:sz w:val="22"/>
      </w:rPr>
    </w:lvl>
    <w:lvl w:ilvl="1" w:tplc="3474D7AC">
      <w:start w:val="1"/>
      <w:numFmt w:val="lowerLetter"/>
      <w:lvlText w:val="%2)"/>
      <w:lvlJc w:val="left"/>
      <w:pPr>
        <w:ind w:left="1800" w:hanging="360"/>
      </w:pPr>
      <w:rPr>
        <w:rFonts w:hint="default"/>
      </w:rPr>
    </w:lvl>
    <w:lvl w:ilvl="2" w:tplc="9CE6BCAA" w:tentative="1">
      <w:start w:val="1"/>
      <w:numFmt w:val="lowerRoman"/>
      <w:lvlText w:val="%3."/>
      <w:lvlJc w:val="right"/>
      <w:pPr>
        <w:ind w:left="2520" w:hanging="180"/>
      </w:pPr>
    </w:lvl>
    <w:lvl w:ilvl="3" w:tplc="78AE1C1A" w:tentative="1">
      <w:start w:val="1"/>
      <w:numFmt w:val="decimal"/>
      <w:lvlText w:val="%4."/>
      <w:lvlJc w:val="left"/>
      <w:pPr>
        <w:ind w:left="3240" w:hanging="360"/>
      </w:pPr>
    </w:lvl>
    <w:lvl w:ilvl="4" w:tplc="55FCFB1E" w:tentative="1">
      <w:start w:val="1"/>
      <w:numFmt w:val="lowerLetter"/>
      <w:lvlText w:val="%5."/>
      <w:lvlJc w:val="left"/>
      <w:pPr>
        <w:ind w:left="3960" w:hanging="360"/>
      </w:pPr>
    </w:lvl>
    <w:lvl w:ilvl="5" w:tplc="39C6B94E" w:tentative="1">
      <w:start w:val="1"/>
      <w:numFmt w:val="lowerRoman"/>
      <w:lvlText w:val="%6."/>
      <w:lvlJc w:val="right"/>
      <w:pPr>
        <w:ind w:left="4680" w:hanging="180"/>
      </w:pPr>
    </w:lvl>
    <w:lvl w:ilvl="6" w:tplc="561CE798" w:tentative="1">
      <w:start w:val="1"/>
      <w:numFmt w:val="decimal"/>
      <w:lvlText w:val="%7."/>
      <w:lvlJc w:val="left"/>
      <w:pPr>
        <w:ind w:left="5400" w:hanging="360"/>
      </w:pPr>
    </w:lvl>
    <w:lvl w:ilvl="7" w:tplc="38603EDA" w:tentative="1">
      <w:start w:val="1"/>
      <w:numFmt w:val="lowerLetter"/>
      <w:lvlText w:val="%8."/>
      <w:lvlJc w:val="left"/>
      <w:pPr>
        <w:ind w:left="6120" w:hanging="360"/>
      </w:pPr>
    </w:lvl>
    <w:lvl w:ilvl="8" w:tplc="8ABCD858" w:tentative="1">
      <w:start w:val="1"/>
      <w:numFmt w:val="lowerRoman"/>
      <w:lvlText w:val="%9."/>
      <w:lvlJc w:val="right"/>
      <w:pPr>
        <w:ind w:left="6840" w:hanging="180"/>
      </w:pPr>
    </w:lvl>
  </w:abstractNum>
  <w:abstractNum w:abstractNumId="11"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4C4D4A"/>
    <w:multiLevelType w:val="hybridMultilevel"/>
    <w:tmpl w:val="CF6C057C"/>
    <w:lvl w:ilvl="0" w:tplc="C2CA481E">
      <w:start w:val="1"/>
      <w:numFmt w:val="lowerRoman"/>
      <w:lvlText w:val="%1."/>
      <w:lvlJc w:val="left"/>
      <w:pPr>
        <w:ind w:left="1080" w:hanging="720"/>
      </w:pPr>
      <w:rPr>
        <w:rFonts w:hint="default"/>
      </w:rPr>
    </w:lvl>
    <w:lvl w:ilvl="1" w:tplc="35A0BF38" w:tentative="1">
      <w:start w:val="1"/>
      <w:numFmt w:val="lowerLetter"/>
      <w:lvlText w:val="%2."/>
      <w:lvlJc w:val="left"/>
      <w:pPr>
        <w:ind w:left="1440" w:hanging="360"/>
      </w:pPr>
    </w:lvl>
    <w:lvl w:ilvl="2" w:tplc="4D6A6DDE" w:tentative="1">
      <w:start w:val="1"/>
      <w:numFmt w:val="lowerRoman"/>
      <w:lvlText w:val="%3."/>
      <w:lvlJc w:val="right"/>
      <w:pPr>
        <w:ind w:left="2160" w:hanging="180"/>
      </w:pPr>
    </w:lvl>
    <w:lvl w:ilvl="3" w:tplc="56D4653E" w:tentative="1">
      <w:start w:val="1"/>
      <w:numFmt w:val="decimal"/>
      <w:lvlText w:val="%4."/>
      <w:lvlJc w:val="left"/>
      <w:pPr>
        <w:ind w:left="2880" w:hanging="360"/>
      </w:pPr>
    </w:lvl>
    <w:lvl w:ilvl="4" w:tplc="5F9C4C2A" w:tentative="1">
      <w:start w:val="1"/>
      <w:numFmt w:val="lowerLetter"/>
      <w:lvlText w:val="%5."/>
      <w:lvlJc w:val="left"/>
      <w:pPr>
        <w:ind w:left="3600" w:hanging="360"/>
      </w:pPr>
    </w:lvl>
    <w:lvl w:ilvl="5" w:tplc="3BBAABC8" w:tentative="1">
      <w:start w:val="1"/>
      <w:numFmt w:val="lowerRoman"/>
      <w:lvlText w:val="%6."/>
      <w:lvlJc w:val="right"/>
      <w:pPr>
        <w:ind w:left="4320" w:hanging="180"/>
      </w:pPr>
    </w:lvl>
    <w:lvl w:ilvl="6" w:tplc="CD6C4A62" w:tentative="1">
      <w:start w:val="1"/>
      <w:numFmt w:val="decimal"/>
      <w:lvlText w:val="%7."/>
      <w:lvlJc w:val="left"/>
      <w:pPr>
        <w:ind w:left="5040" w:hanging="360"/>
      </w:pPr>
    </w:lvl>
    <w:lvl w:ilvl="7" w:tplc="E014F908" w:tentative="1">
      <w:start w:val="1"/>
      <w:numFmt w:val="lowerLetter"/>
      <w:lvlText w:val="%8."/>
      <w:lvlJc w:val="left"/>
      <w:pPr>
        <w:ind w:left="5760" w:hanging="360"/>
      </w:pPr>
    </w:lvl>
    <w:lvl w:ilvl="8" w:tplc="5BDA2A98" w:tentative="1">
      <w:start w:val="1"/>
      <w:numFmt w:val="lowerRoman"/>
      <w:lvlText w:val="%9."/>
      <w:lvlJc w:val="right"/>
      <w:pPr>
        <w:ind w:left="6480" w:hanging="180"/>
      </w:pPr>
    </w:lvl>
  </w:abstractNum>
  <w:abstractNum w:abstractNumId="13"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7"/>
  </w:num>
  <w:num w:numId="4">
    <w:abstractNumId w:val="11"/>
  </w:num>
  <w:num w:numId="5">
    <w:abstractNumId w:val="14"/>
  </w:num>
  <w:num w:numId="6">
    <w:abstractNumId w:val="13"/>
  </w:num>
  <w:num w:numId="7">
    <w:abstractNumId w:val="3"/>
  </w:num>
  <w:num w:numId="8">
    <w:abstractNumId w:val="1"/>
  </w:num>
  <w:num w:numId="9">
    <w:abstractNumId w:val="9"/>
  </w:num>
  <w:num w:numId="10">
    <w:abstractNumId w:val="12"/>
  </w:num>
  <w:num w:numId="11">
    <w:abstractNumId w:val="8"/>
  </w:num>
  <w:num w:numId="12">
    <w:abstractNumId w:val="5"/>
  </w:num>
  <w:num w:numId="13">
    <w:abstractNumId w:val="2"/>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506"/>
    <w:rsid w:val="00001B77"/>
    <w:rsid w:val="0000517A"/>
    <w:rsid w:val="00031E72"/>
    <w:rsid w:val="000404D2"/>
    <w:rsid w:val="00046ABD"/>
    <w:rsid w:val="000853C0"/>
    <w:rsid w:val="000A1C21"/>
    <w:rsid w:val="000D15EA"/>
    <w:rsid w:val="00100D84"/>
    <w:rsid w:val="00124C9D"/>
    <w:rsid w:val="00157773"/>
    <w:rsid w:val="0018251A"/>
    <w:rsid w:val="00190272"/>
    <w:rsid w:val="00193244"/>
    <w:rsid w:val="00195C6C"/>
    <w:rsid w:val="00195FED"/>
    <w:rsid w:val="001A4BD6"/>
    <w:rsid w:val="001C5E57"/>
    <w:rsid w:val="001D5A18"/>
    <w:rsid w:val="00280EB8"/>
    <w:rsid w:val="002A6670"/>
    <w:rsid w:val="00303502"/>
    <w:rsid w:val="00305C8C"/>
    <w:rsid w:val="00325C25"/>
    <w:rsid w:val="00372C8F"/>
    <w:rsid w:val="00380ECE"/>
    <w:rsid w:val="00385689"/>
    <w:rsid w:val="00393DDF"/>
    <w:rsid w:val="00397F55"/>
    <w:rsid w:val="003B4454"/>
    <w:rsid w:val="003C2E37"/>
    <w:rsid w:val="003F1415"/>
    <w:rsid w:val="003F3E47"/>
    <w:rsid w:val="0040144C"/>
    <w:rsid w:val="00403EB7"/>
    <w:rsid w:val="00430BF0"/>
    <w:rsid w:val="00430E97"/>
    <w:rsid w:val="00451F45"/>
    <w:rsid w:val="004672E6"/>
    <w:rsid w:val="00474ED1"/>
    <w:rsid w:val="00493085"/>
    <w:rsid w:val="0049731E"/>
    <w:rsid w:val="004A1172"/>
    <w:rsid w:val="004A36EC"/>
    <w:rsid w:val="004D163F"/>
    <w:rsid w:val="004D44CF"/>
    <w:rsid w:val="004E4BFF"/>
    <w:rsid w:val="004F2598"/>
    <w:rsid w:val="00503DED"/>
    <w:rsid w:val="00526C7F"/>
    <w:rsid w:val="005375FD"/>
    <w:rsid w:val="005403F7"/>
    <w:rsid w:val="00540632"/>
    <w:rsid w:val="00541CF4"/>
    <w:rsid w:val="005451E8"/>
    <w:rsid w:val="005507F2"/>
    <w:rsid w:val="005759CC"/>
    <w:rsid w:val="00580B59"/>
    <w:rsid w:val="005A72E1"/>
    <w:rsid w:val="005C6632"/>
    <w:rsid w:val="005D1C9E"/>
    <w:rsid w:val="005E520D"/>
    <w:rsid w:val="0060443B"/>
    <w:rsid w:val="00654257"/>
    <w:rsid w:val="0065435A"/>
    <w:rsid w:val="00691E04"/>
    <w:rsid w:val="006A2DD3"/>
    <w:rsid w:val="006A5AF8"/>
    <w:rsid w:val="006C36CD"/>
    <w:rsid w:val="00700D1F"/>
    <w:rsid w:val="007205CB"/>
    <w:rsid w:val="00726073"/>
    <w:rsid w:val="00734FE8"/>
    <w:rsid w:val="007360CE"/>
    <w:rsid w:val="00745E18"/>
    <w:rsid w:val="00772315"/>
    <w:rsid w:val="00775157"/>
    <w:rsid w:val="007752C0"/>
    <w:rsid w:val="00780A11"/>
    <w:rsid w:val="007813AE"/>
    <w:rsid w:val="007A37DB"/>
    <w:rsid w:val="007D178C"/>
    <w:rsid w:val="007E189D"/>
    <w:rsid w:val="00811259"/>
    <w:rsid w:val="00813AA2"/>
    <w:rsid w:val="008173A3"/>
    <w:rsid w:val="0086059C"/>
    <w:rsid w:val="00864589"/>
    <w:rsid w:val="00890AFB"/>
    <w:rsid w:val="00890FC4"/>
    <w:rsid w:val="008922E1"/>
    <w:rsid w:val="00895905"/>
    <w:rsid w:val="008B3237"/>
    <w:rsid w:val="008C5163"/>
    <w:rsid w:val="009164A9"/>
    <w:rsid w:val="009258CB"/>
    <w:rsid w:val="0093362E"/>
    <w:rsid w:val="00933F60"/>
    <w:rsid w:val="00944563"/>
    <w:rsid w:val="00953160"/>
    <w:rsid w:val="009625D8"/>
    <w:rsid w:val="0098459B"/>
    <w:rsid w:val="00997185"/>
    <w:rsid w:val="009A6F47"/>
    <w:rsid w:val="009C07DC"/>
    <w:rsid w:val="009C2458"/>
    <w:rsid w:val="009C4A7B"/>
    <w:rsid w:val="009C6123"/>
    <w:rsid w:val="009F1E3E"/>
    <w:rsid w:val="00A1213C"/>
    <w:rsid w:val="00A272FF"/>
    <w:rsid w:val="00A454AC"/>
    <w:rsid w:val="00A5354B"/>
    <w:rsid w:val="00A96506"/>
    <w:rsid w:val="00AB066B"/>
    <w:rsid w:val="00AB42C1"/>
    <w:rsid w:val="00AC516F"/>
    <w:rsid w:val="00AE24FE"/>
    <w:rsid w:val="00AE2926"/>
    <w:rsid w:val="00AF009F"/>
    <w:rsid w:val="00B0184B"/>
    <w:rsid w:val="00B035CD"/>
    <w:rsid w:val="00B0769D"/>
    <w:rsid w:val="00B217F8"/>
    <w:rsid w:val="00B255E8"/>
    <w:rsid w:val="00B332EA"/>
    <w:rsid w:val="00B40A53"/>
    <w:rsid w:val="00B42C43"/>
    <w:rsid w:val="00B45365"/>
    <w:rsid w:val="00B46A65"/>
    <w:rsid w:val="00B60184"/>
    <w:rsid w:val="00B62D20"/>
    <w:rsid w:val="00B81E75"/>
    <w:rsid w:val="00BD18DD"/>
    <w:rsid w:val="00BD1A5A"/>
    <w:rsid w:val="00BD7A9B"/>
    <w:rsid w:val="00BD7BE1"/>
    <w:rsid w:val="00BF416B"/>
    <w:rsid w:val="00C64E4E"/>
    <w:rsid w:val="00C66E64"/>
    <w:rsid w:val="00C761A0"/>
    <w:rsid w:val="00C85F7E"/>
    <w:rsid w:val="00CC4087"/>
    <w:rsid w:val="00CD47F0"/>
    <w:rsid w:val="00CD5566"/>
    <w:rsid w:val="00CD64D7"/>
    <w:rsid w:val="00CE52DF"/>
    <w:rsid w:val="00CE6F22"/>
    <w:rsid w:val="00CF41F6"/>
    <w:rsid w:val="00CF7D3E"/>
    <w:rsid w:val="00D02B4E"/>
    <w:rsid w:val="00D36817"/>
    <w:rsid w:val="00D5666C"/>
    <w:rsid w:val="00D666BC"/>
    <w:rsid w:val="00D83542"/>
    <w:rsid w:val="00D86BD2"/>
    <w:rsid w:val="00D92F45"/>
    <w:rsid w:val="00D94637"/>
    <w:rsid w:val="00D9725C"/>
    <w:rsid w:val="00DA7006"/>
    <w:rsid w:val="00DC6427"/>
    <w:rsid w:val="00DD66A1"/>
    <w:rsid w:val="00DE196D"/>
    <w:rsid w:val="00DF6B49"/>
    <w:rsid w:val="00E067C5"/>
    <w:rsid w:val="00E265BF"/>
    <w:rsid w:val="00E34406"/>
    <w:rsid w:val="00E378D8"/>
    <w:rsid w:val="00E43A12"/>
    <w:rsid w:val="00E67C67"/>
    <w:rsid w:val="00E77476"/>
    <w:rsid w:val="00E8228B"/>
    <w:rsid w:val="00EC5536"/>
    <w:rsid w:val="00EE5706"/>
    <w:rsid w:val="00EF373D"/>
    <w:rsid w:val="00F11595"/>
    <w:rsid w:val="00F13BC9"/>
    <w:rsid w:val="00F357B2"/>
    <w:rsid w:val="00F36556"/>
    <w:rsid w:val="00F60420"/>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04542EE-F3B4-453C-B814-E83D0D3E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6C36CD"/>
    <w:rPr>
      <w:position w:val="6"/>
      <w:sz w:val="18"/>
    </w:rPr>
  </w:style>
  <w:style w:type="paragraph" w:styleId="FootnoteText">
    <w:name w:val="footnote text"/>
    <w:aliases w:val="ACMA Footnote Text,ALTS FOOTNOTE,DNV-,DNV-FT,Footnote Text Char Char1,Footnote Text Char Char1 Char1 Char Char,Footnote Text Char1 Char1 Char1 Char,Footnote Text Char1 Char1 Char1 Char Char Char1,Footnote Text Char4 Char Char,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uiPriority w:val="99"/>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uiPriority w:val="99"/>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A96506"/>
    <w:pPr>
      <w:keepNext/>
      <w:keepLines/>
      <w:spacing w:before="240" w:after="280"/>
      <w:jc w:val="center"/>
    </w:pPr>
    <w:rPr>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ALTS FOOTNOTE Char,DNV- Char,DNV-FT Char,Footnote Text Char Char1 Char,Footnote Text Char Char1 Char1 Char Char Char,Footnote Text Char1 Char1 Char1 Char Char,Footnote Text Char4 Char Char Char"/>
    <w:basedOn w:val="DefaultParagraphFont"/>
    <w:link w:val="FootnoteText"/>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A96506"/>
    <w:rPr>
      <w:rFonts w:ascii="Calibri" w:hAnsi="Calibri"/>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
    <w:name w:val="Table_#"/>
    <w:basedOn w:val="Normal"/>
    <w:next w:val="Normal"/>
    <w:rsid w:val="00A96506"/>
    <w:pPr>
      <w:keepNext/>
      <w:overflowPunct/>
      <w:autoSpaceDE/>
      <w:autoSpaceDN/>
      <w:adjustRightInd/>
      <w:spacing w:before="560" w:after="120"/>
      <w:jc w:val="center"/>
      <w:textAlignment w:val="auto"/>
    </w:pPr>
    <w:rPr>
      <w:rFonts w:ascii="Times New Roman" w:eastAsia="Times New Roman" w:hAnsi="Times New Roman"/>
      <w:caps/>
    </w:rPr>
  </w:style>
  <w:style w:type="paragraph" w:styleId="NoSpacing">
    <w:name w:val="No Spacing"/>
    <w:uiPriority w:val="1"/>
    <w:qFormat/>
    <w:rsid w:val="003F3E47"/>
    <w:rPr>
      <w:rFonts w:asciiTheme="minorHAnsi" w:eastAsiaTheme="minorEastAsia" w:hAnsiTheme="minorHAnsi" w:cstheme="minorBidi"/>
      <w:sz w:val="22"/>
      <w:szCs w:val="22"/>
      <w:lang w:eastAsia="en-US"/>
    </w:rPr>
  </w:style>
  <w:style w:type="character" w:styleId="Emphasis">
    <w:name w:val="Emphasis"/>
    <w:basedOn w:val="DefaultParagraphFont"/>
    <w:uiPriority w:val="20"/>
    <w:qFormat/>
    <w:rsid w:val="003F3E47"/>
    <w:rPr>
      <w:i/>
      <w:iCs/>
    </w:rPr>
  </w:style>
  <w:style w:type="character" w:customStyle="1" w:styleId="apple-converted-space">
    <w:name w:val="apple-converted-space"/>
    <w:basedOn w:val="DefaultParagraphFont"/>
    <w:rsid w:val="003F3E47"/>
  </w:style>
  <w:style w:type="character" w:customStyle="1" w:styleId="ListParagraphChar">
    <w:name w:val="List Paragraph Char"/>
    <w:link w:val="ListParagraph"/>
    <w:uiPriority w:val="34"/>
    <w:locked/>
    <w:rsid w:val="00691E04"/>
    <w:rPr>
      <w:rFonts w:ascii="Calibri" w:eastAsia="Times New Roma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40101510">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C096A-611E-47F5-AF29-CA4D208AE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0</TotalTime>
  <Pages>3</Pages>
  <Words>1077</Words>
  <Characters>175</Characters>
  <Application>Microsoft Office Word</Application>
  <DocSecurity>4</DocSecurity>
  <Lines>1</Lines>
  <Paragraphs>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online access to ITU reports, statistics and indicators for Member States</dc:title>
  <dc:subject>Council 2017</dc:subject>
  <dc:creator>Zheng, Bingy</dc:creator>
  <cp:keywords>C2017, C17</cp:keywords>
  <dc:description/>
  <cp:lastModifiedBy>Brouard, Ricarda</cp:lastModifiedBy>
  <cp:revision>2</cp:revision>
  <cp:lastPrinted>2015-02-24T13:23:00Z</cp:lastPrinted>
  <dcterms:created xsi:type="dcterms:W3CDTF">2017-05-08T14:16:00Z</dcterms:created>
  <dcterms:modified xsi:type="dcterms:W3CDTF">2017-05-08T14:16:00Z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