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C118E0" w:rsidRDefault="000E4FF0" w:rsidP="007D19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118E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C118E0" w:rsidRPr="00C118E0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7D1985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C118E0" w:rsidRPr="00C118E0">
              <w:rPr>
                <w:rFonts w:eastAsiaTheme="minorEastAsia"/>
                <w:b/>
                <w:bCs/>
                <w:lang w:eastAsia="zh-CN" w:bidi="ar-EG"/>
              </w:rPr>
              <w:t>1.9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C118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C118E0">
              <w:rPr>
                <w:rFonts w:eastAsiaTheme="minorEastAsia"/>
                <w:b/>
                <w:bCs/>
                <w:lang w:eastAsia="zh-CN" w:bidi="ar-SY"/>
              </w:rPr>
              <w:t>81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C118E0" w:rsidP="00C118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28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7D19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7D1985">
              <w:rPr>
                <w:rFonts w:eastAsiaTheme="minorEastAsia" w:hint="cs"/>
                <w:b/>
                <w:bCs/>
                <w:rtl/>
                <w:lang w:eastAsia="zh-CN" w:bidi="ar-EG"/>
              </w:rPr>
              <w:t>بالروسية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118E0" w:rsidP="007D1985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C118E0">
              <w:rPr>
                <w:rFonts w:eastAsiaTheme="minorEastAsia" w:hint="cs"/>
                <w:rtl/>
                <w:lang w:eastAsia="zh-CN" w:bidi="ar-SA"/>
              </w:rPr>
              <w:t>مذكرة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118E0" w:rsidP="000E4FF0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مساهمة من الاتحاد الروسي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118E0" w:rsidP="000E4FF0">
            <w:pPr>
              <w:pStyle w:val="Title2"/>
              <w:rPr>
                <w:rFonts w:eastAsiaTheme="minorEastAsia"/>
                <w:w w:val="120"/>
                <w:rtl/>
                <w:lang w:eastAsia="zh-CN"/>
              </w:rPr>
            </w:pPr>
            <w:r>
              <w:rPr>
                <w:rFonts w:eastAsiaTheme="minorEastAsia" w:hint="cs"/>
                <w:w w:val="120"/>
                <w:rtl/>
                <w:lang w:eastAsia="zh-CN"/>
              </w:rPr>
              <w:t>زيادة كفاءة عمل فريق الخبراء المعني بلوائح الاتصالات الدولية </w:t>
            </w:r>
            <w:r>
              <w:rPr>
                <w:rFonts w:eastAsiaTheme="minorEastAsia"/>
                <w:w w:val="120"/>
                <w:lang w:eastAsia="zh-CN"/>
              </w:rPr>
              <w:t>(EG</w:t>
            </w:r>
            <w:r>
              <w:rPr>
                <w:rFonts w:eastAsiaTheme="minorEastAsia"/>
                <w:w w:val="120"/>
                <w:lang w:eastAsia="zh-CN"/>
              </w:rPr>
              <w:noBreakHyphen/>
              <w:t>ITR)</w:t>
            </w:r>
          </w:p>
        </w:tc>
      </w:tr>
    </w:tbl>
    <w:p w:rsidR="000E4FF0" w:rsidRPr="000E4FF0" w:rsidRDefault="00C118E0" w:rsidP="00C118E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 xml:space="preserve">يشرفني أن أحيل إلى الدول الأعضاء في المجلس مساهمة مقدمة من </w:t>
      </w:r>
      <w:r w:rsidRPr="007D1985">
        <w:rPr>
          <w:rFonts w:eastAsiaTheme="minorEastAsia" w:hint="cs"/>
          <w:b/>
          <w:bCs/>
          <w:rtl/>
          <w:lang w:eastAsia="zh-CN"/>
        </w:rPr>
        <w:t>الاتحاد الروسي</w:t>
      </w:r>
      <w:r>
        <w:rPr>
          <w:rFonts w:eastAsiaTheme="minorEastAsia" w:hint="cs"/>
          <w:rtl/>
          <w:lang w:eastAsia="zh-CN"/>
        </w:rPr>
        <w:t>.</w:t>
      </w:r>
    </w:p>
    <w:p w:rsidR="000E4FF0" w:rsidRPr="000E4FF0" w:rsidRDefault="00F82C45" w:rsidP="007C0032">
      <w:pPr>
        <w:tabs>
          <w:tab w:val="clear" w:pos="1134"/>
          <w:tab w:val="left" w:pos="5670"/>
        </w:tabs>
        <w:spacing w:before="1440"/>
        <w:jc w:val="center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tab/>
      </w:r>
      <w:r w:rsidR="00C118E0">
        <w:rPr>
          <w:rFonts w:eastAsiaTheme="minorEastAsia" w:hint="cs"/>
          <w:rtl/>
          <w:lang w:eastAsia="zh-CN" w:bidi="ar-SY"/>
        </w:rPr>
        <w:t>هولين جاو</w:t>
      </w:r>
      <w:r w:rsidR="00C118E0">
        <w:rPr>
          <w:rFonts w:eastAsiaTheme="minorEastAsia"/>
          <w:rtl/>
          <w:lang w:eastAsia="zh-CN" w:bidi="ar-SY"/>
        </w:rPr>
        <w:br/>
      </w:r>
      <w:r>
        <w:rPr>
          <w:rFonts w:eastAsiaTheme="minorEastAsia"/>
          <w:rtl/>
          <w:lang w:eastAsia="zh-CN" w:bidi="ar-SY"/>
        </w:rPr>
        <w:tab/>
      </w:r>
      <w:r w:rsidR="00C118E0">
        <w:rPr>
          <w:rFonts w:eastAsiaTheme="minorEastAsia" w:hint="cs"/>
          <w:rtl/>
          <w:lang w:eastAsia="zh-CN" w:bidi="ar-SY"/>
        </w:rPr>
        <w:t>الأمين العام</w:t>
      </w:r>
    </w:p>
    <w:p w:rsidR="000E4FF0" w:rsidRDefault="000E4FF0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8B5B5D" w:rsidRDefault="00C118E0" w:rsidP="00C118E0">
      <w:pPr>
        <w:pStyle w:val="Source"/>
        <w:rPr>
          <w:rtl/>
        </w:rPr>
      </w:pPr>
      <w:r>
        <w:rPr>
          <w:rFonts w:hint="cs"/>
          <w:rtl/>
        </w:rPr>
        <w:lastRenderedPageBreak/>
        <w:t>الاتحاد الروسي</w:t>
      </w:r>
    </w:p>
    <w:p w:rsidR="00C118E0" w:rsidRDefault="00C118E0" w:rsidP="006B5685">
      <w:pPr>
        <w:pStyle w:val="Title1"/>
        <w:spacing w:after="24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زيادة كفاءة عمل فريق الخبراء المعني بلوائح الاتصالات الدولية </w:t>
      </w:r>
      <w:r>
        <w:rPr>
          <w:rFonts w:eastAsiaTheme="minorEastAsia"/>
          <w:lang w:eastAsia="zh-CN"/>
        </w:rPr>
        <w:t>(EG</w:t>
      </w:r>
      <w:r>
        <w:rPr>
          <w:rFonts w:eastAsiaTheme="minorEastAsia"/>
          <w:lang w:eastAsia="zh-CN"/>
        </w:rPr>
        <w:noBreakHyphen/>
        <w:t>ITR)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C118E0" w:rsidRPr="000E4FF0" w:rsidTr="007D7338">
        <w:trPr>
          <w:jc w:val="center"/>
        </w:trPr>
        <w:tc>
          <w:tcPr>
            <w:tcW w:w="7230" w:type="dxa"/>
          </w:tcPr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C118E0" w:rsidRPr="000E4FF0" w:rsidRDefault="00C118E0" w:rsidP="00C118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تعرض هذه الوثيقة مقترحات مقدمة من الاتحاد الروسي بهدف </w:t>
            </w:r>
            <w:r w:rsidRPr="00C118E0">
              <w:rPr>
                <w:rFonts w:eastAsiaTheme="minorEastAsia" w:hint="cs"/>
                <w:rtl/>
                <w:lang w:eastAsia="zh-CN"/>
              </w:rPr>
              <w:t>زيادة كفاءة عمل فريق الخبراء المعني بلوائح الاتصالات الدولية </w:t>
            </w:r>
            <w:r w:rsidRPr="00C118E0">
              <w:rPr>
                <w:rFonts w:eastAsiaTheme="minorEastAsia"/>
                <w:lang w:eastAsia="zh-CN" w:bidi="ar-SY"/>
              </w:rPr>
              <w:t>(EG</w:t>
            </w:r>
            <w:r w:rsidRPr="00C118E0">
              <w:rPr>
                <w:rFonts w:eastAsiaTheme="minorEastAsia"/>
                <w:lang w:eastAsia="zh-CN" w:bidi="ar-SY"/>
              </w:rPr>
              <w:noBreakHyphen/>
              <w:t>ITR)</w:t>
            </w:r>
            <w:r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C118E0" w:rsidRPr="000E4FF0" w:rsidRDefault="00C118E0" w:rsidP="000E20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يدعى المجلس إلى دراسة المقترحات المقدمة من الاتحاد الروسي واتخاذ الإجراءات المناسبة </w:t>
            </w:r>
            <w:r w:rsidR="000E20AE">
              <w:rPr>
                <w:rFonts w:eastAsiaTheme="minorEastAsia" w:hint="cs"/>
                <w:rtl/>
                <w:lang w:eastAsia="zh-CN" w:bidi="ar-SY"/>
              </w:rPr>
              <w:t>من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 أجل </w:t>
            </w:r>
            <w:r w:rsidRPr="00C118E0">
              <w:rPr>
                <w:rFonts w:eastAsiaTheme="minorEastAsia" w:hint="cs"/>
                <w:rtl/>
                <w:lang w:eastAsia="zh-CN"/>
              </w:rPr>
              <w:t>زيادة كفاءة عمل فريق الخبراء المعني بلوائح الاتصالات الدولية </w:t>
            </w:r>
            <w:r w:rsidRPr="00C118E0">
              <w:rPr>
                <w:rFonts w:eastAsiaTheme="minorEastAsia"/>
                <w:lang w:eastAsia="zh-CN" w:bidi="ar-SY"/>
              </w:rPr>
              <w:t>(EG</w:t>
            </w:r>
            <w:r w:rsidRPr="00C118E0">
              <w:rPr>
                <w:rFonts w:eastAsiaTheme="minorEastAsia"/>
                <w:lang w:eastAsia="zh-CN" w:bidi="ar-SY"/>
              </w:rPr>
              <w:noBreakHyphen/>
              <w:t>ITR)</w:t>
            </w:r>
            <w:r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C118E0" w:rsidRPr="000E4FF0" w:rsidRDefault="00944D26" w:rsidP="00C118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hyperlink r:id="rId11" w:history="1"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SY"/>
                </w:rPr>
                <w:t>القرار 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146</w:t>
              </w:r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(المراجَع في بوسان، 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2014</w:t>
              </w:r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)</w:t>
              </w:r>
            </w:hyperlink>
            <w:r w:rsidR="00C118E0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</w:t>
            </w:r>
            <w:hyperlink r:id="rId12" w:history="1"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القرار 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1379</w:t>
              </w:r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الصادر عن المجلس</w:t>
              </w:r>
            </w:hyperlink>
            <w:r w:rsidR="00C118E0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</w:t>
            </w:r>
            <w:hyperlink r:id="rId13" w:history="1"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الوثيقة 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C17/26</w:t>
              </w:r>
            </w:hyperlink>
          </w:p>
        </w:tc>
      </w:tr>
    </w:tbl>
    <w:p w:rsidR="000E4FF0" w:rsidRDefault="00C118E0" w:rsidP="009E71B4">
      <w:pPr>
        <w:pStyle w:val="Headingb"/>
        <w:spacing w:before="600"/>
        <w:rPr>
          <w:rFonts w:hint="cs"/>
          <w:rtl/>
        </w:rPr>
      </w:pPr>
      <w:r>
        <w:rPr>
          <w:rFonts w:hint="cs"/>
          <w:rtl/>
        </w:rPr>
        <w:t>مقد</w:t>
      </w:r>
      <w:bookmarkStart w:id="1" w:name="_GoBack"/>
      <w:bookmarkEnd w:id="1"/>
      <w:r>
        <w:rPr>
          <w:rFonts w:hint="cs"/>
          <w:rtl/>
        </w:rPr>
        <w:t>مة</w:t>
      </w:r>
    </w:p>
    <w:p w:rsidR="00C118E0" w:rsidRDefault="00C118E0" w:rsidP="00C118E0">
      <w:pPr>
        <w:rPr>
          <w:rtl/>
          <w:lang w:bidi="ar-EG"/>
        </w:rPr>
      </w:pPr>
      <w:r>
        <w:rPr>
          <w:rFonts w:hint="cs"/>
          <w:rtl/>
          <w:lang w:bidi="ar-EG"/>
        </w:rPr>
        <w:t>اعتمد المجلس في دورته لعام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القرار </w:t>
      </w:r>
      <w:r>
        <w:rPr>
          <w:lang w:bidi="ar-EG"/>
        </w:rPr>
        <w:t>1379</w:t>
      </w:r>
      <w:r w:rsidR="001D0C14">
        <w:rPr>
          <w:rFonts w:hint="cs"/>
          <w:rtl/>
          <w:lang w:bidi="ar-EG"/>
        </w:rPr>
        <w:t xml:space="preserve"> الذي أنش</w:t>
      </w:r>
      <w:r>
        <w:rPr>
          <w:rFonts w:hint="cs"/>
          <w:rtl/>
          <w:lang w:bidi="ar-EG"/>
        </w:rPr>
        <w:t>أ فريق الخبراء المعني بلوائح الاتصالات الدولية </w:t>
      </w:r>
      <w:r>
        <w:rPr>
          <w:lang w:bidi="ar-EG"/>
        </w:rPr>
        <w:t>(EG</w:t>
      </w:r>
      <w:r>
        <w:rPr>
          <w:lang w:bidi="ar-EG"/>
        </w:rPr>
        <w:noBreakHyphen/>
        <w:t>ITR)</w:t>
      </w:r>
      <w:r>
        <w:rPr>
          <w:rFonts w:hint="cs"/>
          <w:rtl/>
          <w:lang w:bidi="ar-EG"/>
        </w:rPr>
        <w:t xml:space="preserve"> وحدد اختصاصاته. ويمكن الاطلاع على الاجتماع الأول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الذي عُقد في فبراير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في الوثيقة </w:t>
      </w:r>
      <w:r>
        <w:rPr>
          <w:lang w:bidi="ar-EG"/>
        </w:rPr>
        <w:t>C17/26</w:t>
      </w:r>
      <w:r>
        <w:rPr>
          <w:rFonts w:hint="cs"/>
          <w:rtl/>
          <w:lang w:bidi="ar-EG"/>
        </w:rPr>
        <w:t>.</w:t>
      </w:r>
    </w:p>
    <w:p w:rsidR="00C118E0" w:rsidRDefault="00C118E0" w:rsidP="001D0C14">
      <w:pPr>
        <w:rPr>
          <w:rtl/>
          <w:lang w:bidi="ar-EG"/>
        </w:rPr>
      </w:pPr>
      <w:r>
        <w:rPr>
          <w:rFonts w:hint="cs"/>
          <w:rtl/>
          <w:lang w:bidi="ar-EG"/>
        </w:rPr>
        <w:t>وشارك الاتحاد الروسي في الاجتماع وحلل التقرير الذي أُعد بعد الاجتماع الأول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وكذلك نص 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وخرج بعدد من المقترحات التي تهدف إلى </w:t>
      </w:r>
      <w:r w:rsidRPr="00C118E0">
        <w:rPr>
          <w:rFonts w:hint="cs"/>
          <w:rtl/>
        </w:rPr>
        <w:t>زيادة كفاءة عمل فريق الخبراء المعني بلوائح الاتصالات الدولية </w:t>
      </w:r>
      <w:r w:rsidRPr="00C118E0">
        <w:rPr>
          <w:lang w:bidi="ar-EG"/>
        </w:rPr>
        <w:t>(EG</w:t>
      </w:r>
      <w:r w:rsidRPr="00C118E0">
        <w:rPr>
          <w:lang w:bidi="ar-EG"/>
        </w:rPr>
        <w:noBreakHyphen/>
        <w:t>ITR)</w:t>
      </w:r>
      <w:r>
        <w:rPr>
          <w:rFonts w:hint="cs"/>
          <w:rtl/>
          <w:lang w:bidi="ar-EG"/>
        </w:rPr>
        <w:t xml:space="preserve"> من أجل المضي بالعمل</w:t>
      </w:r>
      <w:r w:rsidR="001D0C1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قدماً.</w:t>
      </w:r>
    </w:p>
    <w:p w:rsidR="00C118E0" w:rsidRDefault="00C118E0" w:rsidP="00C118E0">
      <w:pPr>
        <w:pStyle w:val="Headingb"/>
        <w:rPr>
          <w:rtl/>
        </w:rPr>
      </w:pPr>
      <w:r>
        <w:rPr>
          <w:rFonts w:hint="cs"/>
          <w:rtl/>
        </w:rPr>
        <w:t>المناقشة</w:t>
      </w:r>
    </w:p>
    <w:p w:rsidR="00C118E0" w:rsidRDefault="00C118E0" w:rsidP="00C118E0">
      <w:pPr>
        <w:rPr>
          <w:rtl/>
          <w:lang w:bidi="ar-EG"/>
        </w:rPr>
      </w:pPr>
      <w:r>
        <w:rPr>
          <w:rFonts w:hint="cs"/>
          <w:rtl/>
        </w:rPr>
        <w:t>لاحظ الاتحاد الروسي أن الوقت المتاح للفريق </w:t>
      </w:r>
      <w:r>
        <w:t>EG</w:t>
      </w:r>
      <w:r>
        <w:noBreakHyphen/>
        <w:t>ITR</w:t>
      </w:r>
      <w:r>
        <w:rPr>
          <w:rFonts w:hint="cs"/>
          <w:rtl/>
          <w:lang w:bidi="ar-EG"/>
        </w:rPr>
        <w:t xml:space="preserve"> لإعداد تقريره النهائي للمجلس في دورته لعام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طبقاً للقرار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الصادر عن المجلس محدود (اجتماعان أو ثلاثة اجتماعات طبقاً لتفسير الفقرتين 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8</w:t>
      </w:r>
      <w:r>
        <w:rPr>
          <w:rFonts w:hint="cs"/>
          <w:rtl/>
          <w:lang w:bidi="ar-EG"/>
        </w:rPr>
        <w:t xml:space="preserve"> من </w:t>
      </w:r>
      <w:r w:rsidRPr="00C118E0">
        <w:rPr>
          <w:rFonts w:hint="cs"/>
          <w:i/>
          <w:iCs/>
          <w:rtl/>
          <w:lang w:bidi="ar-EG"/>
        </w:rPr>
        <w:t>يقرر</w:t>
      </w:r>
      <w:r>
        <w:rPr>
          <w:rFonts w:hint="cs"/>
          <w:rtl/>
          <w:lang w:bidi="ar-EG"/>
        </w:rPr>
        <w:t xml:space="preserve"> بالقرار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للمجلس)</w:t>
      </w:r>
      <w:r w:rsidR="001D0C14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ولم يحدد مجلس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هيكل التقرير النهائي المزمع رفعه إلى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.</w:t>
      </w:r>
    </w:p>
    <w:p w:rsidR="00C118E0" w:rsidRDefault="005D6529" w:rsidP="00892E5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فمن جهة، لا تسمح هذه الظروف </w:t>
      </w:r>
      <w:r w:rsidR="00892E59">
        <w:rPr>
          <w:rFonts w:hint="cs"/>
          <w:rtl/>
          <w:lang w:bidi="ar-EG"/>
        </w:rPr>
        <w:t>للفريق </w:t>
      </w:r>
      <w:r w:rsidR="00892E59">
        <w:rPr>
          <w:lang w:bidi="ar-EG"/>
        </w:rPr>
        <w:t>EG</w:t>
      </w:r>
      <w:r w:rsidR="00892E59">
        <w:rPr>
          <w:lang w:bidi="ar-EG"/>
        </w:rPr>
        <w:noBreakHyphen/>
        <w:t>ITR</w:t>
      </w:r>
      <w:r w:rsidR="00892E59">
        <w:rPr>
          <w:rFonts w:hint="cs"/>
          <w:rtl/>
          <w:lang w:bidi="ar-EG"/>
        </w:rPr>
        <w:t xml:space="preserve"> بالتخطيط الرشيد لأعماله المتعلقة بدراسة القضايا الناشئة وإعداد تقريره النهائي في</w:t>
      </w:r>
      <w:r w:rsidR="00892E59">
        <w:rPr>
          <w:rFonts w:hint="eastAsia"/>
          <w:rtl/>
          <w:lang w:bidi="ar-EG"/>
        </w:rPr>
        <w:t> </w:t>
      </w:r>
      <w:r w:rsidR="00892E59">
        <w:rPr>
          <w:rFonts w:hint="cs"/>
          <w:rtl/>
          <w:lang w:bidi="ar-EG"/>
        </w:rPr>
        <w:t>مجلس </w:t>
      </w:r>
      <w:r w:rsidR="00892E59">
        <w:rPr>
          <w:lang w:bidi="ar-EG"/>
        </w:rPr>
        <w:t>2018</w:t>
      </w:r>
      <w:r w:rsidR="00892E59">
        <w:rPr>
          <w:rFonts w:hint="cs"/>
          <w:rtl/>
          <w:lang w:bidi="ar-EG"/>
        </w:rPr>
        <w:t>، طالما أن العدد المتبقي من الاجتماعات لكي يستكمل أعماله غير معروف، بما في ذلك الوقت المطلوب لإعداد تقريره النهائي لمجلس </w:t>
      </w:r>
      <w:r w:rsidR="00892E59">
        <w:rPr>
          <w:lang w:bidi="ar-EG"/>
        </w:rPr>
        <w:t>2018</w:t>
      </w:r>
      <w:r w:rsidR="00892E59">
        <w:rPr>
          <w:rFonts w:hint="cs"/>
          <w:rtl/>
          <w:lang w:bidi="ar-EG"/>
        </w:rPr>
        <w:t>. ومن جهة أخرى، لا يوجد لدى الدول الأعضاء وأعضاء القطاعات بيان واضح بعدد اجتماعات الفريق </w:t>
      </w:r>
      <w:r w:rsidR="00892E59">
        <w:rPr>
          <w:lang w:bidi="ar-EG"/>
        </w:rPr>
        <w:t>EG</w:t>
      </w:r>
      <w:r w:rsidR="00892E59">
        <w:rPr>
          <w:lang w:bidi="ar-EG"/>
        </w:rPr>
        <w:noBreakHyphen/>
        <w:t>ITR</w:t>
      </w:r>
      <w:r w:rsidR="00892E59">
        <w:rPr>
          <w:rFonts w:hint="cs"/>
          <w:rtl/>
          <w:lang w:bidi="ar-EG"/>
        </w:rPr>
        <w:t xml:space="preserve"> لتحليل الموقف وتقديم مساهمات.</w:t>
      </w:r>
    </w:p>
    <w:p w:rsidR="000E4FF0" w:rsidRDefault="00892E59" w:rsidP="00892E59">
      <w:pPr>
        <w:rPr>
          <w:rtl/>
          <w:lang w:bidi="ar-EG"/>
        </w:rPr>
      </w:pPr>
      <w:r>
        <w:rPr>
          <w:rFonts w:hint="cs"/>
          <w:rtl/>
          <w:lang w:bidi="ar-EG"/>
        </w:rPr>
        <w:t>ويرى الاتحاد الروسي أن قيام مجلس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بتوضيح هذه القضايا سيساعد في </w:t>
      </w:r>
      <w:r w:rsidR="00C118E0" w:rsidRPr="00892E59">
        <w:rPr>
          <w:rFonts w:hint="cs"/>
          <w:rtl/>
        </w:rPr>
        <w:t>زيادة كفاءة عمل فريق الخبراء المعني بلوائح الاتصالات الدولية </w:t>
      </w:r>
      <w:r w:rsidR="00C118E0" w:rsidRPr="00892E59">
        <w:rPr>
          <w:lang w:bidi="ar-EG"/>
        </w:rPr>
        <w:t>(EG</w:t>
      </w:r>
      <w:r w:rsidR="00C118E0" w:rsidRPr="00892E59">
        <w:rPr>
          <w:lang w:bidi="ar-EG"/>
        </w:rPr>
        <w:noBreakHyphen/>
        <w:t>ITR)</w:t>
      </w:r>
      <w:r>
        <w:rPr>
          <w:rFonts w:hint="cs"/>
          <w:rtl/>
          <w:lang w:bidi="ar-EG"/>
        </w:rPr>
        <w:t xml:space="preserve"> امتثالاً للقرار </w:t>
      </w:r>
      <w:r>
        <w:rPr>
          <w:lang w:bidi="ar-EG"/>
        </w:rPr>
        <w:t>1379</w:t>
      </w:r>
      <w:r w:rsidR="001D0C1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للمجلس وفي تحقيق النتائج التي يتوقعها المجلس نفسه. ويمكن توضيح القضايا سالفة الذكر بتعديل 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للمجلس أو بأي وسيلة أخرى طبقاً للوثائق التي تنظم عمل مجلس الاتحاد.</w:t>
      </w:r>
    </w:p>
    <w:p w:rsidR="00892E59" w:rsidRDefault="00892E59" w:rsidP="00892E59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0E4FF0" w:rsidRDefault="00892E59" w:rsidP="00944D26">
      <w:pPr>
        <w:rPr>
          <w:rtl/>
          <w:lang w:bidi="ar-EG"/>
        </w:rPr>
      </w:pPr>
      <w:r>
        <w:rPr>
          <w:rFonts w:hint="cs"/>
          <w:rtl/>
          <w:lang w:bidi="ar-EG"/>
        </w:rPr>
        <w:t>يقترح الاتحاد الروسي أن يوضح مجلس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أن التقرير النهائي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يجب أن يقُدم إلى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وذلك لتمكين الاجتماعات الثلاثة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المزمع عقدها قبل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من استكمال أعمالها. ويقترح الاتحاد الروسي أيضاً، ولضمان استكمال التقرير النهائي المزمع رفعه إلى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في الوقت المحدد، </w:t>
      </w:r>
      <w:r w:rsidR="00966243">
        <w:rPr>
          <w:rFonts w:hint="cs"/>
          <w:rtl/>
          <w:lang w:bidi="ar-EG"/>
        </w:rPr>
        <w:t xml:space="preserve">أنه </w:t>
      </w:r>
      <w:r>
        <w:rPr>
          <w:rFonts w:hint="cs"/>
          <w:rtl/>
          <w:lang w:bidi="ar-EG"/>
        </w:rPr>
        <w:t>ينبغي لمجلس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أن يوصي الدول الأعضاء وأعضاء القطاعات بتقديم مساهمات إلى الاجتماع المقبل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استناداً إلى إدراج ما يلي ضمن التقرير النهائي: القسم </w:t>
      </w:r>
      <w:r>
        <w:rPr>
          <w:lang w:bidi="ar-EG"/>
        </w:rPr>
        <w:t>1</w:t>
      </w:r>
      <w:r w:rsidR="00944D2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- النظر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المستقبل، مع القسمين الفرعيين </w:t>
      </w:r>
      <w:r>
        <w:rPr>
          <w:lang w:bidi="ar-EG"/>
        </w:rPr>
        <w:t>1.1</w:t>
      </w:r>
      <w:r>
        <w:rPr>
          <w:rFonts w:hint="cs"/>
          <w:rtl/>
          <w:lang w:bidi="ar-EG"/>
        </w:rPr>
        <w:t xml:space="preserve"> - أثر اتجاهات الاتصالات/تكنولوجيا المعلومات والاتصالات الجديدة على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، و</w:t>
      </w:r>
      <w:r>
        <w:rPr>
          <w:lang w:bidi="ar-EG"/>
        </w:rPr>
        <w:t>2.1</w:t>
      </w:r>
      <w:r>
        <w:rPr>
          <w:rFonts w:hint="cs"/>
          <w:rtl/>
          <w:lang w:bidi="ar-EG"/>
        </w:rPr>
        <w:t xml:space="preserve"> أحكام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التي قد تحتاج إلى مراجعة في المستقبل؛ والقسم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- إمكانية تطبيق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، مع الأقسام الفرعية </w:t>
      </w:r>
      <w:r>
        <w:rPr>
          <w:lang w:bidi="ar-EG"/>
        </w:rPr>
        <w:t>1.2</w:t>
      </w:r>
      <w:r w:rsidR="00944D2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- تحليل قانوني للوائح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؛ و</w:t>
      </w:r>
      <w:r>
        <w:rPr>
          <w:lang w:bidi="ar-EG"/>
        </w:rPr>
        <w:t>2.2</w:t>
      </w:r>
      <w:r>
        <w:rPr>
          <w:rFonts w:hint="cs"/>
          <w:rtl/>
          <w:lang w:bidi="ar-EG"/>
        </w:rPr>
        <w:t xml:space="preserve"> - إمكانية تطبيق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في بيئة الاتصالات الدولية سريعة التطور؛ و</w:t>
      </w:r>
      <w:r>
        <w:rPr>
          <w:lang w:bidi="ar-EG"/>
        </w:rPr>
        <w:t>3.2</w:t>
      </w:r>
      <w:r>
        <w:rPr>
          <w:rFonts w:hint="cs"/>
          <w:rtl/>
          <w:lang w:bidi="ar-EG"/>
        </w:rPr>
        <w:t xml:space="preserve"> - تحليل إلى نزاعات محتملة بين التزامات الأطراف الموقعة على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والأطراف الموقعة على لوائح الاتصالات الدولية لعام </w:t>
      </w:r>
      <w:r>
        <w:rPr>
          <w:lang w:bidi="ar-EG"/>
        </w:rPr>
        <w:t>1988</w:t>
      </w:r>
      <w:r>
        <w:rPr>
          <w:rFonts w:hint="cs"/>
          <w:rtl/>
          <w:lang w:bidi="ar-EG"/>
        </w:rPr>
        <w:t xml:space="preserve"> فيما يتعلق بتنفيذ أحكام لوائح الاتصالات الدولية لعامي </w:t>
      </w:r>
      <w:r>
        <w:rPr>
          <w:lang w:bidi="ar-EG"/>
        </w:rPr>
        <w:t>1988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.</w:t>
      </w:r>
    </w:p>
    <w:p w:rsidR="00552EED" w:rsidRDefault="005B0410" w:rsidP="00552EE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52EED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67" w:rsidRDefault="00D64867" w:rsidP="00E07379">
      <w:pPr>
        <w:spacing w:before="0" w:line="240" w:lineRule="auto"/>
      </w:pPr>
      <w:r>
        <w:separator/>
      </w:r>
    </w:p>
  </w:endnote>
  <w:endnote w:type="continuationSeparator" w:id="0">
    <w:p w:rsidR="00D64867" w:rsidRDefault="00D6486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118E0" w:rsidRDefault="000E4FF0" w:rsidP="007D1985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C118E0">
      <w:rPr>
        <w:lang w:val="fr-CH"/>
      </w:rPr>
      <w:instrText xml:space="preserve"> FILENAME \p \* MERGEFORMAT </w:instrText>
    </w:r>
    <w:r>
      <w:fldChar w:fldCharType="separate"/>
    </w:r>
    <w:r w:rsidR="00C118E0" w:rsidRPr="00C118E0">
      <w:rPr>
        <w:noProof/>
        <w:lang w:val="fr-CH"/>
      </w:rPr>
      <w:t>P:\ARA\SG\CONSEIL\C17\000\081A.docx</w:t>
    </w:r>
    <w:r>
      <w:rPr>
        <w:noProof/>
      </w:rPr>
      <w:fldChar w:fldCharType="end"/>
    </w:r>
    <w:r w:rsidR="007D1985">
      <w:rPr>
        <w:lang w:val="fr-CH"/>
      </w:rPr>
      <w:t>   </w:t>
    </w:r>
    <w:r w:rsidR="00BD0C50" w:rsidRPr="00C118E0">
      <w:rPr>
        <w:lang w:val="fr-CH"/>
      </w:rPr>
      <w:t>(</w:t>
    </w:r>
    <w:r w:rsidR="00C118E0">
      <w:rPr>
        <w:lang w:val="fr-CH"/>
      </w:rPr>
      <w:t>417454</w:t>
    </w:r>
    <w:r w:rsidR="00BD0C50" w:rsidRPr="00C118E0">
      <w:rPr>
        <w:lang w:val="fr-CH"/>
      </w:rPr>
      <w:t>)</w:t>
    </w:r>
    <w:r w:rsidR="00BD0C50" w:rsidRPr="00C118E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7D1985">
      <w:rPr>
        <w:noProof/>
      </w:rPr>
      <w:t>11.05.17</w:t>
    </w:r>
    <w:r w:rsidR="00BD0C50" w:rsidRPr="00665956">
      <w:fldChar w:fldCharType="end"/>
    </w:r>
    <w:r w:rsidR="00BD0C50" w:rsidRPr="00C118E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D64867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7D1985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7D1985">
      <w:rPr>
        <w:rFonts w:cs="Calibri"/>
        <w:noProof/>
        <w:vanish/>
        <w:lang w:val="fr-FR"/>
      </w:rPr>
      <w:t>P:\ARA\SG\CONSEIL\C17\000\081A.docx</w:t>
    </w:r>
    <w:r w:rsidRPr="00C66157">
      <w:rPr>
        <w:rFonts w:cs="Calibri"/>
        <w:vanish/>
      </w:rPr>
      <w:fldChar w:fldCharType="end"/>
    </w:r>
    <w:r w:rsidR="007D1985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C118E0">
      <w:rPr>
        <w:rFonts w:cs="Calibri"/>
        <w:vanish/>
        <w:lang w:val="fr-FR"/>
      </w:rPr>
      <w:t>417454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7D1985">
      <w:rPr>
        <w:rFonts w:cs="Calibri"/>
        <w:noProof/>
        <w:vanish/>
        <w:lang w:val="fr-FR"/>
      </w:rPr>
      <w:t>11.05.17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7D1985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67" w:rsidRDefault="00D64867" w:rsidP="00E07379">
      <w:pPr>
        <w:spacing w:before="0" w:line="240" w:lineRule="auto"/>
      </w:pPr>
      <w:r>
        <w:separator/>
      </w:r>
    </w:p>
  </w:footnote>
  <w:footnote w:type="continuationSeparator" w:id="0">
    <w:p w:rsidR="00D64867" w:rsidRDefault="00D6486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944D26" w:rsidP="007D1985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C118E0">
          <w:rPr>
            <w:rFonts w:eastAsiaTheme="minorEastAsia" w:cs="Calibri"/>
            <w:noProof/>
            <w:sz w:val="20"/>
            <w:szCs w:val="20"/>
            <w:lang w:eastAsia="zh-CN"/>
          </w:rPr>
          <w:t>81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67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20AE"/>
    <w:rsid w:val="000E4FF0"/>
    <w:rsid w:val="000F0B1C"/>
    <w:rsid w:val="000F1D42"/>
    <w:rsid w:val="000F4D07"/>
    <w:rsid w:val="00102A03"/>
    <w:rsid w:val="001040A3"/>
    <w:rsid w:val="00173915"/>
    <w:rsid w:val="001D0C14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0A99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2EED"/>
    <w:rsid w:val="0055516A"/>
    <w:rsid w:val="0056374C"/>
    <w:rsid w:val="0056614F"/>
    <w:rsid w:val="0057656F"/>
    <w:rsid w:val="00576731"/>
    <w:rsid w:val="0059285F"/>
    <w:rsid w:val="005A24B1"/>
    <w:rsid w:val="005B0410"/>
    <w:rsid w:val="005B7B8A"/>
    <w:rsid w:val="005D6476"/>
    <w:rsid w:val="005D6529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B568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C0032"/>
    <w:rsid w:val="007D198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2E59"/>
    <w:rsid w:val="008A1810"/>
    <w:rsid w:val="008B5B5D"/>
    <w:rsid w:val="00917694"/>
    <w:rsid w:val="009263CD"/>
    <w:rsid w:val="00930E6D"/>
    <w:rsid w:val="00944D26"/>
    <w:rsid w:val="00966243"/>
    <w:rsid w:val="00972CA2"/>
    <w:rsid w:val="00982B28"/>
    <w:rsid w:val="00984EA5"/>
    <w:rsid w:val="00992593"/>
    <w:rsid w:val="009C17E1"/>
    <w:rsid w:val="009C35ED"/>
    <w:rsid w:val="009E71B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118E0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64867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2C45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50B2A5C-C11F-44C6-9468-E0D521E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-C-0026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6-CL-C-0125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25621FAD-3270-44A7-98E6-C280E9D9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49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15</cp:revision>
  <cp:lastPrinted>2016-06-07T13:25:00Z</cp:lastPrinted>
  <dcterms:created xsi:type="dcterms:W3CDTF">2017-05-11T16:43:00Z</dcterms:created>
  <dcterms:modified xsi:type="dcterms:W3CDTF">2017-05-11T18:10:00Z</dcterms:modified>
  <cp:category>Conference document</cp:category>
</cp:coreProperties>
</file>