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Pr>
                <w:rFonts w:eastAsiaTheme="minorEastAsia"/>
                <w:b/>
                <w:bCs/>
                <w:w w:val="110"/>
                <w:sz w:val="32"/>
                <w:szCs w:val="44"/>
                <w:lang w:eastAsia="zh-CN" w:bidi="ar-SY"/>
              </w:rPr>
              <w:t>7</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Pr>
                <w:rFonts w:eastAsiaTheme="minorEastAsia"/>
                <w:b/>
                <w:bCs/>
                <w:sz w:val="24"/>
                <w:szCs w:val="32"/>
                <w:lang w:eastAsia="zh-CN" w:bidi="ar-SY"/>
              </w:rPr>
              <w:t>25-15</w:t>
            </w:r>
            <w:r w:rsidRPr="000E4FF0">
              <w:rPr>
                <w:rFonts w:eastAsiaTheme="minorEastAsia" w:hint="cs"/>
                <w:b/>
                <w:bCs/>
                <w:sz w:val="24"/>
                <w:szCs w:val="32"/>
                <w:rtl/>
                <w:lang w:eastAsia="zh-CN" w:bidi="ar-EG"/>
              </w:rPr>
              <w:t xml:space="preserve"> مايو </w:t>
            </w:r>
            <w:r w:rsidRPr="000E4FF0">
              <w:rPr>
                <w:rFonts w:eastAsiaTheme="minorEastAsia"/>
                <w:b/>
                <w:bCs/>
                <w:sz w:val="24"/>
                <w:szCs w:val="32"/>
                <w:lang w:eastAsia="zh-CN" w:bidi="ar-EG"/>
              </w:rPr>
              <w:t>201</w:t>
            </w:r>
            <w:r>
              <w:rPr>
                <w:rFonts w:eastAsiaTheme="minorEastAsia"/>
                <w:b/>
                <w:bCs/>
                <w:sz w:val="24"/>
                <w:szCs w:val="32"/>
                <w:lang w:eastAsia="zh-CN" w:bidi="ar-EG"/>
              </w:rPr>
              <w:t>7</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1F4ACF" w:rsidRDefault="000E4FF0" w:rsidP="00B108F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1F4ACF">
              <w:rPr>
                <w:rFonts w:eastAsiaTheme="minorEastAsia" w:hint="cs"/>
                <w:b/>
                <w:bCs/>
                <w:rtl/>
                <w:lang w:eastAsia="zh-CN" w:bidi="ar-EG"/>
              </w:rPr>
              <w:t xml:space="preserve">بند جدول الأعمال: </w:t>
            </w:r>
            <w:r w:rsidR="00B108FD">
              <w:rPr>
                <w:rFonts w:eastAsiaTheme="minorEastAsia"/>
                <w:b/>
                <w:bCs/>
                <w:lang w:eastAsia="zh-CN" w:bidi="ar-EG"/>
              </w:rPr>
              <w:t>ADM 1.1</w:t>
            </w:r>
          </w:p>
        </w:tc>
        <w:tc>
          <w:tcPr>
            <w:tcW w:w="3052" w:type="dxa"/>
            <w:vAlign w:val="center"/>
          </w:tcPr>
          <w:p w:rsidR="000E4FF0" w:rsidRPr="000E4FF0" w:rsidRDefault="00FB1214" w:rsidP="00CF018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lang w:eastAsia="zh-CN" w:bidi="ar-SY"/>
              </w:rPr>
            </w:pPr>
            <w:r>
              <w:rPr>
                <w:rFonts w:eastAsiaTheme="minorEastAsia" w:hint="cs"/>
                <w:b/>
                <w:bCs/>
                <w:rtl/>
                <w:lang w:eastAsia="zh-CN" w:bidi="ar-EG"/>
              </w:rPr>
              <w:t xml:space="preserve">المراجعة </w:t>
            </w:r>
            <w:r w:rsidR="00CF0188">
              <w:rPr>
                <w:rFonts w:eastAsiaTheme="minorEastAsia"/>
                <w:b/>
                <w:bCs/>
                <w:lang w:eastAsia="zh-CN" w:bidi="ar-EG"/>
              </w:rPr>
              <w:t>2</w:t>
            </w:r>
            <w:r>
              <w:rPr>
                <w:rFonts w:eastAsiaTheme="minorEastAsia"/>
                <w:b/>
                <w:bCs/>
                <w:rtl/>
                <w:lang w:eastAsia="zh-CN" w:bidi="ar-EG"/>
              </w:rPr>
              <w:br/>
            </w:r>
            <w:r>
              <w:rPr>
                <w:rFonts w:eastAsiaTheme="minorEastAsia" w:hint="cs"/>
                <w:b/>
                <w:bCs/>
                <w:rtl/>
                <w:lang w:eastAsia="zh-CN" w:bidi="ar-EG"/>
              </w:rPr>
              <w:t>ل</w:t>
            </w:r>
            <w:r w:rsidR="000E4FF0" w:rsidRPr="000E4FF0">
              <w:rPr>
                <w:rFonts w:eastAsiaTheme="minorEastAsia" w:hint="cs"/>
                <w:b/>
                <w:bCs/>
                <w:rtl/>
                <w:lang w:eastAsia="zh-CN" w:bidi="ar-EG"/>
              </w:rPr>
              <w:t xml:space="preserve">لوثيقة </w:t>
            </w:r>
            <w:r w:rsidR="000E4FF0" w:rsidRPr="000E4FF0">
              <w:rPr>
                <w:rFonts w:eastAsiaTheme="minorEastAsia"/>
                <w:b/>
                <w:bCs/>
                <w:lang w:eastAsia="zh-CN" w:bidi="ar-SY"/>
              </w:rPr>
              <w:t>C1</w:t>
            </w:r>
            <w:r w:rsidR="000E4FF0">
              <w:rPr>
                <w:rFonts w:eastAsiaTheme="minorEastAsia"/>
                <w:b/>
                <w:bCs/>
                <w:lang w:eastAsia="zh-CN" w:bidi="ar-SY"/>
              </w:rPr>
              <w:t>7</w:t>
            </w:r>
            <w:r w:rsidR="000E4FF0" w:rsidRPr="000E4FF0">
              <w:rPr>
                <w:rFonts w:eastAsiaTheme="minorEastAsia"/>
                <w:b/>
                <w:bCs/>
                <w:lang w:eastAsia="zh-CN" w:bidi="ar-SY"/>
              </w:rPr>
              <w:t>/</w:t>
            </w:r>
            <w:r w:rsidR="00B108FD">
              <w:rPr>
                <w:rFonts w:eastAsiaTheme="minorEastAsia"/>
                <w:b/>
                <w:bCs/>
                <w:lang w:eastAsia="zh-CN" w:bidi="ar-SY"/>
              </w:rPr>
              <w:t>80</w:t>
            </w:r>
            <w:r w:rsidR="000E4FF0" w:rsidRPr="000E4FF0">
              <w:rPr>
                <w:rFonts w:eastAsiaTheme="minorEastAsia"/>
                <w:b/>
                <w:bCs/>
                <w:lang w:eastAsia="zh-CN" w:bidi="ar-SY"/>
              </w:rPr>
              <w:t>-A</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3052" w:type="dxa"/>
            <w:vAlign w:val="center"/>
          </w:tcPr>
          <w:p w:rsidR="000E4FF0" w:rsidRPr="000E4FF0" w:rsidRDefault="00910B68" w:rsidP="00FB121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Pr>
                <w:rFonts w:eastAsiaTheme="minorEastAsia"/>
                <w:b/>
                <w:bCs/>
                <w:lang w:eastAsia="zh-CN" w:bidi="ar-EG"/>
              </w:rPr>
              <w:t>25</w:t>
            </w:r>
            <w:r w:rsidR="000E4FF0" w:rsidRPr="000E4FF0">
              <w:rPr>
                <w:rFonts w:eastAsiaTheme="minorEastAsia" w:hint="cs"/>
                <w:b/>
                <w:bCs/>
                <w:rtl/>
                <w:lang w:eastAsia="zh-CN" w:bidi="ar-EG"/>
              </w:rPr>
              <w:t xml:space="preserve"> </w:t>
            </w:r>
            <w:r w:rsidR="00FB1214">
              <w:rPr>
                <w:rFonts w:eastAsiaTheme="minorEastAsia" w:hint="cs"/>
                <w:b/>
                <w:bCs/>
                <w:rtl/>
                <w:lang w:eastAsia="zh-CN" w:bidi="ar-EG"/>
              </w:rPr>
              <w:t>مايو</w:t>
            </w:r>
            <w:r w:rsidR="000E4FF0" w:rsidRPr="000E4FF0">
              <w:rPr>
                <w:rFonts w:eastAsiaTheme="minorEastAsia" w:hint="cs"/>
                <w:b/>
                <w:bCs/>
                <w:rtl/>
                <w:lang w:eastAsia="zh-CN" w:bidi="ar-EG"/>
              </w:rPr>
              <w:t xml:space="preserve"> </w:t>
            </w:r>
            <w:r w:rsidR="000E4FF0" w:rsidRPr="000E4FF0">
              <w:rPr>
                <w:rFonts w:eastAsiaTheme="minorEastAsia"/>
                <w:b/>
                <w:bCs/>
                <w:lang w:eastAsia="zh-CN" w:bidi="ar-SY"/>
              </w:rPr>
              <w:t>201</w:t>
            </w:r>
            <w:r w:rsidR="000E4FF0">
              <w:rPr>
                <w:rFonts w:eastAsiaTheme="minorEastAsia"/>
                <w:b/>
                <w:bCs/>
                <w:lang w:eastAsia="zh-CN" w:bidi="ar-SY"/>
              </w:rPr>
              <w:t>7</w:t>
            </w:r>
          </w:p>
        </w:tc>
      </w:tr>
      <w:tr w:rsidR="000E4FF0" w:rsidRPr="000E4FF0" w:rsidTr="000E4FF0">
        <w:trPr>
          <w:cantSplit/>
          <w:jc w:val="center"/>
        </w:trPr>
        <w:tc>
          <w:tcPr>
            <w:tcW w:w="6620"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p>
        </w:tc>
        <w:tc>
          <w:tcPr>
            <w:tcW w:w="3052" w:type="dxa"/>
            <w:vAlign w:val="center"/>
          </w:tcPr>
          <w:p w:rsidR="000E4FF0" w:rsidRPr="000E4FF0" w:rsidRDefault="000E4FF0" w:rsidP="00B108F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r w:rsidRPr="000E4FF0">
              <w:rPr>
                <w:rFonts w:eastAsiaTheme="minorEastAsia"/>
                <w:b/>
                <w:bCs/>
                <w:rtl/>
                <w:lang w:eastAsia="zh-CN" w:bidi="ar-EG"/>
              </w:rPr>
              <w:t xml:space="preserve">الأصل: </w:t>
            </w:r>
            <w:r w:rsidR="00B108FD">
              <w:rPr>
                <w:rFonts w:eastAsiaTheme="minorEastAsia" w:hint="cs"/>
                <w:b/>
                <w:bCs/>
                <w:rtl/>
                <w:lang w:eastAsia="zh-CN" w:bidi="ar-EG"/>
              </w:rPr>
              <w:t>بالروسية</w:t>
            </w:r>
          </w:p>
        </w:tc>
      </w:tr>
      <w:tr w:rsidR="000E4FF0" w:rsidRPr="000E4FF0" w:rsidTr="000E4FF0">
        <w:trPr>
          <w:cantSplit/>
          <w:jc w:val="center"/>
        </w:trPr>
        <w:tc>
          <w:tcPr>
            <w:tcW w:w="9672" w:type="dxa"/>
            <w:gridSpan w:val="2"/>
          </w:tcPr>
          <w:p w:rsidR="000E4FF0" w:rsidRPr="000E4FF0" w:rsidRDefault="001F4ACF" w:rsidP="00FA6C0F">
            <w:pPr>
              <w:pStyle w:val="Source"/>
              <w:spacing w:after="0"/>
              <w:rPr>
                <w:rFonts w:eastAsiaTheme="minorEastAsia"/>
                <w:rtl/>
                <w:lang w:eastAsia="zh-CN"/>
              </w:rPr>
            </w:pPr>
            <w:r w:rsidRPr="001F4ACF">
              <w:rPr>
                <w:rFonts w:eastAsiaTheme="minorEastAsia" w:hint="cs"/>
                <w:rtl/>
                <w:lang w:eastAsia="zh-CN" w:bidi="ar-SA"/>
              </w:rPr>
              <w:t>مذكرة من الأمين العام</w:t>
            </w:r>
          </w:p>
        </w:tc>
      </w:tr>
      <w:tr w:rsidR="000E4FF0" w:rsidRPr="000E4FF0" w:rsidTr="000E4FF0">
        <w:trPr>
          <w:cantSplit/>
          <w:jc w:val="center"/>
        </w:trPr>
        <w:tc>
          <w:tcPr>
            <w:tcW w:w="9672" w:type="dxa"/>
            <w:gridSpan w:val="2"/>
          </w:tcPr>
          <w:p w:rsidR="000E4FF0" w:rsidRPr="000E4FF0" w:rsidRDefault="001F4ACF" w:rsidP="00FB1214">
            <w:pPr>
              <w:pStyle w:val="Title1"/>
              <w:rPr>
                <w:rFonts w:eastAsiaTheme="minorEastAsia"/>
                <w:rtl/>
                <w:lang w:eastAsia="zh-CN"/>
              </w:rPr>
            </w:pPr>
            <w:r w:rsidRPr="001F4ACF">
              <w:rPr>
                <w:rFonts w:eastAsiaTheme="minorEastAsia" w:hint="cs"/>
                <w:rtl/>
                <w:lang w:eastAsia="zh-CN" w:bidi="ar-SA"/>
              </w:rPr>
              <w:t xml:space="preserve">مساهمة من </w:t>
            </w:r>
            <w:r w:rsidR="00B108FD">
              <w:rPr>
                <w:rFonts w:eastAsiaTheme="minorEastAsia" w:hint="cs"/>
                <w:rtl/>
                <w:lang w:eastAsia="zh-CN"/>
              </w:rPr>
              <w:t>الاتحاد الروسي</w:t>
            </w:r>
            <w:r w:rsidR="00FB1214">
              <w:rPr>
                <w:rFonts w:eastAsiaTheme="minorEastAsia" w:hint="cs"/>
                <w:rtl/>
                <w:lang w:eastAsia="zh-CN"/>
              </w:rPr>
              <w:t xml:space="preserve"> وجمهورية أرمينيا وجمهورية بيلاروس</w:t>
            </w:r>
            <w:r w:rsidR="00CF0188">
              <w:rPr>
                <w:rFonts w:eastAsiaTheme="minorEastAsia" w:hint="cs"/>
                <w:rtl/>
                <w:lang w:eastAsia="zh-CN"/>
              </w:rPr>
              <w:t xml:space="preserve"> </w:t>
            </w:r>
            <w:r w:rsidR="00CF0188">
              <w:rPr>
                <w:rFonts w:eastAsiaTheme="minorEastAsia"/>
                <w:rtl/>
                <w:lang w:eastAsia="zh-CN"/>
              </w:rPr>
              <w:br/>
            </w:r>
            <w:r w:rsidR="00CF0188">
              <w:rPr>
                <w:rFonts w:eastAsiaTheme="minorEastAsia" w:hint="cs"/>
                <w:rtl/>
                <w:lang w:eastAsia="zh-CN"/>
              </w:rPr>
              <w:t>وجمهورية قيرغيزستان</w:t>
            </w:r>
          </w:p>
        </w:tc>
      </w:tr>
      <w:tr w:rsidR="000E4FF0" w:rsidRPr="000E4FF0" w:rsidTr="000E4FF0">
        <w:trPr>
          <w:cantSplit/>
          <w:jc w:val="center"/>
        </w:trPr>
        <w:tc>
          <w:tcPr>
            <w:tcW w:w="9672" w:type="dxa"/>
            <w:gridSpan w:val="2"/>
          </w:tcPr>
          <w:p w:rsidR="000E4FF0" w:rsidRPr="000E4FF0" w:rsidRDefault="00B108FD" w:rsidP="002E4942">
            <w:pPr>
              <w:pStyle w:val="Title2"/>
              <w:rPr>
                <w:rFonts w:eastAsiaTheme="minorEastAsia"/>
                <w:w w:val="120"/>
                <w:rtl/>
                <w:lang w:eastAsia="zh-CN"/>
              </w:rPr>
            </w:pPr>
            <w:r w:rsidRPr="00B108FD">
              <w:rPr>
                <w:rFonts w:eastAsiaTheme="minorEastAsia" w:hint="cs"/>
                <w:w w:val="120"/>
                <w:rtl/>
                <w:lang w:eastAsia="zh-CN" w:bidi="ar"/>
              </w:rPr>
              <w:t>مقترحات بشأن مشروع ميزانية قطاع الاتصالات الراديوية للفترة</w:t>
            </w:r>
            <w:r>
              <w:rPr>
                <w:rFonts w:eastAsiaTheme="minorEastAsia" w:hint="eastAsia"/>
                <w:w w:val="120"/>
                <w:rtl/>
                <w:lang w:eastAsia="zh-CN" w:bidi="ar"/>
              </w:rPr>
              <w:t> </w:t>
            </w:r>
            <w:r>
              <w:rPr>
                <w:rFonts w:eastAsiaTheme="minorEastAsia"/>
                <w:w w:val="120"/>
                <w:lang w:eastAsia="zh-CN" w:bidi="ar"/>
              </w:rPr>
              <w:t>2019-2018</w:t>
            </w:r>
            <w:r w:rsidRPr="00B108FD">
              <w:rPr>
                <w:rFonts w:eastAsiaTheme="minorEastAsia" w:hint="cs"/>
                <w:w w:val="120"/>
                <w:rtl/>
                <w:lang w:eastAsia="zh-CN" w:bidi="ar"/>
              </w:rPr>
              <w:t>،</w:t>
            </w:r>
            <w:r w:rsidR="002E4942">
              <w:rPr>
                <w:rFonts w:eastAsiaTheme="minorEastAsia"/>
                <w:w w:val="120"/>
                <w:rtl/>
                <w:lang w:eastAsia="zh-CN" w:bidi="ar"/>
              </w:rPr>
              <w:br/>
            </w:r>
            <w:r>
              <w:rPr>
                <w:rFonts w:eastAsiaTheme="minorEastAsia" w:hint="cs"/>
                <w:w w:val="120"/>
                <w:rtl/>
                <w:lang w:eastAsia="zh-CN" w:bidi="ar"/>
              </w:rPr>
              <w:t>أُعدت</w:t>
            </w:r>
            <w:r w:rsidRPr="00B108FD">
              <w:rPr>
                <w:rFonts w:eastAsiaTheme="minorEastAsia" w:hint="cs"/>
                <w:w w:val="120"/>
                <w:rtl/>
                <w:lang w:eastAsia="zh-CN" w:bidi="ar"/>
              </w:rPr>
              <w:t xml:space="preserve"> على أساس تحليل الموارد المالية والبشرية في قطاع الاتصالات الراديوية</w:t>
            </w:r>
            <w:r w:rsidR="002E4942">
              <w:rPr>
                <w:rFonts w:eastAsiaTheme="minorEastAsia"/>
                <w:w w:val="120"/>
                <w:rtl/>
                <w:lang w:eastAsia="zh-CN" w:bidi="ar"/>
              </w:rPr>
              <w:br/>
            </w:r>
            <w:r w:rsidRPr="00B108FD">
              <w:rPr>
                <w:rFonts w:eastAsiaTheme="minorEastAsia" w:hint="cs"/>
                <w:w w:val="120"/>
                <w:rtl/>
                <w:lang w:eastAsia="zh-CN" w:bidi="ar"/>
              </w:rPr>
              <w:t>خلال الفترة</w:t>
            </w:r>
            <w:r>
              <w:rPr>
                <w:rFonts w:eastAsiaTheme="minorEastAsia" w:hint="eastAsia"/>
                <w:w w:val="120"/>
                <w:rtl/>
                <w:lang w:eastAsia="zh-CN" w:bidi="ar"/>
              </w:rPr>
              <w:t> </w:t>
            </w:r>
            <w:r>
              <w:rPr>
                <w:rFonts w:eastAsiaTheme="minorEastAsia"/>
                <w:w w:val="120"/>
                <w:lang w:eastAsia="zh-CN" w:bidi="ar"/>
              </w:rPr>
              <w:t>2017-1996</w:t>
            </w:r>
          </w:p>
        </w:tc>
      </w:tr>
    </w:tbl>
    <w:p w:rsidR="001F4ACF" w:rsidRPr="001F4ACF" w:rsidRDefault="00B108FD" w:rsidP="00204FDB">
      <w:pPr>
        <w:spacing w:before="360"/>
        <w:rPr>
          <w:rtl/>
        </w:rPr>
      </w:pPr>
      <w:r w:rsidRPr="00B108FD">
        <w:rPr>
          <w:rtl/>
        </w:rPr>
        <w:t xml:space="preserve">يشرفني أن أحيل إلى الدول الأعضاء في المجلس </w:t>
      </w:r>
      <w:r w:rsidRPr="00B108FD">
        <w:rPr>
          <w:rFonts w:hint="cs"/>
          <w:rtl/>
        </w:rPr>
        <w:t xml:space="preserve">المساهمة المرفقة التي قدمها </w:t>
      </w:r>
      <w:r w:rsidRPr="00B108FD">
        <w:rPr>
          <w:rFonts w:hint="cs"/>
          <w:b/>
          <w:bCs/>
          <w:rtl/>
        </w:rPr>
        <w:t>الاتحاد الروسي</w:t>
      </w:r>
      <w:r w:rsidR="00FB1214">
        <w:rPr>
          <w:rFonts w:hint="cs"/>
          <w:b/>
          <w:bCs/>
          <w:rtl/>
        </w:rPr>
        <w:t xml:space="preserve"> وجمهورية أرمينيا وجمهورية بيلاروس</w:t>
      </w:r>
      <w:r w:rsidR="00CF0188">
        <w:rPr>
          <w:rFonts w:hint="cs"/>
          <w:b/>
          <w:bCs/>
          <w:rtl/>
        </w:rPr>
        <w:t xml:space="preserve"> </w:t>
      </w:r>
      <w:r w:rsidR="00CF0188" w:rsidRPr="00CF0188">
        <w:rPr>
          <w:rFonts w:eastAsiaTheme="minorEastAsia" w:hint="cs"/>
          <w:b/>
          <w:bCs/>
          <w:rtl/>
          <w:lang w:eastAsia="zh-CN"/>
        </w:rPr>
        <w:t>وجمهورية</w:t>
      </w:r>
      <w:r w:rsidR="00204FDB">
        <w:rPr>
          <w:rFonts w:eastAsiaTheme="minorEastAsia" w:hint="eastAsia"/>
          <w:b/>
          <w:bCs/>
          <w:rtl/>
          <w:lang w:eastAsia="zh-CN"/>
        </w:rPr>
        <w:t> </w:t>
      </w:r>
      <w:r w:rsidR="00CF0188" w:rsidRPr="00CF0188">
        <w:rPr>
          <w:rFonts w:eastAsiaTheme="minorEastAsia" w:hint="cs"/>
          <w:b/>
          <w:bCs/>
          <w:rtl/>
          <w:lang w:eastAsia="zh-CN"/>
        </w:rPr>
        <w:t>قيرغيزستان</w:t>
      </w:r>
      <w:r w:rsidRPr="00B108FD">
        <w:rPr>
          <w:rFonts w:hint="cs"/>
          <w:rtl/>
        </w:rPr>
        <w:t>.</w:t>
      </w:r>
    </w:p>
    <w:p w:rsidR="001F4ACF" w:rsidRPr="001F4ACF" w:rsidRDefault="001F4ACF" w:rsidP="001F4ACF">
      <w:pPr>
        <w:tabs>
          <w:tab w:val="clear" w:pos="1134"/>
        </w:tabs>
        <w:spacing w:before="1440"/>
        <w:ind w:left="6804"/>
        <w:jc w:val="left"/>
        <w:rPr>
          <w:lang w:bidi="ar-EG"/>
        </w:rPr>
      </w:pPr>
      <w:r w:rsidRPr="001F4ACF">
        <w:rPr>
          <w:rFonts w:hint="cs"/>
          <w:rtl/>
        </w:rPr>
        <w:t>هولين جاو</w:t>
      </w:r>
      <w:r w:rsidRPr="001F4ACF">
        <w:rPr>
          <w:rtl/>
        </w:rPr>
        <w:br/>
      </w:r>
      <w:r w:rsidRPr="001F4ACF">
        <w:rPr>
          <w:rFonts w:hint="cs"/>
          <w:rtl/>
        </w:rPr>
        <w:t>الأمين العام</w:t>
      </w:r>
    </w:p>
    <w:p w:rsidR="006157A3" w:rsidRDefault="006157A3" w:rsidP="008B5B5D">
      <w:pPr>
        <w:rPr>
          <w:rtl/>
          <w:lang w:bidi="ar-EG"/>
        </w:rPr>
      </w:pPr>
    </w:p>
    <w:p w:rsidR="000E4FF0" w:rsidRDefault="000E4FF0">
      <w:pPr>
        <w:tabs>
          <w:tab w:val="clear" w:pos="1134"/>
        </w:tabs>
        <w:bidi w:val="0"/>
        <w:spacing w:before="0" w:after="160" w:line="259" w:lineRule="auto"/>
        <w:jc w:val="left"/>
        <w:rPr>
          <w:rtl/>
          <w:lang w:bidi="ar-EG"/>
        </w:rPr>
      </w:pPr>
      <w:r>
        <w:rPr>
          <w:rtl/>
          <w:lang w:bidi="ar-EG"/>
        </w:rPr>
        <w:br w:type="page"/>
      </w:r>
    </w:p>
    <w:p w:rsidR="00FB1C73" w:rsidRPr="00FB1C73" w:rsidRDefault="00B108FD" w:rsidP="00FB1C73">
      <w:pPr>
        <w:pStyle w:val="Source"/>
        <w:rPr>
          <w:rtl/>
        </w:rPr>
      </w:pPr>
      <w:r>
        <w:rPr>
          <w:rFonts w:hint="cs"/>
          <w:rtl/>
        </w:rPr>
        <w:lastRenderedPageBreak/>
        <w:t>الاتحاد الروسي</w:t>
      </w:r>
      <w:r w:rsidR="00FB1214">
        <w:rPr>
          <w:rFonts w:hint="cs"/>
          <w:rtl/>
        </w:rPr>
        <w:t xml:space="preserve"> وجمهورية أرمينيا وجمهورية بيلاروس</w:t>
      </w:r>
      <w:r w:rsidR="00CF0188">
        <w:rPr>
          <w:rFonts w:hint="cs"/>
          <w:rtl/>
        </w:rPr>
        <w:t xml:space="preserve"> </w:t>
      </w:r>
      <w:r w:rsidR="00CF0188">
        <w:rPr>
          <w:rFonts w:eastAsiaTheme="minorEastAsia" w:hint="cs"/>
          <w:rtl/>
          <w:lang w:eastAsia="zh-CN"/>
        </w:rPr>
        <w:t>وجمهورية قيرغيزستان</w:t>
      </w:r>
    </w:p>
    <w:p w:rsidR="00FB1C73" w:rsidRDefault="00B108FD" w:rsidP="00B108FD">
      <w:pPr>
        <w:pStyle w:val="Title1"/>
        <w:rPr>
          <w:rtl/>
          <w:lang w:bidi="ar"/>
        </w:rPr>
      </w:pPr>
      <w:r w:rsidRPr="00B108FD">
        <w:rPr>
          <w:rFonts w:hint="cs"/>
          <w:rtl/>
          <w:lang w:bidi="ar"/>
        </w:rPr>
        <w:t>مقترحات بشأن مشروع ميزانية قطاع الاتصالات الراديوية للفترة</w:t>
      </w:r>
      <w:r>
        <w:rPr>
          <w:rFonts w:hint="eastAsia"/>
          <w:rtl/>
        </w:rPr>
        <w:t> </w:t>
      </w:r>
      <w:r>
        <w:t>2019-2018</w:t>
      </w:r>
      <w:r w:rsidRPr="00B108FD">
        <w:rPr>
          <w:rFonts w:hint="cs"/>
          <w:rtl/>
          <w:lang w:bidi="ar"/>
        </w:rPr>
        <w:t>، أُعدت على أساس تحليل الموارد المالية والبشرية في قطاع الاتصالات الراديوية خلال الفترة</w:t>
      </w:r>
      <w:r>
        <w:rPr>
          <w:rFonts w:hint="eastAsia"/>
          <w:rtl/>
          <w:lang w:bidi="ar"/>
        </w:rPr>
        <w:t> </w:t>
      </w:r>
      <w:r>
        <w:rPr>
          <w:lang w:bidi="ar"/>
        </w:rPr>
        <w:t>2017-1996</w:t>
      </w:r>
    </w:p>
    <w:p w:rsidR="00B108FD" w:rsidRDefault="00B108FD" w:rsidP="00B108FD">
      <w:pPr>
        <w:rPr>
          <w:rtl/>
          <w:lang w:bidi="ar"/>
        </w:rPr>
      </w:pPr>
    </w:p>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30"/>
      </w:tblGrid>
      <w:tr w:rsidR="00B108FD" w:rsidRPr="000E4FF0" w:rsidTr="008C3F36">
        <w:trPr>
          <w:jc w:val="center"/>
        </w:trPr>
        <w:tc>
          <w:tcPr>
            <w:tcW w:w="7230" w:type="dxa"/>
          </w:tcPr>
          <w:p w:rsidR="00B108FD" w:rsidRPr="000E4FF0" w:rsidRDefault="00B108FD" w:rsidP="008C3F3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B108FD" w:rsidRPr="000E4FF0" w:rsidRDefault="00B108FD" w:rsidP="00B108FD">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B108FD">
              <w:rPr>
                <w:rFonts w:eastAsiaTheme="minorEastAsia" w:hint="cs"/>
                <w:rtl/>
                <w:lang w:eastAsia="zh-CN" w:bidi="ar"/>
              </w:rPr>
              <w:t>تعرض هذه الوثيقة مقترحات لتوضيح</w:t>
            </w:r>
            <w:r w:rsidRPr="00B108FD">
              <w:rPr>
                <w:rFonts w:eastAsiaTheme="minorEastAsia" w:hint="cs"/>
                <w:rtl/>
                <w:lang w:eastAsia="zh-CN"/>
              </w:rPr>
              <w:t xml:space="preserve"> </w:t>
            </w:r>
            <w:r w:rsidRPr="00B108FD">
              <w:rPr>
                <w:rFonts w:eastAsiaTheme="minorEastAsia" w:hint="cs"/>
                <w:rtl/>
                <w:lang w:eastAsia="zh-CN" w:bidi="ar"/>
              </w:rPr>
              <w:t>ميزانية</w:t>
            </w:r>
            <w:r w:rsidRPr="00B108FD">
              <w:rPr>
                <w:rFonts w:eastAsiaTheme="minorEastAsia"/>
                <w:rtl/>
                <w:lang w:eastAsia="zh-CN" w:bidi="ar"/>
              </w:rPr>
              <w:t xml:space="preserve"> </w:t>
            </w:r>
            <w:r w:rsidRPr="00B108FD">
              <w:rPr>
                <w:rFonts w:eastAsiaTheme="minorEastAsia" w:hint="cs"/>
                <w:rtl/>
                <w:lang w:eastAsia="zh-CN" w:bidi="ar"/>
              </w:rPr>
              <w:t>قطاع</w:t>
            </w:r>
            <w:r w:rsidRPr="00B108FD">
              <w:rPr>
                <w:rFonts w:eastAsiaTheme="minorEastAsia"/>
                <w:rtl/>
                <w:lang w:eastAsia="zh-CN" w:bidi="ar"/>
              </w:rPr>
              <w:t xml:space="preserve"> </w:t>
            </w:r>
            <w:r w:rsidRPr="00B108FD">
              <w:rPr>
                <w:rFonts w:eastAsiaTheme="minorEastAsia" w:hint="cs"/>
                <w:rtl/>
                <w:lang w:eastAsia="zh-CN" w:bidi="ar"/>
              </w:rPr>
              <w:t>الاتصالات</w:t>
            </w:r>
            <w:r w:rsidRPr="00B108FD">
              <w:rPr>
                <w:rFonts w:eastAsiaTheme="minorEastAsia"/>
                <w:rtl/>
                <w:lang w:eastAsia="zh-CN" w:bidi="ar"/>
              </w:rPr>
              <w:t xml:space="preserve"> </w:t>
            </w:r>
            <w:r w:rsidRPr="00B108FD">
              <w:rPr>
                <w:rFonts w:eastAsiaTheme="minorEastAsia" w:hint="cs"/>
                <w:rtl/>
                <w:lang w:eastAsia="zh-CN" w:bidi="ar"/>
              </w:rPr>
              <w:t>الراديوية</w:t>
            </w:r>
            <w:r w:rsidRPr="00B108FD">
              <w:rPr>
                <w:rFonts w:eastAsiaTheme="minorEastAsia"/>
                <w:rtl/>
                <w:lang w:eastAsia="zh-CN" w:bidi="ar"/>
              </w:rPr>
              <w:t xml:space="preserve"> </w:t>
            </w:r>
            <w:r w:rsidRPr="00B108FD">
              <w:rPr>
                <w:rFonts w:eastAsiaTheme="minorEastAsia" w:hint="cs"/>
                <w:rtl/>
                <w:lang w:eastAsia="zh-CN" w:bidi="ar"/>
              </w:rPr>
              <w:t>للفترة</w:t>
            </w:r>
            <w:r>
              <w:rPr>
                <w:rFonts w:eastAsiaTheme="minorEastAsia" w:hint="eastAsia"/>
                <w:rtl/>
                <w:lang w:eastAsia="zh-CN" w:bidi="ar"/>
              </w:rPr>
              <w:t> </w:t>
            </w:r>
            <w:r>
              <w:rPr>
                <w:rFonts w:eastAsiaTheme="minorEastAsia"/>
                <w:lang w:eastAsia="zh-CN" w:bidi="ar"/>
              </w:rPr>
              <w:t>2019-2018</w:t>
            </w:r>
            <w:r w:rsidRPr="00B108FD">
              <w:rPr>
                <w:rFonts w:eastAsiaTheme="minorEastAsia" w:hint="cs"/>
                <w:rtl/>
                <w:lang w:eastAsia="zh-CN" w:bidi="ar"/>
              </w:rPr>
              <w:t>،</w:t>
            </w:r>
            <w:r w:rsidRPr="00B108FD">
              <w:rPr>
                <w:rFonts w:eastAsiaTheme="minorEastAsia"/>
                <w:rtl/>
                <w:lang w:eastAsia="zh-CN" w:bidi="ar"/>
              </w:rPr>
              <w:t xml:space="preserve"> </w:t>
            </w:r>
            <w:r w:rsidRPr="00B108FD">
              <w:rPr>
                <w:rFonts w:eastAsiaTheme="minorEastAsia" w:hint="cs"/>
                <w:rtl/>
                <w:lang w:eastAsia="zh-CN" w:bidi="ar"/>
              </w:rPr>
              <w:t>أعدت</w:t>
            </w:r>
            <w:r w:rsidRPr="00B108FD">
              <w:rPr>
                <w:rFonts w:eastAsiaTheme="minorEastAsia"/>
                <w:rtl/>
                <w:lang w:eastAsia="zh-CN" w:bidi="ar"/>
              </w:rPr>
              <w:t xml:space="preserve"> </w:t>
            </w:r>
            <w:r w:rsidRPr="00B108FD">
              <w:rPr>
                <w:rFonts w:eastAsiaTheme="minorEastAsia" w:hint="cs"/>
                <w:rtl/>
                <w:lang w:eastAsia="zh-CN" w:bidi="ar"/>
              </w:rPr>
              <w:t>على</w:t>
            </w:r>
            <w:r w:rsidRPr="00B108FD">
              <w:rPr>
                <w:rFonts w:eastAsiaTheme="minorEastAsia"/>
                <w:rtl/>
                <w:lang w:eastAsia="zh-CN" w:bidi="ar"/>
              </w:rPr>
              <w:t xml:space="preserve"> </w:t>
            </w:r>
            <w:r w:rsidRPr="00B108FD">
              <w:rPr>
                <w:rFonts w:eastAsiaTheme="minorEastAsia" w:hint="cs"/>
                <w:rtl/>
                <w:lang w:eastAsia="zh-CN" w:bidi="ar"/>
              </w:rPr>
              <w:t>أساس</w:t>
            </w:r>
            <w:r w:rsidRPr="00B108FD">
              <w:rPr>
                <w:rFonts w:eastAsiaTheme="minorEastAsia"/>
                <w:rtl/>
                <w:lang w:eastAsia="zh-CN" w:bidi="ar"/>
              </w:rPr>
              <w:t xml:space="preserve"> </w:t>
            </w:r>
            <w:r w:rsidRPr="00B108FD">
              <w:rPr>
                <w:rFonts w:eastAsiaTheme="minorEastAsia" w:hint="cs"/>
                <w:rtl/>
                <w:lang w:eastAsia="zh-CN" w:bidi="ar"/>
              </w:rPr>
              <w:t>تحليل</w:t>
            </w:r>
            <w:r w:rsidRPr="00B108FD">
              <w:rPr>
                <w:rFonts w:eastAsiaTheme="minorEastAsia"/>
                <w:rtl/>
                <w:lang w:eastAsia="zh-CN" w:bidi="ar"/>
              </w:rPr>
              <w:t xml:space="preserve"> </w:t>
            </w:r>
            <w:r w:rsidRPr="00B108FD">
              <w:rPr>
                <w:rFonts w:eastAsiaTheme="minorEastAsia" w:hint="cs"/>
                <w:rtl/>
                <w:lang w:eastAsia="zh-CN" w:bidi="ar"/>
              </w:rPr>
              <w:t>الموارد</w:t>
            </w:r>
            <w:r w:rsidRPr="00B108FD">
              <w:rPr>
                <w:rFonts w:eastAsiaTheme="minorEastAsia"/>
                <w:rtl/>
                <w:lang w:eastAsia="zh-CN" w:bidi="ar"/>
              </w:rPr>
              <w:t xml:space="preserve"> </w:t>
            </w:r>
            <w:r w:rsidRPr="00B108FD">
              <w:rPr>
                <w:rFonts w:eastAsiaTheme="minorEastAsia" w:hint="cs"/>
                <w:rtl/>
                <w:lang w:eastAsia="zh-CN" w:bidi="ar"/>
              </w:rPr>
              <w:t>المالية</w:t>
            </w:r>
            <w:r w:rsidRPr="00B108FD">
              <w:rPr>
                <w:rFonts w:eastAsiaTheme="minorEastAsia"/>
                <w:rtl/>
                <w:lang w:eastAsia="zh-CN" w:bidi="ar"/>
              </w:rPr>
              <w:t xml:space="preserve"> </w:t>
            </w:r>
            <w:r w:rsidRPr="00B108FD">
              <w:rPr>
                <w:rFonts w:eastAsiaTheme="minorEastAsia" w:hint="cs"/>
                <w:rtl/>
                <w:lang w:eastAsia="zh-CN" w:bidi="ar"/>
              </w:rPr>
              <w:t>والبشرية</w:t>
            </w:r>
            <w:r w:rsidRPr="00B108FD">
              <w:rPr>
                <w:rFonts w:eastAsiaTheme="minorEastAsia"/>
                <w:rtl/>
                <w:lang w:eastAsia="zh-CN" w:bidi="ar"/>
              </w:rPr>
              <w:t xml:space="preserve"> </w:t>
            </w:r>
            <w:r w:rsidRPr="00B108FD">
              <w:rPr>
                <w:rFonts w:eastAsiaTheme="minorEastAsia" w:hint="cs"/>
                <w:rtl/>
                <w:lang w:eastAsia="zh-CN" w:bidi="ar"/>
              </w:rPr>
              <w:t>في</w:t>
            </w:r>
            <w:r w:rsidRPr="00B108FD">
              <w:rPr>
                <w:rFonts w:eastAsiaTheme="minorEastAsia"/>
                <w:rtl/>
                <w:lang w:eastAsia="zh-CN" w:bidi="ar"/>
              </w:rPr>
              <w:t xml:space="preserve"> </w:t>
            </w:r>
            <w:r w:rsidRPr="00B108FD">
              <w:rPr>
                <w:rFonts w:eastAsiaTheme="minorEastAsia" w:hint="cs"/>
                <w:rtl/>
                <w:lang w:eastAsia="zh-CN" w:bidi="ar"/>
              </w:rPr>
              <w:t>قطاع</w:t>
            </w:r>
            <w:r w:rsidRPr="00B108FD">
              <w:rPr>
                <w:rFonts w:eastAsiaTheme="minorEastAsia"/>
                <w:rtl/>
                <w:lang w:eastAsia="zh-CN" w:bidi="ar"/>
              </w:rPr>
              <w:t xml:space="preserve"> </w:t>
            </w:r>
            <w:r w:rsidRPr="00B108FD">
              <w:rPr>
                <w:rFonts w:eastAsiaTheme="minorEastAsia" w:hint="cs"/>
                <w:rtl/>
                <w:lang w:eastAsia="zh-CN" w:bidi="ar"/>
              </w:rPr>
              <w:t>الاتصالات</w:t>
            </w:r>
            <w:r w:rsidRPr="00B108FD">
              <w:rPr>
                <w:rFonts w:eastAsiaTheme="minorEastAsia"/>
                <w:rtl/>
                <w:lang w:eastAsia="zh-CN" w:bidi="ar"/>
              </w:rPr>
              <w:t xml:space="preserve"> </w:t>
            </w:r>
            <w:r w:rsidRPr="00B108FD">
              <w:rPr>
                <w:rFonts w:eastAsiaTheme="minorEastAsia" w:hint="cs"/>
                <w:rtl/>
                <w:lang w:eastAsia="zh-CN" w:bidi="ar"/>
              </w:rPr>
              <w:t>الراديوية</w:t>
            </w:r>
            <w:r w:rsidRPr="00B108FD">
              <w:rPr>
                <w:rFonts w:eastAsiaTheme="minorEastAsia"/>
                <w:rtl/>
                <w:lang w:eastAsia="zh-CN" w:bidi="ar"/>
              </w:rPr>
              <w:t xml:space="preserve"> </w:t>
            </w:r>
            <w:r w:rsidRPr="00B108FD">
              <w:rPr>
                <w:rFonts w:eastAsiaTheme="minorEastAsia" w:hint="cs"/>
                <w:rtl/>
                <w:lang w:eastAsia="zh-CN" w:bidi="ar"/>
              </w:rPr>
              <w:t>خلال</w:t>
            </w:r>
            <w:r w:rsidRPr="00B108FD">
              <w:rPr>
                <w:rFonts w:eastAsiaTheme="minorEastAsia"/>
                <w:rtl/>
                <w:lang w:eastAsia="zh-CN" w:bidi="ar"/>
              </w:rPr>
              <w:t xml:space="preserve"> </w:t>
            </w:r>
            <w:r w:rsidRPr="00B108FD">
              <w:rPr>
                <w:rFonts w:eastAsiaTheme="minorEastAsia" w:hint="cs"/>
                <w:rtl/>
                <w:lang w:eastAsia="zh-CN" w:bidi="ar"/>
              </w:rPr>
              <w:t>الفترة</w:t>
            </w:r>
            <w:r>
              <w:rPr>
                <w:rFonts w:eastAsiaTheme="minorEastAsia" w:hint="cs"/>
                <w:rtl/>
                <w:lang w:eastAsia="zh-CN" w:bidi="ar"/>
              </w:rPr>
              <w:t> </w:t>
            </w:r>
            <w:r>
              <w:rPr>
                <w:rFonts w:eastAsiaTheme="minorEastAsia"/>
                <w:lang w:eastAsia="zh-CN" w:bidi="ar"/>
              </w:rPr>
              <w:t>2017</w:t>
            </w:r>
            <w:r>
              <w:rPr>
                <w:rFonts w:eastAsiaTheme="minorEastAsia"/>
                <w:lang w:eastAsia="zh-CN" w:bidi="ar"/>
              </w:rPr>
              <w:noBreakHyphen/>
              <w:t>1996</w:t>
            </w:r>
            <w:r>
              <w:rPr>
                <w:rFonts w:eastAsiaTheme="minorEastAsia" w:hint="cs"/>
                <w:rtl/>
                <w:lang w:eastAsia="zh-CN" w:bidi="ar-EG"/>
              </w:rPr>
              <w:t>.</w:t>
            </w:r>
          </w:p>
          <w:p w:rsidR="00B108FD" w:rsidRPr="000E4FF0" w:rsidRDefault="00B108FD" w:rsidP="008C3F3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B108FD" w:rsidRPr="000E4FF0" w:rsidRDefault="00B108FD" w:rsidP="00B108FD">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rPr>
              <w:t xml:space="preserve">يُرجى من </w:t>
            </w:r>
            <w:r w:rsidRPr="00B108FD">
              <w:rPr>
                <w:rFonts w:eastAsiaTheme="minorEastAsia"/>
                <w:rtl/>
                <w:lang w:eastAsia="zh-CN"/>
              </w:rPr>
              <w:t xml:space="preserve">المجلس أن </w:t>
            </w:r>
            <w:r w:rsidRPr="00B108FD">
              <w:rPr>
                <w:rFonts w:eastAsiaTheme="minorEastAsia"/>
                <w:b/>
                <w:bCs/>
                <w:rtl/>
                <w:lang w:eastAsia="zh-CN"/>
              </w:rPr>
              <w:t xml:space="preserve">يأخذ </w:t>
            </w:r>
            <w:r w:rsidRPr="00B108FD">
              <w:rPr>
                <w:rFonts w:eastAsiaTheme="minorEastAsia" w:hint="cs"/>
                <w:b/>
                <w:bCs/>
                <w:rtl/>
                <w:lang w:eastAsia="zh-CN" w:bidi="ar"/>
              </w:rPr>
              <w:t>في الاعتبار المقترحات المقدمة هنا عند النظر في ميزانية الفترة</w:t>
            </w:r>
            <w:r w:rsidRPr="00B108FD">
              <w:rPr>
                <w:rFonts w:eastAsiaTheme="minorEastAsia" w:hint="eastAsia"/>
                <w:b/>
                <w:bCs/>
                <w:rtl/>
                <w:lang w:eastAsia="zh-CN" w:bidi="ar"/>
              </w:rPr>
              <w:t> </w:t>
            </w:r>
            <w:r w:rsidRPr="00B108FD">
              <w:rPr>
                <w:rFonts w:eastAsiaTheme="minorEastAsia"/>
                <w:b/>
                <w:bCs/>
                <w:lang w:eastAsia="zh-CN" w:bidi="ar"/>
              </w:rPr>
              <w:t>2019</w:t>
            </w:r>
            <w:r w:rsidRPr="00B108FD">
              <w:rPr>
                <w:rFonts w:eastAsiaTheme="minorEastAsia"/>
                <w:b/>
                <w:bCs/>
                <w:lang w:eastAsia="zh-CN" w:bidi="ar"/>
              </w:rPr>
              <w:noBreakHyphen/>
              <w:t>2018</w:t>
            </w:r>
            <w:r>
              <w:rPr>
                <w:rFonts w:eastAsiaTheme="minorEastAsia" w:hint="cs"/>
                <w:rtl/>
                <w:lang w:eastAsia="zh-CN" w:bidi="ar-EG"/>
              </w:rPr>
              <w:t>.</w:t>
            </w:r>
          </w:p>
          <w:p w:rsidR="00B108FD" w:rsidRPr="000E4FF0" w:rsidRDefault="00B108FD" w:rsidP="008C3F3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B108FD" w:rsidRPr="000E4FF0" w:rsidRDefault="00B108FD" w:rsidP="008C3F36">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B108FD" w:rsidRPr="000E4FF0" w:rsidRDefault="00B108FD" w:rsidP="002E4942">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r w:rsidRPr="00B108FD">
              <w:rPr>
                <w:rFonts w:eastAsiaTheme="minorEastAsia" w:hint="cs"/>
                <w:i/>
                <w:iCs/>
                <w:rtl/>
                <w:lang w:eastAsia="zh-CN" w:bidi="ar-SY"/>
              </w:rPr>
              <w:t xml:space="preserve">الوثائق </w:t>
            </w:r>
            <w:hyperlink r:id="rId11" w:history="1">
              <w:r w:rsidRPr="00B108FD">
                <w:rPr>
                  <w:rStyle w:val="Hyperlink"/>
                  <w:rFonts w:eastAsiaTheme="minorEastAsia"/>
                  <w:i/>
                  <w:iCs/>
                  <w:lang w:eastAsia="zh-CN" w:bidi="ar-SY"/>
                </w:rPr>
                <w:t>C15/105 (Rev.1)</w:t>
              </w:r>
            </w:hyperlink>
            <w:r w:rsidRPr="00B108FD">
              <w:rPr>
                <w:rFonts w:eastAsiaTheme="minorEastAsia" w:hint="cs"/>
                <w:i/>
                <w:iCs/>
                <w:rtl/>
                <w:lang w:eastAsia="zh-CN" w:bidi="ar-SY"/>
              </w:rPr>
              <w:t xml:space="preserve"> و</w:t>
            </w:r>
            <w:hyperlink r:id="rId12" w:history="1">
              <w:r w:rsidRPr="00B108FD">
                <w:rPr>
                  <w:rStyle w:val="Hyperlink"/>
                  <w:rFonts w:eastAsiaTheme="minorEastAsia"/>
                  <w:i/>
                  <w:iCs/>
                  <w:lang w:eastAsia="zh-CN" w:bidi="ar-SY"/>
                </w:rPr>
                <w:t>CWG-FHR-INF 7/3</w:t>
              </w:r>
            </w:hyperlink>
            <w:r w:rsidRPr="00B108FD">
              <w:rPr>
                <w:rFonts w:eastAsiaTheme="minorEastAsia" w:hint="cs"/>
                <w:i/>
                <w:iCs/>
                <w:rtl/>
                <w:lang w:eastAsia="zh-CN" w:bidi="ar-SY"/>
              </w:rPr>
              <w:t xml:space="preserve"> و</w:t>
            </w:r>
            <w:hyperlink r:id="rId13" w:history="1">
              <w:r w:rsidRPr="00B108FD">
                <w:rPr>
                  <w:rStyle w:val="Hyperlink"/>
                  <w:rFonts w:eastAsiaTheme="minorEastAsia"/>
                  <w:i/>
                  <w:iCs/>
                  <w:lang w:eastAsia="zh-CN" w:bidi="ar-SY"/>
                </w:rPr>
                <w:t>C17/10</w:t>
              </w:r>
            </w:hyperlink>
            <w:r w:rsidRPr="00B108FD">
              <w:rPr>
                <w:rFonts w:eastAsiaTheme="minorEastAsia" w:hint="cs"/>
                <w:i/>
                <w:iCs/>
                <w:rtl/>
                <w:lang w:eastAsia="zh-CN" w:bidi="ar-SY"/>
              </w:rPr>
              <w:t xml:space="preserve"> و</w:t>
            </w:r>
            <w:hyperlink r:id="rId14" w:history="1">
              <w:r w:rsidRPr="00B108FD">
                <w:rPr>
                  <w:rStyle w:val="Hyperlink"/>
                  <w:rFonts w:eastAsiaTheme="minorEastAsia"/>
                  <w:i/>
                  <w:iCs/>
                  <w:lang w:eastAsia="zh-CN" w:bidi="ar-SY"/>
                </w:rPr>
                <w:t>RRB07-3/2</w:t>
              </w:r>
            </w:hyperlink>
            <w:r w:rsidRPr="00B108FD">
              <w:rPr>
                <w:rFonts w:eastAsiaTheme="minorEastAsia" w:hint="cs"/>
                <w:i/>
                <w:iCs/>
                <w:rtl/>
                <w:lang w:eastAsia="zh-CN" w:bidi="ar-SY"/>
              </w:rPr>
              <w:t xml:space="preserve"> و</w:t>
            </w:r>
            <w:hyperlink r:id="rId15" w:history="1">
              <w:r w:rsidRPr="00B108FD">
                <w:rPr>
                  <w:rStyle w:val="Hyperlink"/>
                  <w:rFonts w:eastAsiaTheme="minorEastAsia"/>
                  <w:i/>
                  <w:iCs/>
                  <w:lang w:eastAsia="zh-CN" w:bidi="ar-SY"/>
                </w:rPr>
                <w:t>RRB08-1/1</w:t>
              </w:r>
            </w:hyperlink>
            <w:r w:rsidRPr="00B108FD">
              <w:rPr>
                <w:rFonts w:eastAsiaTheme="minorEastAsia" w:hint="cs"/>
                <w:i/>
                <w:iCs/>
                <w:rtl/>
                <w:lang w:eastAsia="zh-CN" w:bidi="ar-SY"/>
              </w:rPr>
              <w:t xml:space="preserve"> و</w:t>
            </w:r>
            <w:hyperlink r:id="rId16" w:history="1">
              <w:r w:rsidRPr="00B108FD">
                <w:rPr>
                  <w:rStyle w:val="Hyperlink"/>
                  <w:rFonts w:eastAsiaTheme="minorEastAsia"/>
                  <w:i/>
                  <w:iCs/>
                  <w:lang w:eastAsia="zh-CN" w:bidi="ar-SY"/>
                </w:rPr>
                <w:t>RRB09-1/1</w:t>
              </w:r>
            </w:hyperlink>
            <w:r w:rsidRPr="00B108FD">
              <w:rPr>
                <w:rFonts w:eastAsiaTheme="minorEastAsia" w:hint="cs"/>
                <w:i/>
                <w:iCs/>
                <w:rtl/>
                <w:lang w:eastAsia="zh-CN" w:bidi="ar-SY"/>
              </w:rPr>
              <w:t xml:space="preserve"> و</w:t>
            </w:r>
            <w:hyperlink r:id="rId17" w:history="1">
              <w:r w:rsidRPr="00B108FD">
                <w:rPr>
                  <w:rStyle w:val="Hyperlink"/>
                  <w:rFonts w:eastAsiaTheme="minorEastAsia"/>
                  <w:i/>
                  <w:iCs/>
                  <w:lang w:eastAsia="zh-CN" w:bidi="ar-SY"/>
                </w:rPr>
                <w:t>RRB15-3/4</w:t>
              </w:r>
            </w:hyperlink>
            <w:r w:rsidRPr="00B108FD">
              <w:rPr>
                <w:rFonts w:eastAsiaTheme="minorEastAsia" w:hint="cs"/>
                <w:i/>
                <w:iCs/>
                <w:rtl/>
                <w:lang w:eastAsia="zh-CN" w:bidi="ar-SY"/>
              </w:rPr>
              <w:t xml:space="preserve"> و</w:t>
            </w:r>
            <w:hyperlink r:id="rId18" w:history="1">
              <w:r w:rsidRPr="00B108FD">
                <w:rPr>
                  <w:rStyle w:val="Hyperlink"/>
                  <w:rFonts w:eastAsiaTheme="minorEastAsia"/>
                  <w:i/>
                  <w:iCs/>
                  <w:lang w:eastAsia="zh-CN" w:bidi="ar-SY"/>
                </w:rPr>
                <w:t>RRB16-1/5</w:t>
              </w:r>
            </w:hyperlink>
            <w:r w:rsidRPr="00B108FD">
              <w:rPr>
                <w:rFonts w:eastAsiaTheme="minorEastAsia" w:hint="cs"/>
                <w:i/>
                <w:iCs/>
                <w:rtl/>
                <w:lang w:eastAsia="zh-CN" w:bidi="ar-SY"/>
              </w:rPr>
              <w:t xml:space="preserve"> و</w:t>
            </w:r>
            <w:hyperlink r:id="rId19" w:history="1">
              <w:r w:rsidRPr="00B108FD">
                <w:rPr>
                  <w:rStyle w:val="Hyperlink"/>
                  <w:rFonts w:eastAsiaTheme="minorEastAsia"/>
                  <w:i/>
                  <w:iCs/>
                  <w:lang w:eastAsia="zh-CN" w:bidi="ar-SY"/>
                </w:rPr>
                <w:t>RRB17-1/3</w:t>
              </w:r>
            </w:hyperlink>
            <w:r w:rsidRPr="00B108FD">
              <w:rPr>
                <w:rFonts w:eastAsiaTheme="minorEastAsia" w:hint="cs"/>
                <w:i/>
                <w:iCs/>
                <w:u w:val="single"/>
                <w:rtl/>
                <w:lang w:eastAsia="zh-CN"/>
              </w:rPr>
              <w:t xml:space="preserve"> </w:t>
            </w:r>
            <w:r w:rsidRPr="00B108FD">
              <w:rPr>
                <w:rFonts w:eastAsiaTheme="minorEastAsia" w:hint="cs"/>
                <w:i/>
                <w:iCs/>
                <w:rtl/>
                <w:lang w:eastAsia="zh-CN"/>
              </w:rPr>
              <w:t>و</w:t>
            </w:r>
            <w:hyperlink r:id="rId20" w:history="1">
              <w:r w:rsidRPr="00B108FD">
                <w:rPr>
                  <w:rStyle w:val="Hyperlink"/>
                  <w:rFonts w:eastAsiaTheme="minorEastAsia"/>
                  <w:i/>
                  <w:iCs/>
                  <w:lang w:eastAsia="zh-CN" w:bidi="ar-SY"/>
                </w:rPr>
                <w:t>RRB17-1/8</w:t>
              </w:r>
            </w:hyperlink>
            <w:r w:rsidRPr="00B108FD">
              <w:rPr>
                <w:rFonts w:eastAsiaTheme="minorEastAsia" w:hint="cs"/>
                <w:i/>
                <w:iCs/>
                <w:rtl/>
                <w:lang w:eastAsia="zh-CN" w:bidi="ar-SY"/>
              </w:rPr>
              <w:t xml:space="preserve">، والوثائق المدرجة </w:t>
            </w:r>
            <w:r w:rsidRPr="002E4942">
              <w:rPr>
                <w:rFonts w:eastAsiaTheme="minorEastAsia" w:hint="cs"/>
                <w:i/>
                <w:iCs/>
                <w:rtl/>
                <w:lang w:eastAsia="zh-CN" w:bidi="ar-SY"/>
              </w:rPr>
              <w:t>في</w:t>
            </w:r>
            <w:r w:rsidR="002E4942">
              <w:rPr>
                <w:rFonts w:eastAsiaTheme="minorEastAsia" w:hint="eastAsia"/>
                <w:i/>
                <w:iCs/>
                <w:rtl/>
                <w:lang w:eastAsia="zh-CN" w:bidi="ar-SY"/>
              </w:rPr>
              <w:t> </w:t>
            </w:r>
            <w:r w:rsidRPr="002E4942">
              <w:rPr>
                <w:rFonts w:eastAsiaTheme="minorEastAsia" w:hint="cs"/>
                <w:i/>
                <w:iCs/>
                <w:rtl/>
                <w:lang w:eastAsia="zh-CN" w:bidi="ar-SY"/>
              </w:rPr>
              <w:t xml:space="preserve">الجدول </w:t>
            </w:r>
            <w:r w:rsidR="002E4942" w:rsidRPr="002E4942">
              <w:rPr>
                <w:rFonts w:eastAsiaTheme="minorEastAsia"/>
                <w:i/>
                <w:iCs/>
                <w:lang w:eastAsia="zh-CN" w:bidi="ar-SY"/>
              </w:rPr>
              <w:t>3-1</w:t>
            </w:r>
            <w:r w:rsidRPr="002E4942">
              <w:rPr>
                <w:rFonts w:eastAsiaTheme="minorEastAsia" w:hint="cs"/>
                <w:i/>
                <w:iCs/>
                <w:rtl/>
                <w:lang w:eastAsia="zh-CN" w:bidi="ar-SY"/>
              </w:rPr>
              <w:t>.</w:t>
            </w:r>
          </w:p>
        </w:tc>
      </w:tr>
    </w:tbl>
    <w:p w:rsidR="00B108FD" w:rsidRPr="00B108FD" w:rsidRDefault="00B108FD" w:rsidP="00B108FD">
      <w:pPr>
        <w:pStyle w:val="Heading1"/>
        <w:rPr>
          <w:rtl/>
        </w:rPr>
      </w:pPr>
      <w:r w:rsidRPr="00B108FD">
        <w:rPr>
          <w:lang w:bidi="ar"/>
        </w:rPr>
        <w:t>1</w:t>
      </w:r>
      <w:r w:rsidRPr="00B108FD">
        <w:rPr>
          <w:rtl/>
        </w:rPr>
        <w:tab/>
      </w:r>
      <w:r w:rsidRPr="00B108FD">
        <w:rPr>
          <w:rFonts w:hint="cs"/>
          <w:rtl/>
        </w:rPr>
        <w:t>مقدمة</w:t>
      </w:r>
    </w:p>
    <w:p w:rsidR="00B108FD" w:rsidRPr="00B108FD" w:rsidRDefault="00B108FD" w:rsidP="00B108FD">
      <w:pPr>
        <w:spacing w:after="120"/>
        <w:rPr>
          <w:rtl/>
          <w:lang w:bidi="ar"/>
        </w:rPr>
      </w:pPr>
      <w:r w:rsidRPr="00B108FD">
        <w:rPr>
          <w:rFonts w:hint="cs"/>
          <w:rtl/>
          <w:lang w:bidi="ar"/>
        </w:rPr>
        <w:t xml:space="preserve">من بين غايات الاتحاد على النحو المبين في المادة </w:t>
      </w:r>
      <w:r>
        <w:rPr>
          <w:lang w:bidi="ar"/>
        </w:rPr>
        <w:t>1</w:t>
      </w:r>
      <w:r w:rsidRPr="00B108FD">
        <w:rPr>
          <w:rFonts w:hint="cs"/>
          <w:rtl/>
          <w:lang w:bidi="ar"/>
        </w:rPr>
        <w:t xml:space="preserve"> من الدستور، يقوم الاتحاد بصفة خاصة بما يلي:</w:t>
      </w:r>
    </w:p>
    <w:tbl>
      <w:tblPr>
        <w:bidiVisual/>
        <w:tblW w:w="5000" w:type="pct"/>
        <w:tblLayout w:type="fixed"/>
        <w:tblCellMar>
          <w:left w:w="57" w:type="dxa"/>
          <w:right w:w="57" w:type="dxa"/>
        </w:tblCellMar>
        <w:tblLook w:val="0000" w:firstRow="0" w:lastRow="0" w:firstColumn="0" w:lastColumn="0" w:noHBand="0" w:noVBand="0"/>
      </w:tblPr>
      <w:tblGrid>
        <w:gridCol w:w="1966"/>
        <w:gridCol w:w="7673"/>
      </w:tblGrid>
      <w:tr w:rsidR="00B108FD" w:rsidRPr="00B108FD" w:rsidTr="00B108FD">
        <w:tc>
          <w:tcPr>
            <w:tcW w:w="1966" w:type="dxa"/>
            <w:tcBorders>
              <w:top w:val="nil"/>
              <w:left w:val="nil"/>
              <w:bottom w:val="nil"/>
              <w:right w:val="nil"/>
            </w:tcBorders>
            <w:tcMar>
              <w:left w:w="108" w:type="dxa"/>
              <w:right w:w="108" w:type="dxa"/>
            </w:tcMar>
          </w:tcPr>
          <w:p w:rsidR="00B108FD" w:rsidRPr="002E4942" w:rsidRDefault="00B108FD" w:rsidP="00B108FD">
            <w:pPr>
              <w:rPr>
                <w:b/>
                <w:bCs/>
                <w:i/>
                <w:iCs/>
                <w:lang w:val="en-GB" w:bidi="ar"/>
              </w:rPr>
            </w:pPr>
            <w:r w:rsidRPr="002E4942">
              <w:rPr>
                <w:b/>
                <w:bCs/>
                <w:i/>
                <w:iCs/>
                <w:lang w:val="en-GB" w:bidi="ar"/>
              </w:rPr>
              <w:t>11</w:t>
            </w:r>
            <w:r w:rsidRPr="002E4942">
              <w:rPr>
                <w:b/>
                <w:bCs/>
                <w:i/>
                <w:iCs/>
                <w:rtl/>
                <w:lang w:bidi="ar-EG"/>
              </w:rPr>
              <w:br/>
            </w:r>
            <w:r w:rsidRPr="002E4942">
              <w:rPr>
                <w:b/>
                <w:bCs/>
                <w:i/>
                <w:iCs/>
                <w:lang w:val="en-GB" w:bidi="ar"/>
              </w:rPr>
              <w:t>PP-98</w:t>
            </w:r>
          </w:p>
        </w:tc>
        <w:tc>
          <w:tcPr>
            <w:tcW w:w="7673" w:type="dxa"/>
            <w:tcBorders>
              <w:top w:val="nil"/>
              <w:left w:val="nil"/>
              <w:bottom w:val="nil"/>
              <w:right w:val="nil"/>
            </w:tcBorders>
            <w:tcMar>
              <w:left w:w="108" w:type="dxa"/>
              <w:right w:w="108" w:type="dxa"/>
            </w:tcMar>
          </w:tcPr>
          <w:p w:rsidR="00B108FD" w:rsidRPr="00B108FD" w:rsidRDefault="00B108FD" w:rsidP="00B108FD">
            <w:pPr>
              <w:pStyle w:val="enumlev1"/>
              <w:tabs>
                <w:tab w:val="clear" w:pos="1134"/>
                <w:tab w:val="left" w:pos="619"/>
              </w:tabs>
              <w:ind w:left="619" w:hanging="619"/>
              <w:rPr>
                <w:i/>
                <w:iCs/>
                <w:rtl/>
              </w:rPr>
            </w:pPr>
            <w:r w:rsidRPr="00B108FD">
              <w:rPr>
                <w:i/>
                <w:iCs/>
                <w:rtl/>
              </w:rPr>
              <w:t>أ )</w:t>
            </w:r>
            <w:r w:rsidRPr="00B108FD">
              <w:rPr>
                <w:i/>
                <w:iCs/>
                <w:rtl/>
              </w:rPr>
              <w:tab/>
              <w:t>يقوم بتوزيع نطاقات ترددات الطيف الراديوي، وتعيين الترددات الراديوية، وتسجيل الترددات</w:t>
            </w:r>
            <w:r w:rsidRPr="00B108FD">
              <w:rPr>
                <w:rFonts w:hint="cs"/>
                <w:i/>
                <w:iCs/>
                <w:rtl/>
              </w:rPr>
              <w:t xml:space="preserve"> الراديوية</w:t>
            </w:r>
            <w:r w:rsidRPr="00B108FD">
              <w:rPr>
                <w:i/>
                <w:iCs/>
                <w:rtl/>
              </w:rPr>
              <w:t xml:space="preserve"> المخصصة، وعندما يتعلق الأمر بالخدمات الفضائية يسجل كل المواقع المدارية ذات الصلة على مدار السواتل المستقرة بالنسبة إلى الأرض</w:t>
            </w:r>
            <w:r w:rsidRPr="00B108FD">
              <w:rPr>
                <w:rFonts w:hint="cs"/>
                <w:i/>
                <w:iCs/>
                <w:rtl/>
              </w:rPr>
              <w:t>،</w:t>
            </w:r>
            <w:r w:rsidRPr="00B108FD">
              <w:rPr>
                <w:i/>
                <w:iCs/>
                <w:rtl/>
              </w:rPr>
              <w:t xml:space="preserve"> إضافةً إلى الخصائص ذات الصلة والمتعلقة بسواتل في مدارات أخرى، لتفادي التداخلات الضارة بين محطات الاتصالات الراديوية لمختلف البلدان؛</w:t>
            </w:r>
          </w:p>
        </w:tc>
      </w:tr>
      <w:tr w:rsidR="00B108FD" w:rsidRPr="00B108FD" w:rsidTr="00B108FD">
        <w:tc>
          <w:tcPr>
            <w:tcW w:w="1966" w:type="dxa"/>
            <w:tcBorders>
              <w:top w:val="nil"/>
              <w:left w:val="nil"/>
              <w:bottom w:val="nil"/>
              <w:right w:val="nil"/>
            </w:tcBorders>
            <w:tcMar>
              <w:left w:w="108" w:type="dxa"/>
              <w:right w:w="108" w:type="dxa"/>
            </w:tcMar>
          </w:tcPr>
          <w:p w:rsidR="00B108FD" w:rsidRPr="002E4942" w:rsidRDefault="00B108FD" w:rsidP="00B108FD">
            <w:pPr>
              <w:rPr>
                <w:b/>
                <w:bCs/>
                <w:i/>
                <w:iCs/>
                <w:lang w:val="en-GB" w:bidi="ar"/>
              </w:rPr>
            </w:pPr>
            <w:r w:rsidRPr="002E4942">
              <w:rPr>
                <w:b/>
                <w:bCs/>
                <w:i/>
                <w:iCs/>
                <w:lang w:val="en-GB" w:bidi="ar"/>
              </w:rPr>
              <w:t>12</w:t>
            </w:r>
            <w:r w:rsidRPr="002E4942">
              <w:rPr>
                <w:b/>
                <w:bCs/>
                <w:i/>
                <w:iCs/>
                <w:rtl/>
                <w:lang w:bidi="ar-EG"/>
              </w:rPr>
              <w:br/>
            </w:r>
            <w:r w:rsidRPr="002E4942">
              <w:rPr>
                <w:b/>
                <w:bCs/>
                <w:i/>
                <w:iCs/>
                <w:lang w:val="en-GB" w:bidi="ar"/>
              </w:rPr>
              <w:t>PP-98</w:t>
            </w:r>
          </w:p>
        </w:tc>
        <w:tc>
          <w:tcPr>
            <w:tcW w:w="7673" w:type="dxa"/>
            <w:tcBorders>
              <w:top w:val="nil"/>
              <w:left w:val="nil"/>
              <w:bottom w:val="nil"/>
              <w:right w:val="nil"/>
            </w:tcBorders>
            <w:tcMar>
              <w:left w:w="108" w:type="dxa"/>
              <w:right w:w="108" w:type="dxa"/>
            </w:tcMar>
          </w:tcPr>
          <w:p w:rsidR="00B108FD" w:rsidRPr="00B108FD" w:rsidRDefault="00B108FD" w:rsidP="00B108FD">
            <w:pPr>
              <w:pStyle w:val="enumlev1"/>
              <w:tabs>
                <w:tab w:val="clear" w:pos="1134"/>
                <w:tab w:val="left" w:pos="619"/>
              </w:tabs>
              <w:ind w:left="619" w:hanging="619"/>
              <w:rPr>
                <w:i/>
                <w:iCs/>
                <w:rtl/>
              </w:rPr>
            </w:pPr>
            <w:r w:rsidRPr="00B108FD">
              <w:rPr>
                <w:i/>
                <w:iCs/>
                <w:rtl/>
              </w:rPr>
              <w:t>ب)</w:t>
            </w:r>
            <w:r w:rsidRPr="00B108FD">
              <w:rPr>
                <w:i/>
                <w:iCs/>
                <w:rtl/>
              </w:rPr>
              <w:tab/>
              <w:t>ينسق الجهود لإزالة التداخلات الضارة بين محطات الاتصالات الراديوية لمختلف البلدان، ولتحسين استعمال طيف الترددات الراديوية من أجل خدمات الاتصالات الراديوية وتحسين استعمال مدار السواتل المستقرة بالنسبة إلى الأرض والمدارات الساتلية الأخرى؛</w:t>
            </w:r>
          </w:p>
        </w:tc>
      </w:tr>
      <w:tr w:rsidR="00B108FD" w:rsidRPr="00B108FD" w:rsidTr="00B108FD">
        <w:tc>
          <w:tcPr>
            <w:tcW w:w="1966" w:type="dxa"/>
            <w:tcBorders>
              <w:top w:val="nil"/>
              <w:left w:val="nil"/>
              <w:bottom w:val="nil"/>
              <w:right w:val="nil"/>
            </w:tcBorders>
            <w:tcMar>
              <w:left w:w="108" w:type="dxa"/>
              <w:right w:w="108" w:type="dxa"/>
            </w:tcMar>
          </w:tcPr>
          <w:p w:rsidR="00B108FD" w:rsidRPr="002E4942" w:rsidRDefault="00B108FD" w:rsidP="00B108FD">
            <w:pPr>
              <w:rPr>
                <w:b/>
                <w:bCs/>
                <w:i/>
                <w:iCs/>
                <w:lang w:val="en-GB" w:bidi="ar"/>
              </w:rPr>
            </w:pPr>
            <w:r w:rsidRPr="002E4942">
              <w:rPr>
                <w:b/>
                <w:bCs/>
                <w:i/>
                <w:iCs/>
                <w:lang w:val="en-GB" w:bidi="ar"/>
              </w:rPr>
              <w:t>15</w:t>
            </w:r>
          </w:p>
        </w:tc>
        <w:tc>
          <w:tcPr>
            <w:tcW w:w="7673" w:type="dxa"/>
            <w:tcBorders>
              <w:top w:val="nil"/>
              <w:left w:val="nil"/>
              <w:bottom w:val="nil"/>
              <w:right w:val="nil"/>
            </w:tcBorders>
            <w:tcMar>
              <w:left w:w="108" w:type="dxa"/>
              <w:right w:w="108" w:type="dxa"/>
            </w:tcMar>
          </w:tcPr>
          <w:p w:rsidR="00B108FD" w:rsidRPr="00B108FD" w:rsidRDefault="00B108FD" w:rsidP="00B108FD">
            <w:pPr>
              <w:pStyle w:val="enumlev1"/>
              <w:tabs>
                <w:tab w:val="clear" w:pos="1134"/>
                <w:tab w:val="left" w:pos="619"/>
              </w:tabs>
              <w:ind w:left="619" w:hanging="619"/>
              <w:rPr>
                <w:i/>
                <w:iCs/>
                <w:rtl/>
              </w:rPr>
            </w:pPr>
            <w:r w:rsidRPr="00B108FD">
              <w:rPr>
                <w:i/>
                <w:iCs/>
                <w:rtl/>
              </w:rPr>
              <w:t>ﻫ )</w:t>
            </w:r>
            <w:r w:rsidRPr="00B108FD">
              <w:rPr>
                <w:i/>
                <w:iCs/>
                <w:rtl/>
              </w:rPr>
              <w:tab/>
            </w:r>
            <w:r w:rsidRPr="00B108FD">
              <w:rPr>
                <w:rFonts w:hint="cs"/>
                <w:i/>
                <w:iCs/>
                <w:rtl/>
              </w:rPr>
              <w:t>ينسق الجهود لتحقيق الانسجام في تنمية وسائل الاتصالات، لا سيما الوسائل التي تستدعي تقنيات فضائية، حتى تتم الاستفادة الكاملة مما توفره من إمكانيات؛</w:t>
            </w:r>
          </w:p>
        </w:tc>
      </w:tr>
    </w:tbl>
    <w:p w:rsidR="00B108FD" w:rsidRDefault="00B108FD" w:rsidP="00B108FD">
      <w:pPr>
        <w:rPr>
          <w:rtl/>
          <w:lang w:bidi="ar"/>
        </w:rPr>
      </w:pPr>
      <w:r>
        <w:rPr>
          <w:rFonts w:hint="cs"/>
          <w:rtl/>
          <w:lang w:bidi="ar"/>
        </w:rPr>
        <w:t>...</w:t>
      </w:r>
    </w:p>
    <w:p w:rsidR="00B108FD" w:rsidRPr="008C3F36" w:rsidRDefault="00B108FD" w:rsidP="00B108FD">
      <w:pPr>
        <w:rPr>
          <w:spacing w:val="-2"/>
          <w:rtl/>
          <w:lang w:bidi="ar-EG"/>
        </w:rPr>
      </w:pPr>
      <w:r w:rsidRPr="008C3F36">
        <w:rPr>
          <w:rFonts w:hint="cs"/>
          <w:spacing w:val="-2"/>
          <w:rtl/>
          <w:lang w:bidi="ar"/>
        </w:rPr>
        <w:lastRenderedPageBreak/>
        <w:t>ويُسعى لتحقيق هذه الغايات وغيرها</w:t>
      </w:r>
      <w:r w:rsidR="00FA6C0F">
        <w:rPr>
          <w:rFonts w:hint="cs"/>
          <w:spacing w:val="-2"/>
          <w:rtl/>
          <w:lang w:bidi="ar"/>
        </w:rPr>
        <w:t xml:space="preserve"> من الأهداف الأخرى العديدة، ولا</w:t>
      </w:r>
      <w:r w:rsidR="00FA6C0F">
        <w:rPr>
          <w:rFonts w:hint="eastAsia"/>
          <w:spacing w:val="-2"/>
          <w:rtl/>
          <w:lang w:bidi="ar"/>
        </w:rPr>
        <w:t> </w:t>
      </w:r>
      <w:r w:rsidRPr="008C3F36">
        <w:rPr>
          <w:rFonts w:hint="cs"/>
          <w:spacing w:val="-2"/>
          <w:rtl/>
          <w:lang w:bidi="ar"/>
        </w:rPr>
        <w:t xml:space="preserve">سيما وضع معايير الاتصالات الراديوية (توصيات قطاع الاتصالات الراديوية في مصطلحات الاتحاد) في إطار قطاع الاتصالات الراديوية </w:t>
      </w:r>
      <w:r w:rsidRPr="008C3F36">
        <w:rPr>
          <w:spacing w:val="-2"/>
          <w:lang w:bidi="ar"/>
        </w:rPr>
        <w:t>(ITU-R)</w:t>
      </w:r>
      <w:r w:rsidRPr="008C3F36">
        <w:rPr>
          <w:rFonts w:hint="cs"/>
          <w:spacing w:val="-2"/>
          <w:rtl/>
          <w:lang w:bidi="ar"/>
        </w:rPr>
        <w:t xml:space="preserve"> وأمانته، مكتب الاتصالات الراديوية</w:t>
      </w:r>
      <w:r w:rsidRPr="008C3F36">
        <w:rPr>
          <w:rFonts w:hint="eastAsia"/>
          <w:spacing w:val="-2"/>
          <w:rtl/>
          <w:lang w:bidi="ar"/>
        </w:rPr>
        <w:t> </w:t>
      </w:r>
      <w:r w:rsidRPr="008C3F36">
        <w:rPr>
          <w:spacing w:val="-2"/>
          <w:lang w:bidi="ar"/>
        </w:rPr>
        <w:t>(BR)</w:t>
      </w:r>
      <w:r w:rsidRPr="008C3F36">
        <w:rPr>
          <w:rFonts w:hint="cs"/>
          <w:spacing w:val="-2"/>
          <w:rtl/>
          <w:lang w:bidi="ar-EG"/>
        </w:rPr>
        <w:t>.</w:t>
      </w:r>
    </w:p>
    <w:p w:rsidR="00B108FD" w:rsidRPr="002E4942" w:rsidRDefault="00B108FD" w:rsidP="002E4942">
      <w:pPr>
        <w:rPr>
          <w:spacing w:val="-2"/>
          <w:rtl/>
          <w:lang w:bidi="ar-EG"/>
        </w:rPr>
      </w:pPr>
      <w:r w:rsidRPr="002E4942">
        <w:rPr>
          <w:rFonts w:hint="cs"/>
          <w:spacing w:val="-2"/>
          <w:rtl/>
          <w:lang w:bidi="ar"/>
        </w:rPr>
        <w:t>وفي العقود الأخيرة، تركز اهتمام متزايد على الجهود الرامية إلى زيادة كفاءة استخدام الطيف الراديوي والمدار الساتلي. وترد أدلة وافرة على ذلك في عدد المشاركين المتزايد باستمرار في المؤتمرات العالمية للاتصالات الراديوية</w:t>
      </w:r>
      <w:r w:rsidR="002E4942" w:rsidRPr="002E4942">
        <w:rPr>
          <w:rFonts w:hint="cs"/>
          <w:spacing w:val="-2"/>
          <w:rtl/>
          <w:lang w:bidi="ar"/>
        </w:rPr>
        <w:t xml:space="preserve"> </w:t>
      </w:r>
      <w:r w:rsidR="002E4942" w:rsidRPr="002E4942">
        <w:rPr>
          <w:spacing w:val="-2"/>
          <w:lang w:bidi="ar"/>
        </w:rPr>
        <w:t>(WRC)</w:t>
      </w:r>
      <w:r w:rsidR="002E4942" w:rsidRPr="002E4942">
        <w:rPr>
          <w:rFonts w:hint="cs"/>
          <w:spacing w:val="-2"/>
          <w:rtl/>
          <w:lang w:bidi="ar"/>
        </w:rPr>
        <w:t>؛</w:t>
      </w:r>
      <w:r w:rsidRPr="002E4942">
        <w:rPr>
          <w:rFonts w:hint="cs"/>
          <w:spacing w:val="-2"/>
          <w:rtl/>
          <w:lang w:bidi="ar"/>
        </w:rPr>
        <w:t xml:space="preserve"> حيث سُجِّل نحو </w:t>
      </w:r>
      <w:r w:rsidRPr="002E4942">
        <w:rPr>
          <w:spacing w:val="-2"/>
          <w:lang w:bidi="ar"/>
        </w:rPr>
        <w:t>2 000</w:t>
      </w:r>
      <w:r w:rsidRPr="002E4942">
        <w:rPr>
          <w:rFonts w:hint="cs"/>
          <w:spacing w:val="-2"/>
          <w:rtl/>
          <w:lang w:bidi="ar"/>
        </w:rPr>
        <w:t xml:space="preserve"> مشارك في</w:t>
      </w:r>
      <w:r w:rsidRPr="002E4942">
        <w:rPr>
          <w:rFonts w:hint="eastAsia"/>
          <w:spacing w:val="-2"/>
          <w:rtl/>
          <w:lang w:bidi="ar"/>
        </w:rPr>
        <w:t> </w:t>
      </w:r>
      <w:r w:rsidRPr="002E4942">
        <w:rPr>
          <w:rFonts w:hint="cs"/>
          <w:spacing w:val="-2"/>
          <w:rtl/>
          <w:lang w:bidi="ar"/>
        </w:rPr>
        <w:t>المؤتمر</w:t>
      </w:r>
      <w:r w:rsidRPr="002E4942">
        <w:rPr>
          <w:rFonts w:hint="eastAsia"/>
          <w:spacing w:val="-2"/>
          <w:rtl/>
          <w:lang w:bidi="ar"/>
        </w:rPr>
        <w:t> </w:t>
      </w:r>
      <w:r w:rsidRPr="002E4942">
        <w:rPr>
          <w:spacing w:val="-2"/>
          <w:lang w:bidi="ar"/>
        </w:rPr>
        <w:t>WRC</w:t>
      </w:r>
      <w:r w:rsidRPr="002E4942">
        <w:rPr>
          <w:spacing w:val="-2"/>
          <w:lang w:bidi="ar"/>
        </w:rPr>
        <w:noBreakHyphen/>
        <w:t>97</w:t>
      </w:r>
      <w:r w:rsidRPr="002E4942">
        <w:rPr>
          <w:rFonts w:hint="cs"/>
          <w:spacing w:val="-2"/>
          <w:rtl/>
          <w:lang w:bidi="ar"/>
        </w:rPr>
        <w:t xml:space="preserve"> (الذي عُقد في عام </w:t>
      </w:r>
      <w:r w:rsidRPr="002E4942">
        <w:rPr>
          <w:spacing w:val="-2"/>
          <w:lang w:bidi="ar"/>
        </w:rPr>
        <w:t>1997</w:t>
      </w:r>
      <w:r w:rsidRPr="002E4942">
        <w:rPr>
          <w:rFonts w:hint="cs"/>
          <w:spacing w:val="-2"/>
          <w:rtl/>
          <w:lang w:bidi="ar"/>
        </w:rPr>
        <w:t xml:space="preserve">)، زاد عددهم على </w:t>
      </w:r>
      <w:r w:rsidRPr="002E4942">
        <w:rPr>
          <w:spacing w:val="-2"/>
          <w:lang w:bidi="ar"/>
        </w:rPr>
        <w:t>3 300</w:t>
      </w:r>
      <w:r w:rsidRPr="002E4942">
        <w:rPr>
          <w:rFonts w:hint="cs"/>
          <w:spacing w:val="-2"/>
          <w:rtl/>
          <w:lang w:bidi="ar-EG"/>
        </w:rPr>
        <w:t xml:space="preserve"> </w:t>
      </w:r>
      <w:r w:rsidRPr="002E4942">
        <w:rPr>
          <w:rFonts w:hint="cs"/>
          <w:spacing w:val="-2"/>
          <w:rtl/>
          <w:lang w:bidi="ar"/>
        </w:rPr>
        <w:t xml:space="preserve">مشارك في المؤتمر </w:t>
      </w:r>
      <w:r w:rsidRPr="002E4942">
        <w:rPr>
          <w:spacing w:val="-2"/>
          <w:lang w:bidi="ar"/>
        </w:rPr>
        <w:t>WRC-15</w:t>
      </w:r>
      <w:r w:rsidRPr="002E4942">
        <w:rPr>
          <w:rFonts w:hint="cs"/>
          <w:spacing w:val="-2"/>
          <w:rtl/>
          <w:lang w:bidi="ar-EG"/>
        </w:rPr>
        <w:t xml:space="preserve"> </w:t>
      </w:r>
      <w:r w:rsidRPr="002E4942">
        <w:rPr>
          <w:rFonts w:hint="cs"/>
          <w:spacing w:val="-2"/>
          <w:rtl/>
          <w:lang w:bidi="ar"/>
        </w:rPr>
        <w:t>(الذي عُقد في</w:t>
      </w:r>
      <w:r w:rsidRPr="002E4942">
        <w:rPr>
          <w:rFonts w:hint="eastAsia"/>
          <w:spacing w:val="-2"/>
          <w:rtl/>
          <w:lang w:bidi="ar"/>
        </w:rPr>
        <w:t> </w:t>
      </w:r>
      <w:r w:rsidRPr="002E4942">
        <w:rPr>
          <w:rFonts w:hint="cs"/>
          <w:spacing w:val="-2"/>
          <w:rtl/>
          <w:lang w:bidi="ar"/>
        </w:rPr>
        <w:t>عام</w:t>
      </w:r>
      <w:r w:rsidRPr="002E4942">
        <w:rPr>
          <w:rFonts w:hint="eastAsia"/>
          <w:spacing w:val="-2"/>
          <w:rtl/>
          <w:lang w:bidi="ar"/>
        </w:rPr>
        <w:t> </w:t>
      </w:r>
      <w:r w:rsidRPr="002E4942">
        <w:rPr>
          <w:spacing w:val="-2"/>
          <w:lang w:bidi="ar"/>
        </w:rPr>
        <w:t>2015</w:t>
      </w:r>
      <w:r w:rsidRPr="002E4942">
        <w:rPr>
          <w:rFonts w:hint="cs"/>
          <w:spacing w:val="-2"/>
          <w:rtl/>
          <w:lang w:bidi="ar"/>
        </w:rPr>
        <w:t>).</w:t>
      </w:r>
    </w:p>
    <w:p w:rsidR="00B108FD" w:rsidRPr="00B108FD" w:rsidRDefault="00B108FD" w:rsidP="00B108FD">
      <w:pPr>
        <w:rPr>
          <w:rtl/>
          <w:lang w:bidi="ar"/>
        </w:rPr>
      </w:pPr>
      <w:bookmarkStart w:id="1" w:name="lt_pId032"/>
      <w:r w:rsidRPr="00B108FD">
        <w:rPr>
          <w:rFonts w:hint="cs"/>
          <w:rtl/>
          <w:lang w:bidi="ar"/>
        </w:rPr>
        <w:t>وفي الوقت نفسه، نشهد زيادة في أنواع وتعقيد وحجم المهام التي ينجزها موظفو مكتب الاتصالات الراديوية الذي يشكل أساساً الجهاز التنفيذي للنظام الدولي لإدارة الطيف والمدار الساتلي.</w:t>
      </w:r>
    </w:p>
    <w:p w:rsidR="00B108FD" w:rsidRPr="00B108FD" w:rsidRDefault="00B108FD" w:rsidP="00B108FD">
      <w:pPr>
        <w:rPr>
          <w:rtl/>
          <w:lang w:bidi="ar-EG"/>
        </w:rPr>
      </w:pPr>
      <w:bookmarkStart w:id="2" w:name="lt_pId034"/>
      <w:bookmarkEnd w:id="1"/>
      <w:r w:rsidRPr="00B108FD">
        <w:rPr>
          <w:rFonts w:hint="cs"/>
          <w:rtl/>
          <w:lang w:bidi="ar"/>
        </w:rPr>
        <w:t>ويقدم موظفو مكتب الاتصالات الراديوية المؤهلون تأهيلاً عالياً، في سياق عملهم، مساعدة كبيرة ومتنوعة للإدارات ومشغلي الاتصالات، بالإضافة إلى ضمان الامتثال لمتطلبات لوائح الراديو. وشمل ذلك في السنوات الأخيرة مجموعة معقدة من الأنشطة الرامية إلى إصلاح الطريقة التي تستخدم بها الأنظمة التلفزيونية الطيف ومواءمة النطاقات الترددية التي تستخدمها أنظمة الجيل الرابع من الاتصالات المتنقلة للأرض، فضلاً عن تقديم مساعدة الخبراء في العديد من المجالات الأخرى.</w:t>
      </w:r>
    </w:p>
    <w:bookmarkEnd w:id="2"/>
    <w:p w:rsidR="00B108FD" w:rsidRPr="00B108FD" w:rsidRDefault="00B108FD" w:rsidP="00B108FD">
      <w:pPr>
        <w:rPr>
          <w:rtl/>
          <w:lang w:bidi="ar"/>
        </w:rPr>
      </w:pPr>
      <w:r w:rsidRPr="00B108FD">
        <w:rPr>
          <w:rFonts w:hint="cs"/>
          <w:rtl/>
          <w:lang w:bidi="ar"/>
        </w:rPr>
        <w:t>وبالنظر إلى أن قطاع الاتصالات الراديوية ككل، ومكتب الاتصالات الراديوية بوجه خاص، يعملان ضمن قيود الموارد المالية والبشرية المحدودة، من المناسب تقييم تلك الموارد وإعداد مقترحات لاستخدامها الرشيد في المستقبل.</w:t>
      </w:r>
    </w:p>
    <w:p w:rsidR="00B108FD" w:rsidRPr="00B108FD" w:rsidRDefault="00B108FD" w:rsidP="00B108FD">
      <w:pPr>
        <w:pStyle w:val="Heading1"/>
        <w:rPr>
          <w:rtl/>
        </w:rPr>
      </w:pPr>
      <w:r w:rsidRPr="00B108FD">
        <w:t>2</w:t>
      </w:r>
      <w:r w:rsidRPr="00B108FD">
        <w:rPr>
          <w:rtl/>
        </w:rPr>
        <w:tab/>
      </w:r>
      <w:r w:rsidRPr="00B108FD">
        <w:rPr>
          <w:rFonts w:hint="cs"/>
          <w:rtl/>
        </w:rPr>
        <w:t>تحليل الموارد المالية والبشرية لقطاع الاتصالات الراديوية خلال الفترة</w:t>
      </w:r>
      <w:r>
        <w:rPr>
          <w:rFonts w:hint="eastAsia"/>
          <w:rtl/>
        </w:rPr>
        <w:t> </w:t>
      </w:r>
      <w:r>
        <w:t>2017-1996</w:t>
      </w:r>
    </w:p>
    <w:p w:rsidR="00B108FD" w:rsidRPr="00B108FD" w:rsidRDefault="00B108FD" w:rsidP="00B108FD">
      <w:pPr>
        <w:pStyle w:val="Heading2"/>
        <w:rPr>
          <w:rtl/>
        </w:rPr>
      </w:pPr>
      <w:r w:rsidRPr="00B108FD">
        <w:t>1.2</w:t>
      </w:r>
      <w:r w:rsidRPr="00B108FD">
        <w:rPr>
          <w:rtl/>
        </w:rPr>
        <w:tab/>
      </w:r>
      <w:r w:rsidRPr="00B108FD">
        <w:rPr>
          <w:rFonts w:hint="cs"/>
          <w:rtl/>
        </w:rPr>
        <w:t>تحليل الموارد المالية لقطاع الاتصالات الراديوية خلال الفترة</w:t>
      </w:r>
      <w:r>
        <w:rPr>
          <w:rFonts w:hint="eastAsia"/>
          <w:rtl/>
        </w:rPr>
        <w:t> </w:t>
      </w:r>
      <w:r>
        <w:t>2017-1996</w:t>
      </w:r>
      <w:r w:rsidR="002E4942">
        <w:rPr>
          <w:rFonts w:hint="cs"/>
          <w:rtl/>
        </w:rPr>
        <w:t xml:space="preserve"> </w:t>
      </w:r>
      <w:r w:rsidRPr="00B108FD">
        <w:rPr>
          <w:rFonts w:hint="cs"/>
          <w:rtl/>
        </w:rPr>
        <w:t>ومقارنتها بمشروع الميزانية للفترة</w:t>
      </w:r>
      <w:r>
        <w:rPr>
          <w:rFonts w:hint="eastAsia"/>
          <w:rtl/>
        </w:rPr>
        <w:t> </w:t>
      </w:r>
      <w:r>
        <w:t>2019-2018</w:t>
      </w:r>
    </w:p>
    <w:p w:rsidR="00B108FD" w:rsidRPr="00B108FD" w:rsidRDefault="00B108FD" w:rsidP="00B108FD">
      <w:pPr>
        <w:rPr>
          <w:rtl/>
          <w:lang w:bidi="ar-SY"/>
        </w:rPr>
      </w:pPr>
      <w:r w:rsidRPr="00B108FD">
        <w:rPr>
          <w:rFonts w:hint="cs"/>
          <w:rtl/>
          <w:lang w:bidi="ar"/>
        </w:rPr>
        <w:t xml:space="preserve">يتضمن الجدول </w:t>
      </w:r>
      <w:r>
        <w:rPr>
          <w:lang w:bidi="ar"/>
        </w:rPr>
        <w:t>1</w:t>
      </w:r>
      <w:r w:rsidRPr="00B108FD">
        <w:rPr>
          <w:rFonts w:hint="cs"/>
          <w:rtl/>
          <w:lang w:bidi="ar"/>
        </w:rPr>
        <w:t xml:space="preserve"> والشكل </w:t>
      </w:r>
      <w:r>
        <w:rPr>
          <w:lang w:bidi="ar"/>
        </w:rPr>
        <w:t>1</w:t>
      </w:r>
      <w:r w:rsidRPr="00B108FD">
        <w:rPr>
          <w:rFonts w:hint="cs"/>
          <w:rtl/>
          <w:lang w:bidi="ar"/>
        </w:rPr>
        <w:t xml:space="preserve"> بيانات إحصائية تبين تطور ميزانية قطاع الاتصالات الراديوية خلال الفترة</w:t>
      </w:r>
      <w:r>
        <w:rPr>
          <w:rFonts w:hint="eastAsia"/>
          <w:rtl/>
          <w:lang w:bidi="ar-EG"/>
        </w:rPr>
        <w:t> </w:t>
      </w:r>
      <w:r>
        <w:rPr>
          <w:lang w:bidi="ar-EG"/>
        </w:rPr>
        <w:t>2017-1996</w:t>
      </w:r>
      <w:r w:rsidRPr="00B108FD">
        <w:rPr>
          <w:rFonts w:hint="cs"/>
          <w:rtl/>
          <w:lang w:bidi="ar"/>
        </w:rPr>
        <w:t xml:space="preserve"> (اقتُبست البيانات للفترة</w:t>
      </w:r>
      <w:r>
        <w:rPr>
          <w:rFonts w:hint="eastAsia"/>
          <w:rtl/>
          <w:lang w:bidi="ar"/>
        </w:rPr>
        <w:t> </w:t>
      </w:r>
      <w:r>
        <w:rPr>
          <w:lang w:bidi="ar"/>
        </w:rPr>
        <w:t>2019-2010</w:t>
      </w:r>
      <w:r>
        <w:rPr>
          <w:rFonts w:hint="cs"/>
          <w:rtl/>
          <w:lang w:bidi="ar"/>
        </w:rPr>
        <w:t xml:space="preserve"> </w:t>
      </w:r>
      <w:r w:rsidRPr="00B108FD">
        <w:rPr>
          <w:rFonts w:hint="cs"/>
          <w:rtl/>
          <w:lang w:bidi="ar"/>
        </w:rPr>
        <w:t xml:space="preserve">من الوثيقة </w:t>
      </w:r>
      <w:hyperlink r:id="rId21" w:history="1">
        <w:r w:rsidRPr="00B108FD">
          <w:rPr>
            <w:rStyle w:val="Hyperlink"/>
            <w:lang w:bidi="ar"/>
          </w:rPr>
          <w:t>C17/10</w:t>
        </w:r>
      </w:hyperlink>
      <w:r w:rsidRPr="00B108FD">
        <w:rPr>
          <w:rFonts w:hint="cs"/>
          <w:rtl/>
          <w:lang w:bidi="ar"/>
        </w:rPr>
        <w:t>).</w:t>
      </w:r>
    </w:p>
    <w:p w:rsidR="00B108FD" w:rsidRPr="00B108FD" w:rsidRDefault="00B108FD" w:rsidP="00B108FD">
      <w:pPr>
        <w:pStyle w:val="TableNo"/>
        <w:rPr>
          <w:rtl/>
        </w:rPr>
      </w:pPr>
      <w:r w:rsidRPr="00B108FD">
        <w:rPr>
          <w:rFonts w:hint="cs"/>
          <w:rtl/>
          <w:lang w:bidi="ar-SY"/>
        </w:rPr>
        <w:t xml:space="preserve">الجدول </w:t>
      </w:r>
      <w:r w:rsidRPr="00B108FD">
        <w:rPr>
          <w:lang w:bidi="ar"/>
        </w:rPr>
        <w:t>1</w:t>
      </w:r>
    </w:p>
    <w:p w:rsidR="00B108FD" w:rsidRPr="00B108FD" w:rsidRDefault="00B108FD" w:rsidP="00B108FD">
      <w:pPr>
        <w:pStyle w:val="Tabletitle"/>
        <w:rPr>
          <w:rtl/>
        </w:rPr>
      </w:pPr>
      <w:r w:rsidRPr="00B108FD">
        <w:rPr>
          <w:rFonts w:hint="cs"/>
          <w:rtl/>
          <w:lang w:bidi="ar"/>
        </w:rPr>
        <w:t>ميزانية قطاع الاتصالات الراديوية خلال الفترة</w:t>
      </w:r>
      <w:r>
        <w:rPr>
          <w:rFonts w:hint="eastAsia"/>
          <w:rtl/>
          <w:lang w:bidi="ar-EG"/>
        </w:rPr>
        <w:t> </w:t>
      </w:r>
      <w:r>
        <w:rPr>
          <w:lang w:bidi="ar-EG"/>
        </w:rPr>
        <w:t>2017-1996</w:t>
      </w:r>
      <w:r>
        <w:rPr>
          <w:rFonts w:hint="cs"/>
          <w:rtl/>
          <w:lang w:bidi="ar-EG"/>
        </w:rPr>
        <w:t xml:space="preserve"> </w:t>
      </w:r>
      <w:r w:rsidRPr="00B108FD">
        <w:rPr>
          <w:rFonts w:hint="cs"/>
          <w:rtl/>
          <w:lang w:bidi="ar"/>
        </w:rPr>
        <w:t>ومشروع الميزانية للفترة</w:t>
      </w:r>
      <w:r>
        <w:rPr>
          <w:rFonts w:hint="eastAsia"/>
          <w:rtl/>
          <w:lang w:bidi="ar"/>
        </w:rPr>
        <w:t> </w:t>
      </w:r>
      <w:r>
        <w:rPr>
          <w:lang w:bidi="ar"/>
        </w:rPr>
        <w:t>2019-2018</w:t>
      </w:r>
    </w:p>
    <w:tbl>
      <w:tblPr>
        <w:bidiVisual/>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1134"/>
        <w:gridCol w:w="1843"/>
        <w:gridCol w:w="1134"/>
        <w:gridCol w:w="1276"/>
        <w:gridCol w:w="1134"/>
        <w:gridCol w:w="1701"/>
      </w:tblGrid>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head"/>
              <w:rPr>
                <w:lang w:bidi="ar"/>
              </w:rPr>
            </w:pPr>
            <w:r w:rsidRPr="008C3F36">
              <w:rPr>
                <w:rFonts w:hint="cs"/>
                <w:rtl/>
              </w:rPr>
              <w:t>الفترة</w:t>
            </w:r>
          </w:p>
        </w:tc>
        <w:tc>
          <w:tcPr>
            <w:tcW w:w="1276" w:type="dxa"/>
            <w:tcMar>
              <w:left w:w="29" w:type="dxa"/>
              <w:right w:w="29" w:type="dxa"/>
            </w:tcMar>
            <w:vAlign w:val="center"/>
          </w:tcPr>
          <w:p w:rsidR="00B108FD" w:rsidRPr="008C3F36" w:rsidRDefault="00B108FD" w:rsidP="008C3F36">
            <w:pPr>
              <w:pStyle w:val="Tablehead"/>
              <w:rPr>
                <w:lang w:bidi="ar"/>
              </w:rPr>
            </w:pPr>
            <w:r w:rsidRPr="008C3F36">
              <w:rPr>
                <w:rFonts w:hint="cs"/>
                <w:rtl/>
              </w:rPr>
              <w:t>الوثيقة</w:t>
            </w:r>
          </w:p>
        </w:tc>
        <w:tc>
          <w:tcPr>
            <w:tcW w:w="1134" w:type="dxa"/>
            <w:tcMar>
              <w:left w:w="29" w:type="dxa"/>
              <w:right w:w="29" w:type="dxa"/>
            </w:tcMar>
            <w:vAlign w:val="center"/>
          </w:tcPr>
          <w:p w:rsidR="00B108FD" w:rsidRPr="008C3F36" w:rsidRDefault="00B108FD" w:rsidP="008C3F36">
            <w:pPr>
              <w:pStyle w:val="Tablehead"/>
              <w:rPr>
                <w:lang w:bidi="ar"/>
              </w:rPr>
            </w:pPr>
            <w:r w:rsidRPr="008C3F36">
              <w:rPr>
                <w:rFonts w:hint="cs"/>
                <w:rtl/>
              </w:rPr>
              <w:t>الصفحات</w:t>
            </w:r>
          </w:p>
        </w:tc>
        <w:tc>
          <w:tcPr>
            <w:tcW w:w="1843" w:type="dxa"/>
            <w:tcMar>
              <w:left w:w="29" w:type="dxa"/>
              <w:right w:w="29" w:type="dxa"/>
            </w:tcMar>
            <w:vAlign w:val="center"/>
          </w:tcPr>
          <w:p w:rsidR="00B108FD" w:rsidRPr="008C3F36" w:rsidRDefault="00B108FD" w:rsidP="008C3F36">
            <w:pPr>
              <w:pStyle w:val="Tablehead"/>
              <w:rPr>
                <w:lang w:bidi="ar"/>
              </w:rPr>
            </w:pPr>
            <w:r w:rsidRPr="008C3F36">
              <w:rPr>
                <w:rFonts w:hint="cs"/>
                <w:rtl/>
              </w:rPr>
              <w:t>الميزانية (بآلاف الفرنكات السويسرية)</w:t>
            </w:r>
          </w:p>
        </w:tc>
        <w:tc>
          <w:tcPr>
            <w:tcW w:w="1134" w:type="dxa"/>
            <w:tcMar>
              <w:left w:w="29" w:type="dxa"/>
              <w:right w:w="29" w:type="dxa"/>
            </w:tcMar>
            <w:vAlign w:val="center"/>
          </w:tcPr>
          <w:p w:rsidR="00B108FD" w:rsidRPr="008C3F36" w:rsidRDefault="00B108FD" w:rsidP="008C3F36">
            <w:pPr>
              <w:pStyle w:val="Tablehead"/>
              <w:rPr>
                <w:lang w:bidi="ar"/>
              </w:rPr>
            </w:pPr>
            <w:r w:rsidRPr="008C3F36">
              <w:rPr>
                <w:rFonts w:hint="cs"/>
                <w:rtl/>
              </w:rPr>
              <w:t xml:space="preserve">الفترة </w:t>
            </w:r>
            <w:r w:rsidR="006F1083">
              <w:rPr>
                <w:rtl/>
              </w:rPr>
              <w:br/>
            </w:r>
            <w:r w:rsidRPr="008C3F36">
              <w:rPr>
                <w:rFonts w:hint="cs"/>
                <w:rtl/>
              </w:rPr>
              <w:t>(تتمة)</w:t>
            </w:r>
          </w:p>
        </w:tc>
        <w:tc>
          <w:tcPr>
            <w:tcW w:w="1276" w:type="dxa"/>
            <w:tcMar>
              <w:left w:w="29" w:type="dxa"/>
              <w:right w:w="29" w:type="dxa"/>
            </w:tcMar>
            <w:vAlign w:val="center"/>
          </w:tcPr>
          <w:p w:rsidR="00B108FD" w:rsidRPr="008C3F36" w:rsidRDefault="00B108FD" w:rsidP="008C3F36">
            <w:pPr>
              <w:pStyle w:val="Tablehead"/>
              <w:rPr>
                <w:lang w:bidi="ar"/>
              </w:rPr>
            </w:pPr>
            <w:r w:rsidRPr="008C3F36">
              <w:rPr>
                <w:rFonts w:hint="cs"/>
                <w:rtl/>
              </w:rPr>
              <w:t>الوثيقة</w:t>
            </w:r>
          </w:p>
        </w:tc>
        <w:tc>
          <w:tcPr>
            <w:tcW w:w="1134" w:type="dxa"/>
            <w:tcMar>
              <w:left w:w="29" w:type="dxa"/>
              <w:right w:w="29" w:type="dxa"/>
            </w:tcMar>
            <w:vAlign w:val="center"/>
          </w:tcPr>
          <w:p w:rsidR="00B108FD" w:rsidRPr="008C3F36" w:rsidRDefault="00B108FD" w:rsidP="008C3F36">
            <w:pPr>
              <w:pStyle w:val="Tablehead"/>
              <w:rPr>
                <w:lang w:bidi="ar"/>
              </w:rPr>
            </w:pPr>
            <w:r w:rsidRPr="008C3F36">
              <w:rPr>
                <w:rFonts w:hint="cs"/>
                <w:rtl/>
              </w:rPr>
              <w:t>الصفحات</w:t>
            </w:r>
          </w:p>
        </w:tc>
        <w:tc>
          <w:tcPr>
            <w:tcW w:w="1701" w:type="dxa"/>
            <w:tcMar>
              <w:left w:w="29" w:type="dxa"/>
              <w:right w:w="29" w:type="dxa"/>
            </w:tcMar>
            <w:vAlign w:val="center"/>
          </w:tcPr>
          <w:p w:rsidR="00B108FD" w:rsidRPr="008C3F36" w:rsidRDefault="00B108FD" w:rsidP="008C3F36">
            <w:pPr>
              <w:pStyle w:val="Tablehead"/>
              <w:rPr>
                <w:lang w:bidi="ar"/>
              </w:rPr>
            </w:pPr>
            <w:r w:rsidRPr="008C3F36">
              <w:rPr>
                <w:rFonts w:hint="cs"/>
                <w:rtl/>
              </w:rPr>
              <w:t>الميزانية (بآلاف الفرنكات السويسرية)</w:t>
            </w:r>
          </w:p>
        </w:tc>
      </w:tr>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text"/>
            </w:pPr>
            <w:r w:rsidRPr="008C3F36">
              <w:t>1997-1996</w:t>
            </w:r>
          </w:p>
        </w:tc>
        <w:tc>
          <w:tcPr>
            <w:tcW w:w="1276" w:type="dxa"/>
            <w:tcMar>
              <w:left w:w="29" w:type="dxa"/>
              <w:right w:w="29" w:type="dxa"/>
            </w:tcMar>
            <w:vAlign w:val="center"/>
          </w:tcPr>
          <w:p w:rsidR="00B108FD" w:rsidRPr="008C3F36" w:rsidRDefault="00006031" w:rsidP="008C3F36">
            <w:pPr>
              <w:pStyle w:val="Tabletext"/>
            </w:pPr>
            <w:hyperlink r:id="rId22" w:history="1">
              <w:bookmarkStart w:id="3" w:name="lt_pId055"/>
              <w:r w:rsidR="00B108FD" w:rsidRPr="008C3F36">
                <w:rPr>
                  <w:rStyle w:val="Hyperlink"/>
                  <w:sz w:val="20"/>
                  <w:szCs w:val="26"/>
                  <w:lang w:val="en-US" w:bidi="ar"/>
                </w:rPr>
                <w:t>C2000/11</w:t>
              </w:r>
              <w:bookmarkEnd w:id="3"/>
            </w:hyperlink>
          </w:p>
        </w:tc>
        <w:tc>
          <w:tcPr>
            <w:tcW w:w="1134" w:type="dxa"/>
            <w:tcMar>
              <w:left w:w="29" w:type="dxa"/>
              <w:right w:w="29" w:type="dxa"/>
            </w:tcMar>
            <w:vAlign w:val="center"/>
          </w:tcPr>
          <w:p w:rsidR="00B108FD" w:rsidRPr="008C3F36" w:rsidRDefault="00B108FD" w:rsidP="008C3F36">
            <w:pPr>
              <w:pStyle w:val="Tabletext"/>
            </w:pPr>
            <w:r w:rsidRPr="008C3F36">
              <w:t>23-20</w:t>
            </w:r>
          </w:p>
        </w:tc>
        <w:tc>
          <w:tcPr>
            <w:tcW w:w="1843" w:type="dxa"/>
            <w:tcMar>
              <w:left w:w="29" w:type="dxa"/>
              <w:right w:w="29" w:type="dxa"/>
            </w:tcMar>
            <w:vAlign w:val="center"/>
          </w:tcPr>
          <w:p w:rsidR="00B108FD" w:rsidRPr="008C3F36" w:rsidRDefault="00B108FD" w:rsidP="008C3F36">
            <w:pPr>
              <w:pStyle w:val="Tabletext"/>
            </w:pPr>
            <w:r w:rsidRPr="008C3F36">
              <w:t>62 196</w:t>
            </w:r>
          </w:p>
        </w:tc>
        <w:tc>
          <w:tcPr>
            <w:tcW w:w="1134" w:type="dxa"/>
            <w:tcMar>
              <w:left w:w="29" w:type="dxa"/>
              <w:right w:w="29" w:type="dxa"/>
            </w:tcMar>
            <w:vAlign w:val="center"/>
          </w:tcPr>
          <w:p w:rsidR="00B108FD" w:rsidRPr="008C3F36" w:rsidRDefault="00B108FD" w:rsidP="008C3F36">
            <w:pPr>
              <w:pStyle w:val="Tabletext"/>
            </w:pPr>
            <w:r w:rsidRPr="008C3F36">
              <w:t>2009-2008</w:t>
            </w:r>
          </w:p>
        </w:tc>
        <w:tc>
          <w:tcPr>
            <w:tcW w:w="1276" w:type="dxa"/>
            <w:tcMar>
              <w:left w:w="29" w:type="dxa"/>
              <w:right w:w="29" w:type="dxa"/>
            </w:tcMar>
            <w:vAlign w:val="center"/>
          </w:tcPr>
          <w:p w:rsidR="00B108FD" w:rsidRPr="008C3F36" w:rsidRDefault="00006031" w:rsidP="008C3F36">
            <w:pPr>
              <w:pStyle w:val="Tabletext"/>
            </w:pPr>
            <w:hyperlink r:id="rId23" w:history="1">
              <w:bookmarkStart w:id="4" w:name="lt_pId059"/>
              <w:r w:rsidR="00B108FD" w:rsidRPr="008C3F36">
                <w:rPr>
                  <w:rStyle w:val="Hyperlink"/>
                  <w:sz w:val="20"/>
                  <w:szCs w:val="26"/>
                  <w:lang w:val="en-US" w:bidi="ar"/>
                </w:rPr>
                <w:t>C10/31(Rev.1)</w:t>
              </w:r>
              <w:bookmarkEnd w:id="4"/>
            </w:hyperlink>
          </w:p>
        </w:tc>
        <w:tc>
          <w:tcPr>
            <w:tcW w:w="1134" w:type="dxa"/>
            <w:tcMar>
              <w:left w:w="29" w:type="dxa"/>
              <w:right w:w="29" w:type="dxa"/>
            </w:tcMar>
            <w:vAlign w:val="center"/>
          </w:tcPr>
          <w:p w:rsidR="00B108FD" w:rsidRPr="008C3F36" w:rsidRDefault="00B108FD" w:rsidP="008C3F36">
            <w:pPr>
              <w:pStyle w:val="Tabletext"/>
            </w:pPr>
            <w:r w:rsidRPr="008C3F36">
              <w:t>10</w:t>
            </w:r>
            <w:r w:rsidRPr="008C3F36">
              <w:rPr>
                <w:rFonts w:hint="cs"/>
                <w:rtl/>
                <w:lang w:bidi="ar-SA"/>
              </w:rPr>
              <w:t xml:space="preserve">، </w:t>
            </w:r>
            <w:r w:rsidRPr="008C3F36">
              <w:t>25-18</w:t>
            </w:r>
          </w:p>
        </w:tc>
        <w:tc>
          <w:tcPr>
            <w:tcW w:w="1701" w:type="dxa"/>
            <w:tcMar>
              <w:left w:w="29" w:type="dxa"/>
              <w:right w:w="29" w:type="dxa"/>
            </w:tcMar>
            <w:vAlign w:val="center"/>
          </w:tcPr>
          <w:p w:rsidR="00B108FD" w:rsidRPr="008C3F36" w:rsidRDefault="00B108FD" w:rsidP="008C3F36">
            <w:pPr>
              <w:pStyle w:val="Tabletext"/>
            </w:pPr>
            <w:r w:rsidRPr="008C3F36">
              <w:t>66 728</w:t>
            </w:r>
          </w:p>
        </w:tc>
      </w:tr>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text"/>
            </w:pPr>
            <w:r w:rsidRPr="008C3F36">
              <w:t>1999-1998</w:t>
            </w:r>
          </w:p>
        </w:tc>
        <w:tc>
          <w:tcPr>
            <w:tcW w:w="1276" w:type="dxa"/>
            <w:tcMar>
              <w:left w:w="29" w:type="dxa"/>
              <w:right w:w="29" w:type="dxa"/>
            </w:tcMar>
            <w:vAlign w:val="center"/>
          </w:tcPr>
          <w:p w:rsidR="00B108FD" w:rsidRPr="008C3F36" w:rsidRDefault="00006031" w:rsidP="008C3F36">
            <w:pPr>
              <w:pStyle w:val="Tabletext"/>
            </w:pPr>
            <w:hyperlink r:id="rId24" w:history="1">
              <w:bookmarkStart w:id="5" w:name="lt_pId063"/>
              <w:r w:rsidR="00B108FD" w:rsidRPr="008C3F36">
                <w:rPr>
                  <w:rStyle w:val="Hyperlink"/>
                  <w:sz w:val="20"/>
                  <w:szCs w:val="26"/>
                  <w:lang w:val="en-US" w:bidi="ar"/>
                </w:rPr>
                <w:t>C2000/11</w:t>
              </w:r>
              <w:bookmarkEnd w:id="5"/>
            </w:hyperlink>
          </w:p>
        </w:tc>
        <w:tc>
          <w:tcPr>
            <w:tcW w:w="1134" w:type="dxa"/>
            <w:tcMar>
              <w:left w:w="29" w:type="dxa"/>
              <w:right w:w="29" w:type="dxa"/>
            </w:tcMar>
            <w:vAlign w:val="center"/>
          </w:tcPr>
          <w:p w:rsidR="00B108FD" w:rsidRPr="008C3F36" w:rsidRDefault="00B108FD" w:rsidP="008C3F36">
            <w:pPr>
              <w:pStyle w:val="Tabletext"/>
            </w:pPr>
            <w:r w:rsidRPr="008C3F36">
              <w:t>23-20</w:t>
            </w:r>
          </w:p>
        </w:tc>
        <w:tc>
          <w:tcPr>
            <w:tcW w:w="1843" w:type="dxa"/>
            <w:tcMar>
              <w:left w:w="29" w:type="dxa"/>
              <w:right w:w="29" w:type="dxa"/>
            </w:tcMar>
            <w:vAlign w:val="center"/>
          </w:tcPr>
          <w:p w:rsidR="00B108FD" w:rsidRPr="008C3F36" w:rsidRDefault="00B108FD" w:rsidP="008C3F36">
            <w:pPr>
              <w:pStyle w:val="Tabletext"/>
            </w:pPr>
            <w:r w:rsidRPr="008C3F36">
              <w:t>65 206</w:t>
            </w:r>
          </w:p>
        </w:tc>
        <w:tc>
          <w:tcPr>
            <w:tcW w:w="1134" w:type="dxa"/>
            <w:tcMar>
              <w:left w:w="29" w:type="dxa"/>
              <w:right w:w="29" w:type="dxa"/>
            </w:tcMar>
            <w:vAlign w:val="center"/>
          </w:tcPr>
          <w:p w:rsidR="00B108FD" w:rsidRPr="008C3F36" w:rsidRDefault="00B108FD" w:rsidP="008C3F36">
            <w:pPr>
              <w:pStyle w:val="Tabletext"/>
            </w:pPr>
            <w:r w:rsidRPr="008C3F36">
              <w:t>2011-2010</w:t>
            </w:r>
          </w:p>
        </w:tc>
        <w:tc>
          <w:tcPr>
            <w:tcW w:w="1276" w:type="dxa"/>
            <w:tcMar>
              <w:left w:w="29" w:type="dxa"/>
              <w:right w:w="29" w:type="dxa"/>
            </w:tcMar>
            <w:vAlign w:val="center"/>
          </w:tcPr>
          <w:p w:rsidR="00B108FD" w:rsidRPr="008C3F36" w:rsidRDefault="00006031" w:rsidP="008C3F36">
            <w:pPr>
              <w:pStyle w:val="Tabletext"/>
            </w:pPr>
            <w:hyperlink r:id="rId25" w:history="1">
              <w:bookmarkStart w:id="6" w:name="lt_pId067"/>
              <w:r w:rsidR="00B108FD" w:rsidRPr="008C3F36">
                <w:rPr>
                  <w:rStyle w:val="Hyperlink"/>
                  <w:sz w:val="20"/>
                  <w:szCs w:val="26"/>
                  <w:lang w:val="en-US" w:bidi="ar"/>
                </w:rPr>
                <w:t>C13/10</w:t>
              </w:r>
              <w:bookmarkEnd w:id="6"/>
            </w:hyperlink>
          </w:p>
        </w:tc>
        <w:tc>
          <w:tcPr>
            <w:tcW w:w="1134" w:type="dxa"/>
            <w:tcMar>
              <w:left w:w="29" w:type="dxa"/>
              <w:right w:w="29" w:type="dxa"/>
            </w:tcMar>
            <w:vAlign w:val="center"/>
          </w:tcPr>
          <w:p w:rsidR="00B108FD" w:rsidRPr="008C3F36" w:rsidRDefault="00B108FD" w:rsidP="008C3F36">
            <w:pPr>
              <w:pStyle w:val="Tabletext"/>
            </w:pPr>
            <w:r w:rsidRPr="008C3F36">
              <w:t>4</w:t>
            </w:r>
          </w:p>
        </w:tc>
        <w:tc>
          <w:tcPr>
            <w:tcW w:w="1701" w:type="dxa"/>
            <w:tcMar>
              <w:left w:w="29" w:type="dxa"/>
              <w:right w:w="29" w:type="dxa"/>
            </w:tcMar>
            <w:vAlign w:val="center"/>
          </w:tcPr>
          <w:p w:rsidR="00B108FD" w:rsidRPr="008C3F36" w:rsidRDefault="00B108FD" w:rsidP="008C3F36">
            <w:pPr>
              <w:pStyle w:val="Tabletext"/>
            </w:pPr>
            <w:r w:rsidRPr="008C3F36">
              <w:t>65 772</w:t>
            </w:r>
          </w:p>
        </w:tc>
      </w:tr>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text"/>
            </w:pPr>
            <w:r w:rsidRPr="008C3F36">
              <w:t>2001-2000</w:t>
            </w:r>
          </w:p>
        </w:tc>
        <w:tc>
          <w:tcPr>
            <w:tcW w:w="1276" w:type="dxa"/>
            <w:tcMar>
              <w:left w:w="29" w:type="dxa"/>
              <w:right w:w="29" w:type="dxa"/>
            </w:tcMar>
            <w:vAlign w:val="center"/>
          </w:tcPr>
          <w:p w:rsidR="00B108FD" w:rsidRPr="008C3F36" w:rsidRDefault="00006031" w:rsidP="008C3F36">
            <w:pPr>
              <w:pStyle w:val="Tabletext"/>
            </w:pPr>
            <w:hyperlink r:id="rId26" w:history="1">
              <w:bookmarkStart w:id="7" w:name="lt_pId071"/>
              <w:r w:rsidR="00B108FD" w:rsidRPr="008C3F36">
                <w:rPr>
                  <w:rStyle w:val="Hyperlink"/>
                  <w:sz w:val="20"/>
                  <w:szCs w:val="26"/>
                  <w:lang w:val="en-US" w:bidi="ar"/>
                </w:rPr>
                <w:t>C02/13(Rev.1)</w:t>
              </w:r>
              <w:bookmarkEnd w:id="7"/>
            </w:hyperlink>
          </w:p>
        </w:tc>
        <w:tc>
          <w:tcPr>
            <w:tcW w:w="1134" w:type="dxa"/>
            <w:tcMar>
              <w:left w:w="29" w:type="dxa"/>
              <w:right w:w="29" w:type="dxa"/>
            </w:tcMar>
            <w:vAlign w:val="center"/>
          </w:tcPr>
          <w:p w:rsidR="00B108FD" w:rsidRPr="008C3F36" w:rsidRDefault="00B108FD" w:rsidP="008C3F36">
            <w:pPr>
              <w:pStyle w:val="Tabletext"/>
            </w:pPr>
            <w:r w:rsidRPr="008C3F36">
              <w:t>24-21</w:t>
            </w:r>
          </w:p>
        </w:tc>
        <w:tc>
          <w:tcPr>
            <w:tcW w:w="1843" w:type="dxa"/>
            <w:tcMar>
              <w:left w:w="29" w:type="dxa"/>
              <w:right w:w="29" w:type="dxa"/>
            </w:tcMar>
            <w:vAlign w:val="center"/>
          </w:tcPr>
          <w:p w:rsidR="00B108FD" w:rsidRPr="008C3F36" w:rsidRDefault="00B108FD" w:rsidP="008C3F36">
            <w:pPr>
              <w:pStyle w:val="Tabletext"/>
            </w:pPr>
            <w:r w:rsidRPr="008C3F36">
              <w:t>67 276</w:t>
            </w:r>
          </w:p>
        </w:tc>
        <w:tc>
          <w:tcPr>
            <w:tcW w:w="1134" w:type="dxa"/>
            <w:tcMar>
              <w:left w:w="29" w:type="dxa"/>
              <w:right w:w="29" w:type="dxa"/>
            </w:tcMar>
            <w:vAlign w:val="center"/>
          </w:tcPr>
          <w:p w:rsidR="00B108FD" w:rsidRPr="008C3F36" w:rsidRDefault="00B108FD" w:rsidP="008C3F36">
            <w:pPr>
              <w:pStyle w:val="Tabletext"/>
            </w:pPr>
            <w:r w:rsidRPr="008C3F36">
              <w:t>2013-2012</w:t>
            </w:r>
          </w:p>
        </w:tc>
        <w:tc>
          <w:tcPr>
            <w:tcW w:w="1276" w:type="dxa"/>
            <w:tcMar>
              <w:left w:w="29" w:type="dxa"/>
              <w:right w:w="29" w:type="dxa"/>
            </w:tcMar>
            <w:vAlign w:val="center"/>
          </w:tcPr>
          <w:p w:rsidR="00B108FD" w:rsidRPr="008C3F36" w:rsidRDefault="00006031" w:rsidP="008C3F36">
            <w:pPr>
              <w:pStyle w:val="Tabletext"/>
            </w:pPr>
            <w:hyperlink r:id="rId27" w:history="1">
              <w:bookmarkStart w:id="8" w:name="lt_pId075"/>
              <w:r w:rsidR="00B108FD" w:rsidRPr="008C3F36">
                <w:rPr>
                  <w:rStyle w:val="Hyperlink"/>
                  <w:sz w:val="20"/>
                  <w:szCs w:val="26"/>
                  <w:lang w:val="en-US" w:bidi="ar"/>
                </w:rPr>
                <w:t>C15/10</w:t>
              </w:r>
              <w:bookmarkEnd w:id="8"/>
            </w:hyperlink>
          </w:p>
        </w:tc>
        <w:tc>
          <w:tcPr>
            <w:tcW w:w="1134" w:type="dxa"/>
            <w:tcMar>
              <w:left w:w="29" w:type="dxa"/>
              <w:right w:w="29" w:type="dxa"/>
            </w:tcMar>
            <w:vAlign w:val="center"/>
          </w:tcPr>
          <w:p w:rsidR="00B108FD" w:rsidRPr="008C3F36" w:rsidRDefault="00B108FD" w:rsidP="008C3F36">
            <w:pPr>
              <w:pStyle w:val="Tabletext"/>
            </w:pPr>
            <w:r w:rsidRPr="008C3F36">
              <w:t>5</w:t>
            </w:r>
          </w:p>
        </w:tc>
        <w:tc>
          <w:tcPr>
            <w:tcW w:w="1701" w:type="dxa"/>
            <w:tcMar>
              <w:left w:w="29" w:type="dxa"/>
              <w:right w:w="29" w:type="dxa"/>
            </w:tcMar>
            <w:vAlign w:val="center"/>
          </w:tcPr>
          <w:p w:rsidR="00B108FD" w:rsidRPr="008C3F36" w:rsidRDefault="00B108FD" w:rsidP="008C3F36">
            <w:pPr>
              <w:pStyle w:val="Tabletext"/>
            </w:pPr>
            <w:r w:rsidRPr="008C3F36">
              <w:t>61 853</w:t>
            </w:r>
          </w:p>
        </w:tc>
      </w:tr>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text"/>
            </w:pPr>
            <w:r w:rsidRPr="008C3F36">
              <w:t>2003-2002</w:t>
            </w:r>
          </w:p>
        </w:tc>
        <w:tc>
          <w:tcPr>
            <w:tcW w:w="1276" w:type="dxa"/>
            <w:tcMar>
              <w:left w:w="29" w:type="dxa"/>
              <w:right w:w="29" w:type="dxa"/>
            </w:tcMar>
            <w:vAlign w:val="center"/>
          </w:tcPr>
          <w:p w:rsidR="00B108FD" w:rsidRPr="008C3F36" w:rsidRDefault="00006031" w:rsidP="008C3F36">
            <w:pPr>
              <w:pStyle w:val="Tabletext"/>
            </w:pPr>
            <w:hyperlink r:id="rId28" w:history="1">
              <w:bookmarkStart w:id="9" w:name="lt_pId079"/>
              <w:r w:rsidR="00B108FD" w:rsidRPr="008C3F36">
                <w:rPr>
                  <w:rStyle w:val="Hyperlink"/>
                  <w:sz w:val="20"/>
                  <w:szCs w:val="26"/>
                  <w:lang w:val="en-US" w:bidi="ar"/>
                </w:rPr>
                <w:t>C04/22</w:t>
              </w:r>
              <w:bookmarkEnd w:id="9"/>
            </w:hyperlink>
          </w:p>
        </w:tc>
        <w:tc>
          <w:tcPr>
            <w:tcW w:w="1134" w:type="dxa"/>
            <w:tcMar>
              <w:left w:w="29" w:type="dxa"/>
              <w:right w:w="29" w:type="dxa"/>
            </w:tcMar>
            <w:vAlign w:val="center"/>
          </w:tcPr>
          <w:p w:rsidR="00B108FD" w:rsidRPr="008C3F36" w:rsidRDefault="00B108FD" w:rsidP="008C3F36">
            <w:pPr>
              <w:pStyle w:val="Tabletext"/>
            </w:pPr>
            <w:r w:rsidRPr="008C3F36">
              <w:t>10</w:t>
            </w:r>
          </w:p>
        </w:tc>
        <w:tc>
          <w:tcPr>
            <w:tcW w:w="1843" w:type="dxa"/>
            <w:tcMar>
              <w:left w:w="29" w:type="dxa"/>
              <w:right w:w="29" w:type="dxa"/>
            </w:tcMar>
            <w:vAlign w:val="center"/>
          </w:tcPr>
          <w:p w:rsidR="00B108FD" w:rsidRPr="008C3F36" w:rsidRDefault="00B108FD" w:rsidP="008C3F36">
            <w:pPr>
              <w:pStyle w:val="Tabletext"/>
            </w:pPr>
            <w:r w:rsidRPr="008C3F36">
              <w:t>68 708</w:t>
            </w:r>
          </w:p>
        </w:tc>
        <w:tc>
          <w:tcPr>
            <w:tcW w:w="1134" w:type="dxa"/>
            <w:tcMar>
              <w:left w:w="29" w:type="dxa"/>
              <w:right w:w="29" w:type="dxa"/>
            </w:tcMar>
            <w:vAlign w:val="center"/>
          </w:tcPr>
          <w:p w:rsidR="00B108FD" w:rsidRPr="008C3F36" w:rsidRDefault="00B108FD" w:rsidP="008C3F36">
            <w:pPr>
              <w:pStyle w:val="Tabletext"/>
            </w:pPr>
            <w:r w:rsidRPr="008C3F36">
              <w:t>2015-2014</w:t>
            </w:r>
          </w:p>
        </w:tc>
        <w:tc>
          <w:tcPr>
            <w:tcW w:w="1276" w:type="dxa"/>
            <w:tcMar>
              <w:left w:w="29" w:type="dxa"/>
              <w:right w:w="29" w:type="dxa"/>
            </w:tcMar>
            <w:vAlign w:val="center"/>
          </w:tcPr>
          <w:p w:rsidR="00B108FD" w:rsidRPr="008C3F36" w:rsidRDefault="00006031" w:rsidP="008C3F36">
            <w:pPr>
              <w:pStyle w:val="Tabletext"/>
            </w:pPr>
            <w:hyperlink r:id="rId29" w:history="1">
              <w:bookmarkStart w:id="10" w:name="lt_pId083"/>
              <w:r w:rsidR="00B108FD" w:rsidRPr="008C3F36">
                <w:rPr>
                  <w:rStyle w:val="Hyperlink"/>
                  <w:sz w:val="20"/>
                  <w:szCs w:val="26"/>
                  <w:lang w:val="en-US" w:bidi="ar"/>
                </w:rPr>
                <w:t>C17/10</w:t>
              </w:r>
              <w:bookmarkEnd w:id="10"/>
            </w:hyperlink>
          </w:p>
        </w:tc>
        <w:tc>
          <w:tcPr>
            <w:tcW w:w="1134" w:type="dxa"/>
            <w:tcMar>
              <w:left w:w="29" w:type="dxa"/>
              <w:right w:w="29" w:type="dxa"/>
            </w:tcMar>
            <w:vAlign w:val="center"/>
          </w:tcPr>
          <w:p w:rsidR="00B108FD" w:rsidRPr="008C3F36" w:rsidRDefault="00B108FD" w:rsidP="008C3F36">
            <w:pPr>
              <w:pStyle w:val="Tabletext"/>
            </w:pPr>
            <w:r w:rsidRPr="008C3F36">
              <w:t>5</w:t>
            </w:r>
          </w:p>
        </w:tc>
        <w:tc>
          <w:tcPr>
            <w:tcW w:w="1701" w:type="dxa"/>
            <w:tcMar>
              <w:left w:w="29" w:type="dxa"/>
              <w:right w:w="29" w:type="dxa"/>
            </w:tcMar>
            <w:vAlign w:val="center"/>
          </w:tcPr>
          <w:p w:rsidR="00B108FD" w:rsidRPr="008C3F36" w:rsidRDefault="00B108FD" w:rsidP="008C3F36">
            <w:pPr>
              <w:pStyle w:val="Tabletext"/>
            </w:pPr>
            <w:r w:rsidRPr="008C3F36">
              <w:t>62 202</w:t>
            </w:r>
          </w:p>
        </w:tc>
      </w:tr>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text"/>
            </w:pPr>
            <w:r w:rsidRPr="008C3F36">
              <w:t>2005-2004</w:t>
            </w:r>
          </w:p>
        </w:tc>
        <w:tc>
          <w:tcPr>
            <w:tcW w:w="1276" w:type="dxa"/>
            <w:tcMar>
              <w:left w:w="29" w:type="dxa"/>
              <w:right w:w="29" w:type="dxa"/>
            </w:tcMar>
            <w:vAlign w:val="center"/>
          </w:tcPr>
          <w:p w:rsidR="00B108FD" w:rsidRPr="008C3F36" w:rsidRDefault="00006031" w:rsidP="008C3F36">
            <w:pPr>
              <w:pStyle w:val="Tabletext"/>
            </w:pPr>
            <w:hyperlink r:id="rId30" w:history="1">
              <w:bookmarkStart w:id="11" w:name="lt_pId087"/>
              <w:r w:rsidR="00B108FD" w:rsidRPr="008C3F36">
                <w:rPr>
                  <w:rStyle w:val="Hyperlink"/>
                  <w:sz w:val="20"/>
                  <w:szCs w:val="26"/>
                  <w:lang w:val="en-US" w:bidi="ar"/>
                </w:rPr>
                <w:t>C06/26(Rev.1)</w:t>
              </w:r>
              <w:bookmarkEnd w:id="11"/>
            </w:hyperlink>
          </w:p>
        </w:tc>
        <w:tc>
          <w:tcPr>
            <w:tcW w:w="1134" w:type="dxa"/>
            <w:tcMar>
              <w:left w:w="29" w:type="dxa"/>
              <w:right w:w="29" w:type="dxa"/>
            </w:tcMar>
            <w:vAlign w:val="center"/>
          </w:tcPr>
          <w:p w:rsidR="00B108FD" w:rsidRPr="008C3F36" w:rsidRDefault="00B108FD" w:rsidP="008C3F36">
            <w:pPr>
              <w:pStyle w:val="Tabletext"/>
            </w:pPr>
            <w:r w:rsidRPr="008C3F36">
              <w:t>26-18</w:t>
            </w:r>
          </w:p>
        </w:tc>
        <w:tc>
          <w:tcPr>
            <w:tcW w:w="1843" w:type="dxa"/>
            <w:tcMar>
              <w:left w:w="29" w:type="dxa"/>
              <w:right w:w="29" w:type="dxa"/>
            </w:tcMar>
            <w:vAlign w:val="center"/>
          </w:tcPr>
          <w:p w:rsidR="00B108FD" w:rsidRPr="008C3F36" w:rsidRDefault="00B108FD" w:rsidP="008C3F36">
            <w:pPr>
              <w:pStyle w:val="Tabletext"/>
            </w:pPr>
            <w:r w:rsidRPr="008C3F36">
              <w:t>71 139</w:t>
            </w:r>
          </w:p>
        </w:tc>
        <w:tc>
          <w:tcPr>
            <w:tcW w:w="1134" w:type="dxa"/>
            <w:tcMar>
              <w:left w:w="29" w:type="dxa"/>
              <w:right w:w="29" w:type="dxa"/>
            </w:tcMar>
            <w:vAlign w:val="center"/>
          </w:tcPr>
          <w:p w:rsidR="00B108FD" w:rsidRPr="008C3F36" w:rsidRDefault="00B108FD" w:rsidP="008C3F36">
            <w:pPr>
              <w:pStyle w:val="Tabletext"/>
            </w:pPr>
            <w:r w:rsidRPr="008C3F36">
              <w:t>2017-2016</w:t>
            </w:r>
          </w:p>
        </w:tc>
        <w:tc>
          <w:tcPr>
            <w:tcW w:w="1276" w:type="dxa"/>
            <w:tcMar>
              <w:left w:w="29" w:type="dxa"/>
              <w:right w:w="29" w:type="dxa"/>
            </w:tcMar>
            <w:vAlign w:val="center"/>
          </w:tcPr>
          <w:p w:rsidR="00B108FD" w:rsidRPr="008C3F36" w:rsidRDefault="00006031" w:rsidP="008C3F36">
            <w:pPr>
              <w:pStyle w:val="Tabletext"/>
            </w:pPr>
            <w:hyperlink r:id="rId31" w:history="1">
              <w:bookmarkStart w:id="12" w:name="lt_pId091"/>
              <w:r w:rsidR="00B108FD" w:rsidRPr="008C3F36">
                <w:rPr>
                  <w:rStyle w:val="Hyperlink"/>
                  <w:sz w:val="20"/>
                  <w:szCs w:val="26"/>
                  <w:lang w:val="en-US" w:bidi="ar"/>
                </w:rPr>
                <w:t>C17/10</w:t>
              </w:r>
              <w:bookmarkEnd w:id="12"/>
            </w:hyperlink>
          </w:p>
        </w:tc>
        <w:tc>
          <w:tcPr>
            <w:tcW w:w="1134" w:type="dxa"/>
            <w:tcMar>
              <w:left w:w="29" w:type="dxa"/>
              <w:right w:w="29" w:type="dxa"/>
            </w:tcMar>
            <w:vAlign w:val="center"/>
          </w:tcPr>
          <w:p w:rsidR="00B108FD" w:rsidRPr="008C3F36" w:rsidRDefault="00B108FD" w:rsidP="008C3F36">
            <w:pPr>
              <w:pStyle w:val="Tabletext"/>
            </w:pPr>
            <w:r w:rsidRPr="008C3F36">
              <w:t>5</w:t>
            </w:r>
          </w:p>
        </w:tc>
        <w:tc>
          <w:tcPr>
            <w:tcW w:w="1701" w:type="dxa"/>
            <w:tcMar>
              <w:left w:w="29" w:type="dxa"/>
              <w:right w:w="29" w:type="dxa"/>
            </w:tcMar>
            <w:vAlign w:val="center"/>
          </w:tcPr>
          <w:p w:rsidR="00B108FD" w:rsidRPr="008C3F36" w:rsidRDefault="00B108FD" w:rsidP="008C3F36">
            <w:pPr>
              <w:pStyle w:val="Tabletext"/>
            </w:pPr>
            <w:r w:rsidRPr="008C3F36">
              <w:t>57 501</w:t>
            </w:r>
          </w:p>
        </w:tc>
      </w:tr>
      <w:tr w:rsidR="00B108FD" w:rsidRPr="008C3F36" w:rsidTr="007C1BB6">
        <w:trPr>
          <w:jc w:val="center"/>
        </w:trPr>
        <w:tc>
          <w:tcPr>
            <w:tcW w:w="992" w:type="dxa"/>
            <w:tcMar>
              <w:left w:w="29" w:type="dxa"/>
              <w:right w:w="29" w:type="dxa"/>
            </w:tcMar>
            <w:vAlign w:val="center"/>
          </w:tcPr>
          <w:p w:rsidR="00B108FD" w:rsidRPr="008C3F36" w:rsidRDefault="00B108FD" w:rsidP="008C3F36">
            <w:pPr>
              <w:pStyle w:val="Tabletext"/>
            </w:pPr>
            <w:r w:rsidRPr="008C3F36">
              <w:t>2007-2006</w:t>
            </w:r>
          </w:p>
        </w:tc>
        <w:tc>
          <w:tcPr>
            <w:tcW w:w="1276" w:type="dxa"/>
            <w:tcMar>
              <w:left w:w="29" w:type="dxa"/>
              <w:right w:w="29" w:type="dxa"/>
            </w:tcMar>
            <w:vAlign w:val="center"/>
          </w:tcPr>
          <w:p w:rsidR="00B108FD" w:rsidRPr="008C3F36" w:rsidRDefault="00006031" w:rsidP="008C3F36">
            <w:pPr>
              <w:pStyle w:val="Tabletext"/>
            </w:pPr>
            <w:hyperlink r:id="rId32" w:history="1">
              <w:bookmarkStart w:id="13" w:name="lt_pId095"/>
              <w:r w:rsidR="00B108FD" w:rsidRPr="008C3F36">
                <w:rPr>
                  <w:rStyle w:val="Hyperlink"/>
                  <w:sz w:val="20"/>
                  <w:szCs w:val="26"/>
                  <w:lang w:val="en-US" w:bidi="ar"/>
                </w:rPr>
                <w:t>C08/7</w:t>
              </w:r>
              <w:bookmarkEnd w:id="13"/>
            </w:hyperlink>
          </w:p>
        </w:tc>
        <w:tc>
          <w:tcPr>
            <w:tcW w:w="1134" w:type="dxa"/>
            <w:tcMar>
              <w:left w:w="29" w:type="dxa"/>
              <w:right w:w="29" w:type="dxa"/>
            </w:tcMar>
            <w:vAlign w:val="center"/>
          </w:tcPr>
          <w:p w:rsidR="00B108FD" w:rsidRPr="008C3F36" w:rsidRDefault="00B108FD" w:rsidP="008C3F36">
            <w:pPr>
              <w:pStyle w:val="Tabletext"/>
            </w:pPr>
            <w:r w:rsidRPr="008C3F36">
              <w:t>12</w:t>
            </w:r>
            <w:r w:rsidRPr="008C3F36">
              <w:rPr>
                <w:rFonts w:hint="cs"/>
                <w:rtl/>
                <w:lang w:bidi="ar-SA"/>
              </w:rPr>
              <w:t xml:space="preserve">، </w:t>
            </w:r>
            <w:r w:rsidRPr="008C3F36">
              <w:t>26-18</w:t>
            </w:r>
          </w:p>
        </w:tc>
        <w:tc>
          <w:tcPr>
            <w:tcW w:w="1843" w:type="dxa"/>
            <w:tcMar>
              <w:left w:w="29" w:type="dxa"/>
              <w:right w:w="29" w:type="dxa"/>
            </w:tcMar>
            <w:vAlign w:val="center"/>
          </w:tcPr>
          <w:p w:rsidR="00B108FD" w:rsidRPr="008C3F36" w:rsidRDefault="00B108FD" w:rsidP="008C3F36">
            <w:pPr>
              <w:pStyle w:val="Tabletext"/>
            </w:pPr>
            <w:r w:rsidRPr="008C3F36">
              <w:t>74 698</w:t>
            </w:r>
          </w:p>
        </w:tc>
        <w:tc>
          <w:tcPr>
            <w:tcW w:w="1134" w:type="dxa"/>
            <w:tcMar>
              <w:left w:w="29" w:type="dxa"/>
              <w:right w:w="29" w:type="dxa"/>
            </w:tcMar>
            <w:vAlign w:val="center"/>
          </w:tcPr>
          <w:p w:rsidR="00B108FD" w:rsidRPr="008C3F36" w:rsidRDefault="00B108FD" w:rsidP="007C1BB6">
            <w:pPr>
              <w:pStyle w:val="Tabletext"/>
            </w:pPr>
            <w:bookmarkStart w:id="14" w:name="lt_pId098"/>
            <w:r w:rsidRPr="008C3F36">
              <w:t>2019-2018</w:t>
            </w:r>
            <w:bookmarkEnd w:id="14"/>
            <w:r w:rsidR="007C1BB6">
              <w:rPr>
                <w:rtl/>
              </w:rPr>
              <w:br/>
            </w:r>
            <w:r w:rsidRPr="008C3F36">
              <w:rPr>
                <w:rFonts w:hint="cs"/>
                <w:rtl/>
              </w:rPr>
              <w:t>(المتوقَعة)</w:t>
            </w:r>
          </w:p>
        </w:tc>
        <w:tc>
          <w:tcPr>
            <w:tcW w:w="1276" w:type="dxa"/>
            <w:tcMar>
              <w:left w:w="29" w:type="dxa"/>
              <w:right w:w="29" w:type="dxa"/>
            </w:tcMar>
            <w:vAlign w:val="center"/>
          </w:tcPr>
          <w:p w:rsidR="00B108FD" w:rsidRPr="008C3F36" w:rsidRDefault="00006031" w:rsidP="008C3F36">
            <w:pPr>
              <w:pStyle w:val="Tabletext"/>
            </w:pPr>
            <w:hyperlink r:id="rId33" w:history="1">
              <w:bookmarkStart w:id="15" w:name="lt_pId099"/>
              <w:r w:rsidR="00B108FD" w:rsidRPr="008C3F36">
                <w:rPr>
                  <w:rStyle w:val="Hyperlink"/>
                  <w:sz w:val="20"/>
                  <w:szCs w:val="26"/>
                  <w:lang w:val="en-US" w:bidi="ar"/>
                </w:rPr>
                <w:t>C17/10</w:t>
              </w:r>
              <w:bookmarkEnd w:id="15"/>
            </w:hyperlink>
          </w:p>
        </w:tc>
        <w:tc>
          <w:tcPr>
            <w:tcW w:w="1134" w:type="dxa"/>
            <w:tcMar>
              <w:left w:w="29" w:type="dxa"/>
              <w:right w:w="29" w:type="dxa"/>
            </w:tcMar>
            <w:vAlign w:val="center"/>
          </w:tcPr>
          <w:p w:rsidR="00B108FD" w:rsidRPr="008C3F36" w:rsidRDefault="00B108FD" w:rsidP="008C3F36">
            <w:pPr>
              <w:pStyle w:val="Tabletext"/>
            </w:pPr>
            <w:r w:rsidRPr="008C3F36">
              <w:t>5</w:t>
            </w:r>
          </w:p>
        </w:tc>
        <w:tc>
          <w:tcPr>
            <w:tcW w:w="1701" w:type="dxa"/>
            <w:tcMar>
              <w:left w:w="29" w:type="dxa"/>
              <w:right w:w="29" w:type="dxa"/>
            </w:tcMar>
            <w:vAlign w:val="center"/>
          </w:tcPr>
          <w:p w:rsidR="00B108FD" w:rsidRPr="008C3F36" w:rsidRDefault="00B108FD" w:rsidP="008C3F36">
            <w:pPr>
              <w:pStyle w:val="Tabletext"/>
            </w:pPr>
            <w:r w:rsidRPr="008C3F36">
              <w:rPr>
                <w:color w:val="FF0000"/>
              </w:rPr>
              <w:t>58 586</w:t>
            </w:r>
          </w:p>
        </w:tc>
      </w:tr>
    </w:tbl>
    <w:p w:rsidR="00B108FD" w:rsidRPr="00B108FD" w:rsidRDefault="008C3F36" w:rsidP="009B1E20">
      <w:pPr>
        <w:keepNext/>
        <w:keepLines/>
        <w:spacing w:before="240"/>
        <w:rPr>
          <w:rtl/>
        </w:rPr>
      </w:pPr>
      <w:r>
        <w:rPr>
          <w:rFonts w:hint="cs"/>
          <w:rtl/>
          <w:lang w:bidi="ar"/>
        </w:rPr>
        <w:lastRenderedPageBreak/>
        <w:t>وجدير بالذكر</w:t>
      </w:r>
      <w:r w:rsidR="00B108FD" w:rsidRPr="00B108FD">
        <w:rPr>
          <w:rFonts w:hint="cs"/>
          <w:rtl/>
          <w:lang w:bidi="ar"/>
        </w:rPr>
        <w:t xml:space="preserve"> أن الزيادة في ميزانية الفترة</w:t>
      </w:r>
      <w:r>
        <w:rPr>
          <w:rFonts w:hint="eastAsia"/>
          <w:rtl/>
          <w:lang w:bidi="ar"/>
        </w:rPr>
        <w:t> </w:t>
      </w:r>
      <w:r>
        <w:rPr>
          <w:lang w:bidi="ar"/>
        </w:rPr>
        <w:t>2019-2018</w:t>
      </w:r>
      <w:r>
        <w:rPr>
          <w:rFonts w:hint="cs"/>
          <w:rtl/>
          <w:lang w:bidi="ar"/>
        </w:rPr>
        <w:t xml:space="preserve"> </w:t>
      </w:r>
      <w:r w:rsidR="00B108FD" w:rsidRPr="00B108FD">
        <w:rPr>
          <w:rFonts w:hint="cs"/>
          <w:rtl/>
          <w:lang w:bidi="ar"/>
        </w:rPr>
        <w:t>بالمقارنة مع رقم الفترة</w:t>
      </w:r>
      <w:r>
        <w:rPr>
          <w:rFonts w:hint="eastAsia"/>
          <w:rtl/>
          <w:lang w:bidi="ar"/>
        </w:rPr>
        <w:t> </w:t>
      </w:r>
      <w:r>
        <w:rPr>
          <w:lang w:bidi="ar"/>
        </w:rPr>
        <w:t>2017-2016</w:t>
      </w:r>
      <w:r>
        <w:rPr>
          <w:rFonts w:hint="cs"/>
          <w:rtl/>
          <w:lang w:bidi="ar"/>
        </w:rPr>
        <w:t xml:space="preserve"> </w:t>
      </w:r>
      <w:r w:rsidR="00B108FD" w:rsidRPr="00B108FD">
        <w:rPr>
          <w:rFonts w:hint="cs"/>
          <w:rtl/>
          <w:lang w:bidi="ar"/>
        </w:rPr>
        <w:t xml:space="preserve">تعزى إلى النفقات التي سيستلزمها عقد المؤتمر العالمي للاتصالات الراديوية وجمعية الاتصالات الراديوية عام </w:t>
      </w:r>
      <w:r>
        <w:rPr>
          <w:lang w:bidi="ar"/>
        </w:rPr>
        <w:t>2019</w:t>
      </w:r>
      <w:r w:rsidR="00B108FD" w:rsidRPr="00B108FD">
        <w:rPr>
          <w:rFonts w:hint="cs"/>
          <w:rtl/>
          <w:lang w:bidi="ar"/>
        </w:rPr>
        <w:t xml:space="preserve"> بمبلغ</w:t>
      </w:r>
      <w:r>
        <w:rPr>
          <w:rFonts w:hint="cs"/>
          <w:rtl/>
          <w:lang w:bidi="ar-EG"/>
        </w:rPr>
        <w:t xml:space="preserve"> </w:t>
      </w:r>
      <w:r>
        <w:rPr>
          <w:lang w:bidi="ar-EG"/>
        </w:rPr>
        <w:t>2 973 000</w:t>
      </w:r>
      <w:r>
        <w:rPr>
          <w:rFonts w:hint="eastAsia"/>
          <w:rtl/>
          <w:lang w:bidi="ar-EG"/>
        </w:rPr>
        <w:t> </w:t>
      </w:r>
      <w:r w:rsidR="00B108FD" w:rsidRPr="00B108FD">
        <w:rPr>
          <w:rFonts w:hint="cs"/>
          <w:rtl/>
          <w:lang w:bidi="ar"/>
        </w:rPr>
        <w:t>فرنك سويسري. وإذا طُرح هذا البند، تبلغ ميزانية الأنشطة العادية</w:t>
      </w:r>
      <w:r>
        <w:rPr>
          <w:rFonts w:hint="cs"/>
          <w:rtl/>
          <w:lang w:bidi="ar"/>
        </w:rPr>
        <w:t xml:space="preserve"> </w:t>
      </w:r>
      <w:r>
        <w:rPr>
          <w:lang w:bidi="ar"/>
        </w:rPr>
        <w:t>55 613 000</w:t>
      </w:r>
      <w:r>
        <w:rPr>
          <w:rFonts w:hint="eastAsia"/>
          <w:rtl/>
          <w:lang w:bidi="ar"/>
        </w:rPr>
        <w:t> </w:t>
      </w:r>
      <w:r w:rsidR="00B108FD" w:rsidRPr="00B108FD">
        <w:rPr>
          <w:rFonts w:hint="cs"/>
          <w:rtl/>
          <w:lang w:bidi="ar"/>
        </w:rPr>
        <w:t xml:space="preserve">فرنك سويسري، </w:t>
      </w:r>
      <w:r w:rsidR="00B108FD" w:rsidRPr="00B108FD">
        <w:rPr>
          <w:rFonts w:hint="cs"/>
          <w:b/>
          <w:bCs/>
          <w:rtl/>
          <w:lang w:bidi="ar"/>
        </w:rPr>
        <w:t xml:space="preserve">أي </w:t>
      </w:r>
      <w:r>
        <w:rPr>
          <w:rFonts w:hint="cs"/>
          <w:b/>
          <w:bCs/>
          <w:rtl/>
          <w:lang w:bidi="ar"/>
        </w:rPr>
        <w:t>أنه يخطط</w:t>
      </w:r>
      <w:r w:rsidR="00B108FD" w:rsidRPr="00B108FD">
        <w:rPr>
          <w:rFonts w:hint="cs"/>
          <w:b/>
          <w:bCs/>
          <w:rtl/>
          <w:lang w:bidi="ar"/>
        </w:rPr>
        <w:t xml:space="preserve"> لإجراء تخفيض آخر في تمويل الأنشطة العادية لقطاع الاتصالات الراديوية</w:t>
      </w:r>
      <w:r w:rsidR="00B108FD" w:rsidRPr="00B108FD">
        <w:rPr>
          <w:rFonts w:hint="cs"/>
          <w:rtl/>
          <w:lang w:bidi="ar"/>
        </w:rPr>
        <w:t>.</w:t>
      </w:r>
    </w:p>
    <w:p w:rsidR="00B108FD" w:rsidRPr="00B108FD" w:rsidRDefault="00B108FD" w:rsidP="008C3F36">
      <w:pPr>
        <w:pStyle w:val="FigureNo"/>
        <w:rPr>
          <w:rtl/>
        </w:rPr>
      </w:pPr>
      <w:r w:rsidRPr="00B108FD">
        <w:rPr>
          <w:rFonts w:hint="cs"/>
          <w:rtl/>
          <w:lang w:bidi="ar-SY"/>
        </w:rPr>
        <w:t xml:space="preserve">الشكل </w:t>
      </w:r>
      <w:r w:rsidRPr="00B108FD">
        <w:rPr>
          <w:lang w:bidi="ar"/>
        </w:rPr>
        <w:t>1</w:t>
      </w:r>
    </w:p>
    <w:p w:rsidR="00B108FD" w:rsidRPr="00B108FD" w:rsidRDefault="009A1CFB" w:rsidP="008C3F36">
      <w:pPr>
        <w:pStyle w:val="Figuretitle"/>
        <w:rPr>
          <w:rtl/>
          <w:lang w:bidi="ar-SA"/>
        </w:rPr>
      </w:pPr>
      <w:r>
        <w:rPr>
          <w:noProof/>
          <w:lang w:eastAsia="zh-CN" w:bidi="ar-SA"/>
        </w:rPr>
        <mc:AlternateContent>
          <mc:Choice Requires="wps">
            <w:drawing>
              <wp:anchor distT="0" distB="0" distL="114300" distR="114300" simplePos="0" relativeHeight="251677696" behindDoc="0" locked="0" layoutInCell="1" allowOverlap="1" wp14:anchorId="5AEDA708" wp14:editId="6A2DBF3C">
                <wp:simplePos x="0" y="0"/>
                <wp:positionH relativeFrom="column">
                  <wp:posOffset>-11709</wp:posOffset>
                </wp:positionH>
                <wp:positionV relativeFrom="paragraph">
                  <wp:posOffset>409798</wp:posOffset>
                </wp:positionV>
                <wp:extent cx="1411793" cy="442128"/>
                <wp:effectExtent l="0" t="0" r="0" b="15240"/>
                <wp:wrapNone/>
                <wp:docPr id="19" name="Text Box 19"/>
                <wp:cNvGraphicFramePr/>
                <a:graphic xmlns:a="http://schemas.openxmlformats.org/drawingml/2006/main">
                  <a:graphicData uri="http://schemas.microsoft.com/office/word/2010/wordprocessingShape">
                    <wps:wsp>
                      <wps:cNvSpPr txBox="1"/>
                      <wps:spPr>
                        <a:xfrm>
                          <a:off x="0" y="0"/>
                          <a:ext cx="1411793" cy="4421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A1CFB" w:rsidRPr="009A1CFB" w:rsidRDefault="009A1CFB" w:rsidP="009A1CFB">
                            <w:pPr>
                              <w:spacing w:before="60" w:line="144" w:lineRule="auto"/>
                              <w:jc w:val="center"/>
                              <w:rPr>
                                <w:b/>
                                <w:bCs/>
                                <w:sz w:val="20"/>
                                <w:szCs w:val="26"/>
                                <w:lang w:bidi="ar-EG"/>
                              </w:rPr>
                            </w:pPr>
                            <w:r w:rsidRPr="009A1CFB">
                              <w:rPr>
                                <w:rFonts w:hint="cs"/>
                                <w:b/>
                                <w:bCs/>
                                <w:sz w:val="20"/>
                                <w:szCs w:val="26"/>
                                <w:rtl/>
                                <w:lang w:bidi="ar-EG"/>
                              </w:rPr>
                              <w:t>بآلاف الفرنكات السويسرية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anchor>
            </w:drawing>
          </mc:Choice>
          <mc:Fallback>
            <w:pict>
              <v:shapetype w14:anchorId="5AEDA708" id="_x0000_t202" coordsize="21600,21600" o:spt="202" path="m,l,21600r21600,l21600,xe">
                <v:stroke joinstyle="miter"/>
                <v:path gradientshapeok="t" o:connecttype="rect"/>
              </v:shapetype>
              <v:shape id="Text Box 19" o:spid="_x0000_s1026" type="#_x0000_t202" style="position:absolute;left:0;text-align:left;margin-left:-.9pt;margin-top:32.25pt;width:111.15pt;height:34.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" filled="f" stroked="f" strokeweight=".5pt">
                <v:textbox inset="0,0,0,0">
                  <w:txbxContent>
                    <w:p w:rsidR="009A1CFB" w:rsidRPr="009A1CFB" w:rsidRDefault="009A1CFB" w:rsidP="009A1CFB">
                      <w:pPr>
                        <w:spacing w:before="60" w:line="144" w:lineRule="auto"/>
                        <w:jc w:val="center"/>
                        <w:rPr>
                          <w:rFonts w:hint="cs"/>
                          <w:b/>
                          <w:bCs/>
                          <w:sz w:val="20"/>
                          <w:szCs w:val="26"/>
                          <w:lang w:bidi="ar-EG"/>
                        </w:rPr>
                      </w:pPr>
                      <w:r w:rsidRPr="009A1CFB">
                        <w:rPr>
                          <w:rFonts w:hint="cs"/>
                          <w:b/>
                          <w:bCs/>
                          <w:sz w:val="20"/>
                          <w:szCs w:val="26"/>
                          <w:rtl/>
                          <w:lang w:bidi="ar-EG"/>
                        </w:rPr>
                        <w:t>بآلاف الفرنكات السويسرية</w:t>
                      </w:r>
                    </w:p>
                  </w:txbxContent>
                </v:textbox>
              </v:shape>
            </w:pict>
          </mc:Fallback>
        </mc:AlternateContent>
      </w:r>
      <w:r w:rsidR="00B108FD" w:rsidRPr="00B108FD">
        <w:rPr>
          <w:rFonts w:hint="cs"/>
          <w:rtl/>
        </w:rPr>
        <w:t>ميزانية قطاع الاتصالات الراديوية خلال الفترة</w:t>
      </w:r>
      <w:r w:rsidR="008C3F36">
        <w:rPr>
          <w:rFonts w:hint="eastAsia"/>
          <w:rtl/>
        </w:rPr>
        <w:t> </w:t>
      </w:r>
      <w:r w:rsidR="008C3F36">
        <w:t>2017-1996</w:t>
      </w:r>
      <w:r w:rsidR="008C3F36">
        <w:rPr>
          <w:rFonts w:hint="cs"/>
          <w:rtl/>
        </w:rPr>
        <w:t xml:space="preserve"> </w:t>
      </w:r>
      <w:r w:rsidR="00B108FD" w:rsidRPr="00B108FD">
        <w:rPr>
          <w:rFonts w:hint="cs"/>
          <w:rtl/>
        </w:rPr>
        <w:t>ومشروع الميزانية للفترة</w:t>
      </w:r>
      <w:r w:rsidR="008C3F36">
        <w:rPr>
          <w:rFonts w:hint="eastAsia"/>
          <w:rtl/>
        </w:rPr>
        <w:t> </w:t>
      </w:r>
      <w:r w:rsidR="008C3F36">
        <w:t>2019-2018</w:t>
      </w:r>
      <w:r w:rsidR="00B108FD" w:rsidRPr="00B108FD">
        <w:rPr>
          <w:rFonts w:hint="cs"/>
          <w:rtl/>
        </w:rPr>
        <w:br/>
        <w:t xml:space="preserve">(في </w:t>
      </w:r>
      <w:r w:rsidR="008C3F36">
        <w:rPr>
          <w:rFonts w:hint="cs"/>
          <w:rtl/>
        </w:rPr>
        <w:t>صورة</w:t>
      </w:r>
      <w:r w:rsidR="00B108FD" w:rsidRPr="00B108FD">
        <w:rPr>
          <w:rFonts w:hint="cs"/>
          <w:rtl/>
        </w:rPr>
        <w:t xml:space="preserve"> رسم بياني)</w:t>
      </w:r>
    </w:p>
    <w:p w:rsidR="00B108FD" w:rsidRPr="00B108FD" w:rsidRDefault="00B108FD" w:rsidP="00B13C64">
      <w:pPr>
        <w:spacing w:before="100" w:beforeAutospacing="1" w:after="100" w:afterAutospacing="1" w:line="240" w:lineRule="auto"/>
        <w:jc w:val="center"/>
        <w:rPr>
          <w:rtl/>
          <w:lang w:bidi="ar-SY"/>
        </w:rPr>
      </w:pPr>
      <w:r w:rsidRPr="00B108FD">
        <w:rPr>
          <w:noProof/>
          <w:lang w:eastAsia="zh-CN"/>
        </w:rPr>
        <w:drawing>
          <wp:inline distT="0" distB="0" distL="0" distR="0" wp14:anchorId="5945DDC7" wp14:editId="685A0850">
            <wp:extent cx="6120765" cy="3263265"/>
            <wp:effectExtent l="0" t="0" r="13335"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108FD" w:rsidRPr="00B108FD" w:rsidRDefault="00B108FD" w:rsidP="009A1CFB">
      <w:pPr>
        <w:spacing w:before="360"/>
        <w:rPr>
          <w:rtl/>
          <w:lang w:bidi="ar-SY"/>
        </w:rPr>
      </w:pPr>
      <w:r w:rsidRPr="00B108FD">
        <w:rPr>
          <w:rFonts w:hint="cs"/>
          <w:rtl/>
          <w:lang w:bidi="ar"/>
        </w:rPr>
        <w:t xml:space="preserve">وفي هذا الصدد، من المهم الإشارة إلى أن مكتب الاتصالات الراديوية حقق دخلاً </w:t>
      </w:r>
      <w:r w:rsidR="008C3F36">
        <w:rPr>
          <w:rFonts w:hint="cs"/>
          <w:rtl/>
          <w:lang w:bidi="ar"/>
        </w:rPr>
        <w:t>كبيراً</w:t>
      </w:r>
      <w:r w:rsidRPr="00B108FD">
        <w:rPr>
          <w:rFonts w:hint="cs"/>
          <w:rtl/>
          <w:lang w:bidi="ar"/>
        </w:rPr>
        <w:t xml:space="preserve"> خلال الفترة المذكورة من خلال معالجته لبطاقات التبليغ عن الشبكات الساتلية. </w:t>
      </w:r>
      <w:r w:rsidR="008C3F36">
        <w:rPr>
          <w:rFonts w:hint="cs"/>
          <w:rtl/>
          <w:lang w:bidi="ar"/>
        </w:rPr>
        <w:t>وتُعرض</w:t>
      </w:r>
      <w:r w:rsidRPr="00B108FD">
        <w:rPr>
          <w:rFonts w:hint="cs"/>
          <w:rtl/>
          <w:lang w:bidi="ar"/>
        </w:rPr>
        <w:t xml:space="preserve"> البيانات المقابلة في الشكل </w:t>
      </w:r>
      <w:r w:rsidR="008C3F36">
        <w:rPr>
          <w:lang w:bidi="ar"/>
        </w:rPr>
        <w:t>2</w:t>
      </w:r>
      <w:r w:rsidRPr="00B108FD">
        <w:rPr>
          <w:rFonts w:hint="cs"/>
          <w:rtl/>
          <w:lang w:bidi="ar"/>
        </w:rPr>
        <w:t>. و</w:t>
      </w:r>
      <w:r w:rsidR="00FA6C0F">
        <w:rPr>
          <w:rFonts w:hint="cs"/>
          <w:rtl/>
          <w:lang w:bidi="ar"/>
        </w:rPr>
        <w:t>علاوةً</w:t>
      </w:r>
      <w:r w:rsidRPr="00B108FD">
        <w:rPr>
          <w:rFonts w:hint="cs"/>
          <w:rtl/>
          <w:lang w:bidi="ar"/>
        </w:rPr>
        <w:t xml:space="preserve"> على ذلك، تُستمد نسبة كبيرة من جانب الإيرادات في ميزانية الاتحاد من بيع منشورات قطاع الاتصالات الراديوية/مكتب الاتصالات الراديوية، والتي تربو قيمتها (بتقدير متحفظ جداً) على </w:t>
      </w:r>
      <w:r w:rsidR="008C3F36">
        <w:rPr>
          <w:lang w:bidi="ar"/>
        </w:rPr>
        <w:t>20</w:t>
      </w:r>
      <w:r w:rsidRPr="00B108FD">
        <w:rPr>
          <w:rFonts w:hint="cs"/>
          <w:rtl/>
          <w:lang w:bidi="ar"/>
        </w:rPr>
        <w:t xml:space="preserve"> مليوناً خلال فترة السنتين. وهكذا، يزود قطاع الاتصالات الراديوية، ولا سيما مكتب الاتصالات الراديوية، الاتحادَ، من خلال أنشطتهما، بإيرادات تتعدى نصف ميزانية القطاع لفترة السنتين </w:t>
      </w:r>
      <w:r w:rsidRPr="00B108FD">
        <w:rPr>
          <w:lang w:bidi="ar"/>
        </w:rPr>
        <w:sym w:font="Symbol" w:char="F02D"/>
      </w:r>
      <w:r w:rsidRPr="00B108FD">
        <w:rPr>
          <w:rFonts w:hint="cs"/>
          <w:rtl/>
          <w:lang w:bidi="ar"/>
        </w:rPr>
        <w:t xml:space="preserve"> وهي حالة فريدة داخل الاتحاد ككل.</w:t>
      </w:r>
    </w:p>
    <w:p w:rsidR="00B108FD" w:rsidRPr="00B108FD" w:rsidRDefault="00B108FD" w:rsidP="008C3F36">
      <w:pPr>
        <w:pStyle w:val="FigureNo"/>
        <w:rPr>
          <w:rtl/>
          <w:lang w:bidi="ar-EG"/>
        </w:rPr>
      </w:pPr>
      <w:r w:rsidRPr="00B108FD">
        <w:rPr>
          <w:rFonts w:hint="cs"/>
          <w:rtl/>
          <w:lang w:bidi="ar-SY"/>
        </w:rPr>
        <w:lastRenderedPageBreak/>
        <w:t xml:space="preserve">الشكل </w:t>
      </w:r>
      <w:r w:rsidRPr="00B108FD">
        <w:rPr>
          <w:lang w:bidi="ar"/>
        </w:rPr>
        <w:t>2</w:t>
      </w:r>
    </w:p>
    <w:p w:rsidR="00B108FD" w:rsidRDefault="00B108FD" w:rsidP="009A1CFB">
      <w:pPr>
        <w:pStyle w:val="Figuretitle"/>
        <w:spacing w:after="120"/>
        <w:rPr>
          <w:rtl/>
        </w:rPr>
      </w:pPr>
      <w:r w:rsidRPr="00B108FD">
        <w:rPr>
          <w:rFonts w:hint="cs"/>
          <w:rtl/>
        </w:rPr>
        <w:t xml:space="preserve">الإيرادات المتأتية من معالجة بطاقات التبليغ عن الشبكات الساتلية </w:t>
      </w:r>
      <w:r w:rsidR="008C3F36">
        <w:rPr>
          <w:rFonts w:hint="cs"/>
          <w:rtl/>
        </w:rPr>
        <w:t>خلال</w:t>
      </w:r>
      <w:r w:rsidRPr="00B108FD">
        <w:rPr>
          <w:rFonts w:hint="cs"/>
          <w:rtl/>
        </w:rPr>
        <w:t xml:space="preserve"> الفترة</w:t>
      </w:r>
      <w:r w:rsidR="008C3F36">
        <w:rPr>
          <w:rFonts w:hint="eastAsia"/>
          <w:rtl/>
        </w:rPr>
        <w:t> </w:t>
      </w:r>
      <w:r w:rsidR="008C3F36">
        <w:t>2015-2002</w:t>
      </w:r>
      <w:r w:rsidRPr="00B108FD">
        <w:rPr>
          <w:rFonts w:hint="cs"/>
          <w:rtl/>
        </w:rPr>
        <w:t xml:space="preserve">، </w:t>
      </w:r>
      <w:r w:rsidR="008C3F36">
        <w:rPr>
          <w:rtl/>
        </w:rPr>
        <w:br/>
      </w:r>
      <w:r w:rsidRPr="00B108FD">
        <w:rPr>
          <w:rFonts w:hint="cs"/>
          <w:rtl/>
        </w:rPr>
        <w:t>والتنبؤات بشأن الفترة</w:t>
      </w:r>
      <w:r w:rsidR="008C3F36">
        <w:rPr>
          <w:rFonts w:hint="eastAsia"/>
          <w:rtl/>
        </w:rPr>
        <w:t> </w:t>
      </w:r>
      <w:r w:rsidR="008C3F36">
        <w:t>2019-2016</w:t>
      </w:r>
    </w:p>
    <w:p w:rsidR="006B77DC" w:rsidRPr="006B77DC" w:rsidRDefault="006B77DC" w:rsidP="006B77DC">
      <w:pPr>
        <w:keepNext/>
        <w:jc w:val="right"/>
        <w:rPr>
          <w:b/>
          <w:bCs/>
          <w:rtl/>
        </w:rPr>
      </w:pPr>
      <w:r w:rsidRPr="006B77DC">
        <w:rPr>
          <w:rFonts w:hint="cs"/>
          <w:b/>
          <w:bCs/>
          <w:sz w:val="18"/>
          <w:szCs w:val="26"/>
          <w:rtl/>
        </w:rPr>
        <w:t>بآلاف الفرنكات السويسرية</w:t>
      </w:r>
      <w:r w:rsidR="00B13C64">
        <w:rPr>
          <w:rFonts w:hint="eastAsia"/>
          <w:b/>
          <w:bCs/>
          <w:sz w:val="18"/>
          <w:szCs w:val="26"/>
          <w:rtl/>
        </w:rPr>
        <w:t>   </w:t>
      </w:r>
    </w:p>
    <w:p w:rsidR="00B108FD" w:rsidRPr="00B108FD" w:rsidRDefault="006B77DC" w:rsidP="00B13C64">
      <w:pPr>
        <w:spacing w:before="0" w:after="100" w:afterAutospacing="1" w:line="240" w:lineRule="auto"/>
        <w:jc w:val="center"/>
        <w:rPr>
          <w:b/>
          <w:bCs/>
          <w:rtl/>
        </w:rPr>
      </w:pPr>
      <w:r>
        <w:rPr>
          <w:rFonts w:hint="cs"/>
          <w:noProof/>
          <w:rtl/>
          <w:lang w:eastAsia="zh-CN"/>
        </w:rPr>
        <mc:AlternateContent>
          <mc:Choice Requires="wps">
            <w:drawing>
              <wp:anchor distT="0" distB="0" distL="114300" distR="114300" simplePos="0" relativeHeight="251657216" behindDoc="0" locked="0" layoutInCell="1" allowOverlap="1" wp14:anchorId="675CF1ED" wp14:editId="73BA0E4D">
                <wp:simplePos x="0" y="0"/>
                <wp:positionH relativeFrom="column">
                  <wp:posOffset>986790</wp:posOffset>
                </wp:positionH>
                <wp:positionV relativeFrom="paragraph">
                  <wp:posOffset>795</wp:posOffset>
                </wp:positionV>
                <wp:extent cx="4486372" cy="522514"/>
                <wp:effectExtent l="0" t="0" r="0" b="0"/>
                <wp:wrapNone/>
                <wp:docPr id="1" name="Text Box 1"/>
                <wp:cNvGraphicFramePr/>
                <a:graphic xmlns:a="http://schemas.openxmlformats.org/drawingml/2006/main">
                  <a:graphicData uri="http://schemas.microsoft.com/office/word/2010/wordprocessingShape">
                    <wps:wsp>
                      <wps:cNvSpPr txBox="1"/>
                      <wps:spPr>
                        <a:xfrm>
                          <a:off x="0" y="0"/>
                          <a:ext cx="4486372" cy="5225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3F36" w:rsidRDefault="008C3F36" w:rsidP="008C3F36">
                            <w:pPr>
                              <w:jc w:val="center"/>
                            </w:pPr>
                            <w:r w:rsidRPr="00B108FD">
                              <w:rPr>
                                <w:rFonts w:hint="cs"/>
                                <w:b/>
                                <w:bCs/>
                                <w:rtl/>
                                <w:lang w:bidi="ar"/>
                              </w:rPr>
                              <w:t>استرداد تكاليف</w:t>
                            </w:r>
                            <w:r w:rsidR="006B7D4C">
                              <w:rPr>
                                <w:rFonts w:hint="cs"/>
                                <w:b/>
                                <w:bCs/>
                                <w:rtl/>
                                <w:lang w:bidi="ar"/>
                              </w:rPr>
                              <w:t xml:space="preserve"> معالجة بطاقات</w:t>
                            </w:r>
                            <w:r w:rsidRPr="00B108FD">
                              <w:rPr>
                                <w:rFonts w:hint="cs"/>
                                <w:b/>
                                <w:bCs/>
                                <w:rtl/>
                                <w:lang w:bidi="ar"/>
                              </w:rPr>
                              <w:t xml:space="preserve"> التبليغ عن الشبكات الساتلية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CF1ED" id="Text Box 1" o:spid="_x0000_s1027" type="#_x0000_t202" style="position:absolute;left:0;text-align:left;margin-left:77.7pt;margin-top:.05pt;width:353.25pt;height:4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" filled="f" stroked="f" strokeweight=".5pt">
                <v:textbox>
                  <w:txbxContent>
                    <w:p w:rsidR="008C3F36" w:rsidRDefault="008C3F36" w:rsidP="008C3F36">
                      <w:pPr>
                        <w:jc w:val="center"/>
                      </w:pPr>
                      <w:r w:rsidRPr="00B108FD">
                        <w:rPr>
                          <w:rFonts w:hint="cs"/>
                          <w:b/>
                          <w:bCs/>
                          <w:rtl/>
                          <w:lang w:bidi="ar"/>
                        </w:rPr>
                        <w:t>استرداد تكاليف</w:t>
                      </w:r>
                      <w:r w:rsidR="006B7D4C">
                        <w:rPr>
                          <w:rFonts w:hint="cs"/>
                          <w:b/>
                          <w:bCs/>
                          <w:rtl/>
                          <w:lang w:bidi="ar"/>
                        </w:rPr>
                        <w:t xml:space="preserve"> معالجة بطاقات</w:t>
                      </w:r>
                      <w:r w:rsidRPr="00B108FD">
                        <w:rPr>
                          <w:rFonts w:hint="cs"/>
                          <w:b/>
                          <w:bCs/>
                          <w:rtl/>
                          <w:lang w:bidi="ar"/>
                        </w:rPr>
                        <w:t xml:space="preserve"> التبليغ عن الشبكات الساتلية</w:t>
                      </w:r>
                    </w:p>
                  </w:txbxContent>
                </v:textbox>
              </v:shape>
            </w:pict>
          </mc:Fallback>
        </mc:AlternateContent>
      </w:r>
      <w:r w:rsidR="00B108FD" w:rsidRPr="00B108FD">
        <w:rPr>
          <w:b/>
          <w:bCs/>
          <w:noProof/>
          <w:lang w:eastAsia="zh-CN"/>
        </w:rPr>
        <w:drawing>
          <wp:inline distT="0" distB="0" distL="0" distR="0" wp14:anchorId="37BD2A48" wp14:editId="6F0BEB03">
            <wp:extent cx="5838825" cy="3543299"/>
            <wp:effectExtent l="0" t="0" r="9525" b="63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108FD" w:rsidRPr="00B108FD" w:rsidRDefault="00B108FD" w:rsidP="009A1CFB">
      <w:pPr>
        <w:spacing w:before="360"/>
        <w:rPr>
          <w:rtl/>
          <w:lang w:bidi="ar"/>
        </w:rPr>
      </w:pPr>
      <w:bookmarkStart w:id="16" w:name="lt_pId117"/>
      <w:r w:rsidRPr="00B108FD">
        <w:rPr>
          <w:rFonts w:hint="cs"/>
          <w:rtl/>
          <w:lang w:bidi="ar"/>
        </w:rPr>
        <w:t>يعزى الانخفاض في الإيرادات المتأتية من معالجة بطاقات التبليغ عن الشبكات الساتلية في الفترة</w:t>
      </w:r>
      <w:r w:rsidR="008C3F36">
        <w:rPr>
          <w:rFonts w:hint="eastAsia"/>
          <w:rtl/>
          <w:lang w:bidi="ar"/>
        </w:rPr>
        <w:t> </w:t>
      </w:r>
      <w:r w:rsidR="008C3F36">
        <w:rPr>
          <w:lang w:bidi="ar"/>
        </w:rPr>
        <w:t>2009-2008</w:t>
      </w:r>
      <w:r w:rsidR="009A1CFB">
        <w:rPr>
          <w:rFonts w:hint="cs"/>
          <w:rtl/>
          <w:lang w:bidi="ar"/>
        </w:rPr>
        <w:t xml:space="preserve"> </w:t>
      </w:r>
      <w:r w:rsidRPr="00B108FD">
        <w:rPr>
          <w:rFonts w:hint="cs"/>
          <w:rtl/>
          <w:lang w:bidi="ar"/>
        </w:rPr>
        <w:t xml:space="preserve">إلى مراجعة منهجية تحديد التكاليف التي تنطوي عليها هذه المعالجة (المقرر </w:t>
      </w:r>
      <w:r w:rsidR="008C3F36">
        <w:rPr>
          <w:lang w:bidi="ar"/>
        </w:rPr>
        <w:t>482</w:t>
      </w:r>
      <w:r w:rsidRPr="00B108FD">
        <w:rPr>
          <w:rFonts w:hint="cs"/>
          <w:rtl/>
          <w:lang w:bidi="ar"/>
        </w:rPr>
        <w:t xml:space="preserve"> الذي اعتمده المجلس في دورته لعام </w:t>
      </w:r>
      <w:r w:rsidR="008C3F36">
        <w:rPr>
          <w:lang w:bidi="ar"/>
        </w:rPr>
        <w:t>2008</w:t>
      </w:r>
      <w:r w:rsidRPr="00B108FD">
        <w:rPr>
          <w:rFonts w:hint="cs"/>
          <w:rtl/>
          <w:lang w:bidi="ar"/>
        </w:rPr>
        <w:t xml:space="preserve">) والمراجعة المقابلة للفواتير وفقاً للمقرر </w:t>
      </w:r>
      <w:r w:rsidR="008C3F36">
        <w:rPr>
          <w:lang w:bidi="ar"/>
        </w:rPr>
        <w:t>10</w:t>
      </w:r>
      <w:r w:rsidRPr="00B108FD">
        <w:rPr>
          <w:rFonts w:hint="cs"/>
          <w:rtl/>
          <w:lang w:bidi="ar"/>
        </w:rPr>
        <w:t xml:space="preserve"> (أنطاليا، </w:t>
      </w:r>
      <w:r w:rsidR="008C3F36">
        <w:rPr>
          <w:lang w:bidi="ar"/>
        </w:rPr>
        <w:t>2006</w:t>
      </w:r>
      <w:r w:rsidRPr="00B108FD">
        <w:rPr>
          <w:rFonts w:hint="cs"/>
          <w:rtl/>
          <w:lang w:bidi="ar"/>
        </w:rPr>
        <w:t xml:space="preserve">) والمقرر </w:t>
      </w:r>
      <w:r w:rsidR="008C3F36">
        <w:rPr>
          <w:lang w:bidi="ar"/>
        </w:rPr>
        <w:t>545</w:t>
      </w:r>
      <w:r w:rsidRPr="00B108FD">
        <w:rPr>
          <w:rFonts w:hint="cs"/>
          <w:rtl/>
          <w:lang w:bidi="ar"/>
        </w:rPr>
        <w:t xml:space="preserve"> (المجلس في دورته لعام </w:t>
      </w:r>
      <w:r w:rsidR="008C3F36">
        <w:rPr>
          <w:lang w:bidi="ar"/>
        </w:rPr>
        <w:t>2007</w:t>
      </w:r>
      <w:r w:rsidRPr="00B108FD">
        <w:rPr>
          <w:rFonts w:hint="cs"/>
          <w:rtl/>
          <w:lang w:bidi="ar"/>
        </w:rPr>
        <w:t>).</w:t>
      </w:r>
    </w:p>
    <w:bookmarkEnd w:id="16"/>
    <w:p w:rsidR="00B108FD" w:rsidRPr="00B108FD" w:rsidRDefault="00B108FD" w:rsidP="006B7D4C">
      <w:pPr>
        <w:rPr>
          <w:rtl/>
          <w:lang w:bidi="ar"/>
        </w:rPr>
      </w:pPr>
      <w:r w:rsidRPr="00B108FD">
        <w:rPr>
          <w:rFonts w:hint="cs"/>
          <w:rtl/>
          <w:lang w:bidi="ar"/>
        </w:rPr>
        <w:t xml:space="preserve">وعند إجراء تحليل للموارد المالية لقطاع الاتصالات الراديوية خلال الفترة المعنية، </w:t>
      </w:r>
      <w:r w:rsidR="006B7D4C">
        <w:rPr>
          <w:rFonts w:hint="cs"/>
          <w:rtl/>
          <w:lang w:bidi="ar"/>
        </w:rPr>
        <w:t>من المهم</w:t>
      </w:r>
      <w:r w:rsidRPr="00B108FD">
        <w:rPr>
          <w:rFonts w:hint="cs"/>
          <w:rtl/>
          <w:lang w:bidi="ar"/>
        </w:rPr>
        <w:t xml:space="preserve"> الإشارة إلى أن تلك السنوات نفسها اتسمت بانخفاض الموارد المالية للاتحاد ككل. لذلك من الأجدى تقديم رقم لتمويل قطاعات الاتحاد والأمانة العامة نسبةً إلى "متوسط ميزانية كل قطاع والأمانة العامة على مدى الفترة</w:t>
      </w:r>
      <w:r w:rsidR="008C3F36">
        <w:rPr>
          <w:rFonts w:hint="eastAsia"/>
          <w:rtl/>
          <w:lang w:bidi="ar-EG"/>
        </w:rPr>
        <w:t> </w:t>
      </w:r>
      <w:r w:rsidR="008C3F36">
        <w:rPr>
          <w:lang w:bidi="ar-EG"/>
        </w:rPr>
        <w:t>2017-1996</w:t>
      </w:r>
      <w:r w:rsidRPr="00B108FD">
        <w:rPr>
          <w:rFonts w:hint="cs"/>
          <w:rtl/>
          <w:lang w:bidi="ar"/>
        </w:rPr>
        <w:t xml:space="preserve">"، على النحو المبين في الجدول </w:t>
      </w:r>
      <w:r w:rsidR="008C3F36">
        <w:rPr>
          <w:lang w:bidi="ar"/>
        </w:rPr>
        <w:t>2</w:t>
      </w:r>
      <w:r w:rsidRPr="00B108FD">
        <w:rPr>
          <w:rFonts w:hint="cs"/>
          <w:rtl/>
          <w:lang w:bidi="ar"/>
        </w:rPr>
        <w:t>.</w:t>
      </w:r>
    </w:p>
    <w:p w:rsidR="00B108FD" w:rsidRPr="00B108FD" w:rsidRDefault="00B108FD" w:rsidP="008C3F36">
      <w:pPr>
        <w:pStyle w:val="TableNo"/>
        <w:rPr>
          <w:rtl/>
          <w:lang w:bidi="ar-EG"/>
        </w:rPr>
      </w:pPr>
      <w:r w:rsidRPr="00B108FD">
        <w:rPr>
          <w:rFonts w:hint="cs"/>
          <w:rtl/>
          <w:lang w:bidi="ar-SY"/>
        </w:rPr>
        <w:t xml:space="preserve">الجدول </w:t>
      </w:r>
      <w:r w:rsidRPr="00B108FD">
        <w:rPr>
          <w:lang w:bidi="ar"/>
        </w:rPr>
        <w:t>2</w:t>
      </w:r>
    </w:p>
    <w:p w:rsidR="00B108FD" w:rsidRDefault="00B108FD" w:rsidP="006B7D4C">
      <w:pPr>
        <w:pStyle w:val="Tabletitle"/>
        <w:rPr>
          <w:rtl/>
          <w:lang w:bidi="ar"/>
        </w:rPr>
      </w:pPr>
      <w:r w:rsidRPr="00B108FD">
        <w:rPr>
          <w:rFonts w:hint="cs"/>
          <w:rtl/>
          <w:lang w:bidi="ar"/>
        </w:rPr>
        <w:t>متوسط قيمة ميزانيات قطاعات الاتحاد والأمانة العامة خلال الفترة</w:t>
      </w:r>
      <w:r w:rsidR="008C3F36">
        <w:rPr>
          <w:rFonts w:hint="eastAsia"/>
          <w:rtl/>
          <w:lang w:bidi="ar"/>
        </w:rPr>
        <w:t> </w:t>
      </w:r>
      <w:r w:rsidR="008C3F36">
        <w:rPr>
          <w:lang w:bidi="ar"/>
        </w:rPr>
        <w:t>2017-1996</w:t>
      </w:r>
      <w:r w:rsidR="008C3F36">
        <w:rPr>
          <w:rFonts w:hint="cs"/>
          <w:rtl/>
          <w:lang w:bidi="ar"/>
        </w:rPr>
        <w:t xml:space="preserve"> </w:t>
      </w:r>
      <w:r w:rsidR="008C3F36">
        <w:rPr>
          <w:rtl/>
          <w:lang w:bidi="ar"/>
        </w:rPr>
        <w:br/>
      </w:r>
      <w:r w:rsidR="006B7D4C">
        <w:rPr>
          <w:rFonts w:hint="cs"/>
          <w:rtl/>
          <w:lang w:bidi="ar"/>
        </w:rPr>
        <w:t>وعلاقتها</w:t>
      </w:r>
      <w:r w:rsidRPr="00B108FD">
        <w:rPr>
          <w:rFonts w:hint="cs"/>
          <w:rtl/>
          <w:lang w:bidi="ar"/>
        </w:rPr>
        <w:t xml:space="preserve"> </w:t>
      </w:r>
      <w:r w:rsidR="006B7D4C">
        <w:rPr>
          <w:rFonts w:hint="cs"/>
          <w:rtl/>
          <w:lang w:bidi="ar"/>
        </w:rPr>
        <w:t xml:space="preserve">كنسبة مئوية مع </w:t>
      </w:r>
      <w:r w:rsidRPr="00B108FD">
        <w:rPr>
          <w:rFonts w:hint="cs"/>
          <w:rtl/>
          <w:lang w:bidi="ar"/>
        </w:rPr>
        <w:t xml:space="preserve">مشروع الميزانية للفترة </w:t>
      </w:r>
      <w:r w:rsidR="008C3F36">
        <w:rPr>
          <w:lang w:bidi="ar"/>
        </w:rPr>
        <w:t>2019-2018</w:t>
      </w:r>
    </w:p>
    <w:p w:rsidR="006B7D4C" w:rsidRPr="006B7D4C" w:rsidRDefault="00D54555" w:rsidP="006B7D4C">
      <w:pPr>
        <w:jc w:val="right"/>
        <w:rPr>
          <w:b/>
          <w:bCs/>
          <w:rtl/>
          <w:lang w:bidi="ar"/>
        </w:rPr>
      </w:pPr>
      <w:r>
        <w:rPr>
          <w:rFonts w:hint="cs"/>
          <w:b/>
          <w:bCs/>
          <w:sz w:val="18"/>
          <w:szCs w:val="26"/>
          <w:rtl/>
          <w:lang w:bidi="ar"/>
        </w:rPr>
        <w:t>بآلاف الفرنكات الس</w:t>
      </w:r>
      <w:r w:rsidR="006B7D4C" w:rsidRPr="006B7D4C">
        <w:rPr>
          <w:rFonts w:hint="cs"/>
          <w:b/>
          <w:bCs/>
          <w:sz w:val="18"/>
          <w:szCs w:val="26"/>
          <w:rtl/>
          <w:lang w:bidi="ar"/>
        </w:rPr>
        <w:t>ويسرية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795"/>
        <w:gridCol w:w="1795"/>
        <w:gridCol w:w="1796"/>
        <w:gridCol w:w="1418"/>
      </w:tblGrid>
      <w:tr w:rsidR="00B108FD" w:rsidRPr="00B108FD" w:rsidTr="009A1CFB">
        <w:trPr>
          <w:jc w:val="center"/>
        </w:trPr>
        <w:tc>
          <w:tcPr>
            <w:tcW w:w="2825" w:type="dxa"/>
            <w:vAlign w:val="center"/>
          </w:tcPr>
          <w:p w:rsidR="00B108FD" w:rsidRPr="00B108FD" w:rsidRDefault="006B7D4C" w:rsidP="006B77DC">
            <w:pPr>
              <w:pStyle w:val="Tablehead"/>
              <w:rPr>
                <w:lang w:bidi="ar"/>
              </w:rPr>
            </w:pPr>
            <w:r>
              <w:rPr>
                <w:rFonts w:hint="cs"/>
                <w:rtl/>
              </w:rPr>
              <w:t>القطاع</w:t>
            </w:r>
          </w:p>
        </w:tc>
        <w:tc>
          <w:tcPr>
            <w:tcW w:w="1795" w:type="dxa"/>
            <w:tcMar>
              <w:left w:w="57" w:type="dxa"/>
              <w:right w:w="57" w:type="dxa"/>
            </w:tcMar>
            <w:vAlign w:val="center"/>
          </w:tcPr>
          <w:p w:rsidR="00B108FD" w:rsidRPr="00D54555" w:rsidRDefault="00B108FD" w:rsidP="006B77DC">
            <w:pPr>
              <w:pStyle w:val="Tablehead"/>
              <w:rPr>
                <w:spacing w:val="-6"/>
                <w:lang w:bidi="ar"/>
              </w:rPr>
            </w:pPr>
            <w:r w:rsidRPr="00D54555">
              <w:rPr>
                <w:rFonts w:hint="cs"/>
                <w:spacing w:val="-6"/>
                <w:rtl/>
              </w:rPr>
              <w:t>قطاع الاتصالات الراديوية</w:t>
            </w:r>
          </w:p>
        </w:tc>
        <w:tc>
          <w:tcPr>
            <w:tcW w:w="1795" w:type="dxa"/>
            <w:tcMar>
              <w:left w:w="57" w:type="dxa"/>
              <w:right w:w="57" w:type="dxa"/>
            </w:tcMar>
          </w:tcPr>
          <w:p w:rsidR="00B108FD" w:rsidRPr="00D54555" w:rsidRDefault="00B108FD" w:rsidP="006B77DC">
            <w:pPr>
              <w:pStyle w:val="Tablehead"/>
              <w:rPr>
                <w:spacing w:val="-6"/>
                <w:lang w:bidi="ar"/>
              </w:rPr>
            </w:pPr>
            <w:r w:rsidRPr="00D54555">
              <w:rPr>
                <w:rFonts w:hint="cs"/>
                <w:spacing w:val="-6"/>
                <w:rtl/>
              </w:rPr>
              <w:t>قطاع تنمية الاتصالات</w:t>
            </w:r>
          </w:p>
        </w:tc>
        <w:tc>
          <w:tcPr>
            <w:tcW w:w="1796" w:type="dxa"/>
            <w:tcMar>
              <w:left w:w="57" w:type="dxa"/>
              <w:right w:w="57" w:type="dxa"/>
            </w:tcMar>
          </w:tcPr>
          <w:p w:rsidR="00B108FD" w:rsidRPr="00D54555" w:rsidRDefault="00B108FD" w:rsidP="006B77DC">
            <w:pPr>
              <w:pStyle w:val="Tablehead"/>
              <w:rPr>
                <w:spacing w:val="-6"/>
                <w:lang w:bidi="ar"/>
              </w:rPr>
            </w:pPr>
            <w:r w:rsidRPr="00D54555">
              <w:rPr>
                <w:rFonts w:hint="cs"/>
                <w:spacing w:val="-6"/>
                <w:rtl/>
              </w:rPr>
              <w:t xml:space="preserve">قطاع تقييس الاتصالات </w:t>
            </w:r>
          </w:p>
        </w:tc>
        <w:tc>
          <w:tcPr>
            <w:tcW w:w="1418" w:type="dxa"/>
            <w:tcMar>
              <w:left w:w="57" w:type="dxa"/>
              <w:right w:w="57" w:type="dxa"/>
            </w:tcMar>
          </w:tcPr>
          <w:p w:rsidR="00B108FD" w:rsidRPr="00D54555" w:rsidRDefault="00B108FD" w:rsidP="006B77DC">
            <w:pPr>
              <w:pStyle w:val="Tablehead"/>
              <w:rPr>
                <w:spacing w:val="-6"/>
                <w:lang w:bidi="ar"/>
              </w:rPr>
            </w:pPr>
            <w:r w:rsidRPr="00D54555">
              <w:rPr>
                <w:rFonts w:hint="cs"/>
                <w:spacing w:val="-6"/>
                <w:rtl/>
              </w:rPr>
              <w:t>الأمانة العامة</w:t>
            </w:r>
          </w:p>
        </w:tc>
      </w:tr>
      <w:tr w:rsidR="00B108FD" w:rsidRPr="00B108FD" w:rsidTr="009A1CFB">
        <w:trPr>
          <w:jc w:val="center"/>
        </w:trPr>
        <w:tc>
          <w:tcPr>
            <w:tcW w:w="2825" w:type="dxa"/>
          </w:tcPr>
          <w:p w:rsidR="00B108FD" w:rsidRPr="00D54555" w:rsidRDefault="006B7D4C" w:rsidP="009A1CFB">
            <w:pPr>
              <w:pStyle w:val="Tabletext"/>
              <w:jc w:val="left"/>
              <w:rPr>
                <w:spacing w:val="-6"/>
                <w:rtl/>
                <w:lang w:val="en-US"/>
              </w:rPr>
            </w:pPr>
            <w:r w:rsidRPr="00D54555">
              <w:rPr>
                <w:rFonts w:hint="cs"/>
                <w:spacing w:val="-6"/>
                <w:rtl/>
                <w:lang w:val="en-US" w:bidi="ar"/>
              </w:rPr>
              <w:t>متوسط ميزانية السنتين</w:t>
            </w:r>
            <w:r w:rsidRPr="00D54555">
              <w:rPr>
                <w:spacing w:val="-6"/>
                <w:rtl/>
                <w:lang w:val="en-US" w:bidi="ar"/>
              </w:rPr>
              <w:br/>
            </w:r>
            <w:r w:rsidRPr="00D54555">
              <w:rPr>
                <w:spacing w:val="-6"/>
                <w:lang w:val="en-US" w:bidi="ar"/>
              </w:rPr>
              <w:t>(</w:t>
            </w:r>
            <w:r w:rsidR="009A1CFB">
              <w:rPr>
                <w:spacing w:val="-6"/>
                <w:lang w:val="en-US" w:bidi="ar"/>
              </w:rPr>
              <w:t>2017</w:t>
            </w:r>
            <w:r w:rsidRPr="00D54555">
              <w:rPr>
                <w:spacing w:val="-6"/>
                <w:lang w:val="en-US" w:bidi="ar"/>
              </w:rPr>
              <w:t>-1996)</w:t>
            </w:r>
            <w:r w:rsidRPr="00D54555">
              <w:rPr>
                <w:rFonts w:hint="cs"/>
                <w:spacing w:val="-6"/>
                <w:rtl/>
                <w:lang w:val="en-US"/>
              </w:rPr>
              <w:t xml:space="preserve"> - </w:t>
            </w:r>
            <w:r w:rsidRPr="00D54555">
              <w:rPr>
                <w:spacing w:val="-6"/>
                <w:lang w:val="en-US"/>
              </w:rPr>
              <w:t>A1</w:t>
            </w:r>
          </w:p>
        </w:tc>
        <w:tc>
          <w:tcPr>
            <w:tcW w:w="1795" w:type="dxa"/>
            <w:vAlign w:val="center"/>
          </w:tcPr>
          <w:p w:rsidR="00B108FD" w:rsidRPr="00B108FD" w:rsidRDefault="00B108FD" w:rsidP="006B77DC">
            <w:pPr>
              <w:pStyle w:val="Tabletext"/>
              <w:rPr>
                <w:lang w:val="en-US" w:bidi="ar"/>
              </w:rPr>
            </w:pPr>
            <w:r w:rsidRPr="00B108FD">
              <w:rPr>
                <w:lang w:val="en-US" w:bidi="ar"/>
              </w:rPr>
              <w:t>65 753</w:t>
            </w:r>
          </w:p>
        </w:tc>
        <w:tc>
          <w:tcPr>
            <w:tcW w:w="1795" w:type="dxa"/>
            <w:vAlign w:val="center"/>
          </w:tcPr>
          <w:p w:rsidR="00B108FD" w:rsidRPr="00B108FD" w:rsidRDefault="00B108FD" w:rsidP="006B77DC">
            <w:pPr>
              <w:pStyle w:val="Tabletext"/>
              <w:rPr>
                <w:lang w:val="en-US" w:bidi="ar"/>
              </w:rPr>
            </w:pPr>
            <w:r w:rsidRPr="00B108FD">
              <w:rPr>
                <w:lang w:val="en-US" w:bidi="ar"/>
              </w:rPr>
              <w:t>59 813</w:t>
            </w:r>
          </w:p>
        </w:tc>
        <w:tc>
          <w:tcPr>
            <w:tcW w:w="1796" w:type="dxa"/>
            <w:vAlign w:val="center"/>
          </w:tcPr>
          <w:p w:rsidR="00B108FD" w:rsidRPr="00B108FD" w:rsidRDefault="00B108FD" w:rsidP="006B77DC">
            <w:pPr>
              <w:pStyle w:val="Tabletext"/>
              <w:rPr>
                <w:lang w:val="en-US" w:bidi="ar"/>
              </w:rPr>
            </w:pPr>
            <w:r w:rsidRPr="00B108FD">
              <w:rPr>
                <w:lang w:val="en-US" w:bidi="ar"/>
              </w:rPr>
              <w:t>25 739</w:t>
            </w:r>
          </w:p>
        </w:tc>
        <w:tc>
          <w:tcPr>
            <w:tcW w:w="1418" w:type="dxa"/>
            <w:vAlign w:val="center"/>
          </w:tcPr>
          <w:p w:rsidR="00B108FD" w:rsidRPr="00B108FD" w:rsidRDefault="00B108FD" w:rsidP="006B77DC">
            <w:pPr>
              <w:pStyle w:val="Tabletext"/>
              <w:rPr>
                <w:lang w:val="en-US" w:bidi="ar"/>
              </w:rPr>
            </w:pPr>
            <w:r w:rsidRPr="00B108FD">
              <w:rPr>
                <w:lang w:val="en-US" w:bidi="ar"/>
              </w:rPr>
              <w:t>179 530</w:t>
            </w:r>
          </w:p>
        </w:tc>
      </w:tr>
      <w:tr w:rsidR="00B108FD" w:rsidRPr="00B108FD" w:rsidTr="009A1CFB">
        <w:trPr>
          <w:jc w:val="center"/>
        </w:trPr>
        <w:tc>
          <w:tcPr>
            <w:tcW w:w="2825" w:type="dxa"/>
          </w:tcPr>
          <w:p w:rsidR="00B108FD" w:rsidRPr="00D54555" w:rsidRDefault="006B7D4C" w:rsidP="006B77DC">
            <w:pPr>
              <w:pStyle w:val="Tabletext"/>
              <w:jc w:val="left"/>
              <w:rPr>
                <w:spacing w:val="-6"/>
                <w:rtl/>
                <w:lang w:val="en-US"/>
              </w:rPr>
            </w:pPr>
            <w:r w:rsidRPr="00D54555">
              <w:rPr>
                <w:rFonts w:hint="cs"/>
                <w:spacing w:val="-6"/>
                <w:rtl/>
                <w:lang w:val="en-US" w:bidi="ar"/>
              </w:rPr>
              <w:t>مشروع الميزانية للفترة </w:t>
            </w:r>
            <w:r w:rsidRPr="00D54555">
              <w:rPr>
                <w:spacing w:val="-6"/>
                <w:lang w:val="en-US" w:bidi="ar"/>
              </w:rPr>
              <w:t>2019-2018</w:t>
            </w:r>
            <w:r w:rsidRPr="00D54555">
              <w:rPr>
                <w:rFonts w:hint="cs"/>
                <w:spacing w:val="-6"/>
                <w:rtl/>
                <w:lang w:val="en-US"/>
              </w:rPr>
              <w:t xml:space="preserve"> - </w:t>
            </w:r>
            <w:r w:rsidRPr="00D54555">
              <w:rPr>
                <w:spacing w:val="-6"/>
                <w:lang w:val="en-US"/>
              </w:rPr>
              <w:t>A2</w:t>
            </w:r>
          </w:p>
        </w:tc>
        <w:tc>
          <w:tcPr>
            <w:tcW w:w="1795" w:type="dxa"/>
            <w:vAlign w:val="center"/>
          </w:tcPr>
          <w:p w:rsidR="00B108FD" w:rsidRPr="00B108FD" w:rsidRDefault="00B108FD" w:rsidP="006B77DC">
            <w:pPr>
              <w:pStyle w:val="Tabletext"/>
              <w:rPr>
                <w:lang w:val="en-US" w:bidi="ar"/>
              </w:rPr>
            </w:pPr>
            <w:r w:rsidRPr="00B108FD">
              <w:rPr>
                <w:lang w:val="en-US" w:bidi="ar"/>
              </w:rPr>
              <w:t>58 586</w:t>
            </w:r>
          </w:p>
        </w:tc>
        <w:tc>
          <w:tcPr>
            <w:tcW w:w="1795" w:type="dxa"/>
            <w:vAlign w:val="center"/>
          </w:tcPr>
          <w:p w:rsidR="00B108FD" w:rsidRPr="00B108FD" w:rsidRDefault="00B108FD" w:rsidP="006B77DC">
            <w:pPr>
              <w:pStyle w:val="Tabletext"/>
              <w:rPr>
                <w:lang w:val="en-US" w:bidi="ar"/>
              </w:rPr>
            </w:pPr>
            <w:r w:rsidRPr="00B108FD">
              <w:rPr>
                <w:lang w:val="en-US" w:bidi="ar"/>
              </w:rPr>
              <w:t>55 888</w:t>
            </w:r>
          </w:p>
        </w:tc>
        <w:tc>
          <w:tcPr>
            <w:tcW w:w="1796" w:type="dxa"/>
            <w:vAlign w:val="center"/>
          </w:tcPr>
          <w:p w:rsidR="00B108FD" w:rsidRPr="00B108FD" w:rsidRDefault="00B108FD" w:rsidP="006B77DC">
            <w:pPr>
              <w:pStyle w:val="Tabletext"/>
              <w:rPr>
                <w:lang w:val="en-US" w:bidi="ar"/>
              </w:rPr>
            </w:pPr>
            <w:r w:rsidRPr="00B108FD">
              <w:rPr>
                <w:lang w:val="en-US" w:bidi="ar"/>
              </w:rPr>
              <w:t>25 494</w:t>
            </w:r>
          </w:p>
        </w:tc>
        <w:tc>
          <w:tcPr>
            <w:tcW w:w="1418" w:type="dxa"/>
            <w:vAlign w:val="center"/>
          </w:tcPr>
          <w:p w:rsidR="00B108FD" w:rsidRPr="00B108FD" w:rsidRDefault="00B108FD" w:rsidP="006B77DC">
            <w:pPr>
              <w:pStyle w:val="Tabletext"/>
              <w:rPr>
                <w:lang w:val="en-US" w:bidi="ar"/>
              </w:rPr>
            </w:pPr>
            <w:r w:rsidRPr="00B108FD">
              <w:rPr>
                <w:lang w:val="en-US" w:bidi="ar"/>
              </w:rPr>
              <w:t>180 134</w:t>
            </w:r>
          </w:p>
        </w:tc>
      </w:tr>
      <w:tr w:rsidR="00B108FD" w:rsidRPr="00B108FD" w:rsidTr="009A1CFB">
        <w:trPr>
          <w:jc w:val="center"/>
        </w:trPr>
        <w:tc>
          <w:tcPr>
            <w:tcW w:w="2825" w:type="dxa"/>
          </w:tcPr>
          <w:p w:rsidR="00B108FD" w:rsidRPr="00D54555" w:rsidRDefault="00B108FD" w:rsidP="006B77DC">
            <w:pPr>
              <w:pStyle w:val="Tabletext"/>
              <w:jc w:val="left"/>
              <w:rPr>
                <w:spacing w:val="-6"/>
                <w:rtl/>
                <w:lang w:bidi="ar-SA"/>
              </w:rPr>
            </w:pPr>
            <w:bookmarkStart w:id="17" w:name="lt_pId139"/>
            <w:r w:rsidRPr="00D54555">
              <w:rPr>
                <w:spacing w:val="-6"/>
                <w:lang w:val="en-US" w:bidi="ar"/>
              </w:rPr>
              <w:t xml:space="preserve"> (%) 100 × А2/А1</w:t>
            </w:r>
            <w:bookmarkEnd w:id="17"/>
          </w:p>
        </w:tc>
        <w:tc>
          <w:tcPr>
            <w:tcW w:w="1795" w:type="dxa"/>
            <w:vAlign w:val="center"/>
          </w:tcPr>
          <w:p w:rsidR="00B108FD" w:rsidRPr="006B7D4C" w:rsidRDefault="00B108FD" w:rsidP="006B77DC">
            <w:pPr>
              <w:pStyle w:val="Tabletext"/>
              <w:rPr>
                <w:b/>
                <w:bCs/>
                <w:color w:val="FF0000"/>
                <w:lang w:val="en-US" w:bidi="ar"/>
              </w:rPr>
            </w:pPr>
            <w:r w:rsidRPr="006B7D4C">
              <w:rPr>
                <w:b/>
                <w:bCs/>
                <w:color w:val="FF0000"/>
                <w:lang w:val="en-US" w:bidi="ar"/>
              </w:rPr>
              <w:t>%89,1</w:t>
            </w:r>
          </w:p>
        </w:tc>
        <w:tc>
          <w:tcPr>
            <w:tcW w:w="1795" w:type="dxa"/>
            <w:vAlign w:val="center"/>
          </w:tcPr>
          <w:p w:rsidR="00B108FD" w:rsidRPr="006B7D4C" w:rsidRDefault="00B108FD" w:rsidP="006B77DC">
            <w:pPr>
              <w:pStyle w:val="Tabletext"/>
              <w:rPr>
                <w:b/>
                <w:bCs/>
                <w:lang w:val="en-US" w:bidi="ar"/>
              </w:rPr>
            </w:pPr>
            <w:r w:rsidRPr="006B7D4C">
              <w:rPr>
                <w:b/>
                <w:bCs/>
                <w:lang w:val="en-US" w:bidi="ar"/>
              </w:rPr>
              <w:t>%95,2</w:t>
            </w:r>
          </w:p>
        </w:tc>
        <w:tc>
          <w:tcPr>
            <w:tcW w:w="1796" w:type="dxa"/>
            <w:vAlign w:val="center"/>
          </w:tcPr>
          <w:p w:rsidR="00B108FD" w:rsidRPr="006B7D4C" w:rsidRDefault="00B108FD" w:rsidP="006B77DC">
            <w:pPr>
              <w:pStyle w:val="Tabletext"/>
              <w:rPr>
                <w:b/>
                <w:bCs/>
                <w:lang w:val="en-US" w:bidi="ar"/>
              </w:rPr>
            </w:pPr>
            <w:r w:rsidRPr="006B7D4C">
              <w:rPr>
                <w:b/>
                <w:bCs/>
                <w:lang w:val="en-US" w:bidi="ar"/>
              </w:rPr>
              <w:t>%99,0</w:t>
            </w:r>
          </w:p>
        </w:tc>
        <w:tc>
          <w:tcPr>
            <w:tcW w:w="1418" w:type="dxa"/>
            <w:vAlign w:val="center"/>
          </w:tcPr>
          <w:p w:rsidR="00B108FD" w:rsidRPr="006B7D4C" w:rsidRDefault="00B108FD" w:rsidP="006B77DC">
            <w:pPr>
              <w:pStyle w:val="Tabletext"/>
              <w:rPr>
                <w:b/>
                <w:bCs/>
                <w:lang w:val="en-US" w:bidi="ar"/>
              </w:rPr>
            </w:pPr>
            <w:r w:rsidRPr="006B7D4C">
              <w:rPr>
                <w:b/>
                <w:bCs/>
                <w:lang w:val="en-US" w:bidi="ar"/>
              </w:rPr>
              <w:t>100,3</w:t>
            </w:r>
          </w:p>
        </w:tc>
      </w:tr>
    </w:tbl>
    <w:p w:rsidR="00B108FD" w:rsidRPr="00B108FD" w:rsidRDefault="00B108FD" w:rsidP="008C3F36">
      <w:pPr>
        <w:pStyle w:val="Heading2"/>
        <w:rPr>
          <w:rtl/>
        </w:rPr>
      </w:pPr>
      <w:r w:rsidRPr="00B108FD">
        <w:lastRenderedPageBreak/>
        <w:t>2.2</w:t>
      </w:r>
      <w:r w:rsidRPr="00B108FD">
        <w:rPr>
          <w:rtl/>
          <w:lang w:bidi="ar-SA"/>
        </w:rPr>
        <w:tab/>
      </w:r>
      <w:r w:rsidRPr="00B108FD">
        <w:rPr>
          <w:rFonts w:hint="cs"/>
          <w:rtl/>
        </w:rPr>
        <w:t>تحليل الموارد البشرية لمكتب الاتصالات الراديوية خلال الفترة</w:t>
      </w:r>
      <w:r w:rsidR="008C3F36">
        <w:rPr>
          <w:rFonts w:hint="eastAsia"/>
          <w:rtl/>
        </w:rPr>
        <w:t> </w:t>
      </w:r>
      <w:r w:rsidR="008C3F36">
        <w:t>2017-2004</w:t>
      </w:r>
    </w:p>
    <w:p w:rsidR="00B108FD" w:rsidRPr="00B108FD" w:rsidRDefault="00B108FD" w:rsidP="006B7D4C">
      <w:pPr>
        <w:rPr>
          <w:b/>
          <w:bCs/>
          <w:rtl/>
        </w:rPr>
      </w:pPr>
      <w:r w:rsidRPr="00B108FD">
        <w:rPr>
          <w:rFonts w:hint="cs"/>
          <w:rtl/>
          <w:lang w:bidi="ar"/>
        </w:rPr>
        <w:t xml:space="preserve">يتضمن الجدول </w:t>
      </w:r>
      <w:r w:rsidR="008C3F36">
        <w:rPr>
          <w:lang w:bidi="ar"/>
        </w:rPr>
        <w:t>3</w:t>
      </w:r>
      <w:r w:rsidRPr="00B108FD">
        <w:rPr>
          <w:rFonts w:hint="cs"/>
          <w:rtl/>
          <w:lang w:bidi="ar"/>
        </w:rPr>
        <w:t xml:space="preserve"> بيانات إحصائية تبين تطور القو</w:t>
      </w:r>
      <w:r w:rsidR="006B7D4C">
        <w:rPr>
          <w:rFonts w:hint="cs"/>
          <w:rtl/>
          <w:lang w:bidi="ar"/>
        </w:rPr>
        <w:t>ة</w:t>
      </w:r>
      <w:r w:rsidRPr="00B108FD">
        <w:rPr>
          <w:rFonts w:hint="cs"/>
          <w:rtl/>
          <w:lang w:bidi="ar"/>
        </w:rPr>
        <w:t xml:space="preserve"> العاملة في مكتب الاتصالات الراديوية (الوظائف المدرجة في الميزانية) خلال الفترة</w:t>
      </w:r>
      <w:r w:rsidR="008C3F36">
        <w:rPr>
          <w:rFonts w:hint="eastAsia"/>
          <w:rtl/>
          <w:lang w:bidi="ar"/>
        </w:rPr>
        <w:t> </w:t>
      </w:r>
      <w:r w:rsidR="008C3F36">
        <w:rPr>
          <w:lang w:bidi="ar"/>
        </w:rPr>
        <w:t>2017-2004</w:t>
      </w:r>
      <w:r w:rsidRPr="00B108FD">
        <w:rPr>
          <w:rFonts w:hint="cs"/>
          <w:rtl/>
          <w:lang w:bidi="ar"/>
        </w:rPr>
        <w:t>، مع الأرقام المتوقعة للفترة</w:t>
      </w:r>
      <w:r w:rsidR="008C3F36">
        <w:rPr>
          <w:rFonts w:hint="eastAsia"/>
          <w:rtl/>
          <w:lang w:bidi="ar"/>
        </w:rPr>
        <w:t> </w:t>
      </w:r>
      <w:r w:rsidR="008C3F36">
        <w:rPr>
          <w:lang w:bidi="ar"/>
        </w:rPr>
        <w:t>2019-2018</w:t>
      </w:r>
      <w:r w:rsidRPr="00B108FD">
        <w:rPr>
          <w:rFonts w:hint="cs"/>
          <w:rtl/>
          <w:lang w:bidi="ar"/>
        </w:rPr>
        <w:t>.</w:t>
      </w:r>
    </w:p>
    <w:p w:rsidR="00B108FD" w:rsidRPr="00B108FD" w:rsidRDefault="00B108FD" w:rsidP="008C3F36">
      <w:pPr>
        <w:pStyle w:val="TableNo"/>
        <w:rPr>
          <w:rtl/>
          <w:lang w:bidi="ar-EG"/>
        </w:rPr>
      </w:pPr>
      <w:r w:rsidRPr="00B108FD">
        <w:rPr>
          <w:rFonts w:hint="cs"/>
          <w:rtl/>
          <w:lang w:bidi="ar-SY"/>
        </w:rPr>
        <w:t xml:space="preserve">الجدول </w:t>
      </w:r>
      <w:r w:rsidRPr="00B108FD">
        <w:rPr>
          <w:lang w:bidi="ar"/>
        </w:rPr>
        <w:t>3</w:t>
      </w:r>
    </w:p>
    <w:p w:rsidR="00B108FD" w:rsidRPr="00B108FD" w:rsidRDefault="006B7D4C" w:rsidP="008C3F36">
      <w:pPr>
        <w:pStyle w:val="Tabletitle"/>
        <w:rPr>
          <w:rtl/>
        </w:rPr>
      </w:pPr>
      <w:r>
        <w:rPr>
          <w:rFonts w:hint="cs"/>
          <w:rtl/>
          <w:lang w:bidi="ar"/>
        </w:rPr>
        <w:t>القوة</w:t>
      </w:r>
      <w:r w:rsidR="00B108FD" w:rsidRPr="00B108FD">
        <w:rPr>
          <w:rFonts w:hint="cs"/>
          <w:rtl/>
          <w:lang w:bidi="ar"/>
        </w:rPr>
        <w:t xml:space="preserve"> العاملة في مكتب الاتصالات الراديوية للاتحاد الدولي للاتصالات </w:t>
      </w:r>
      <w:r w:rsidR="00B108FD" w:rsidRPr="00B108FD">
        <w:rPr>
          <w:rtl/>
          <w:lang w:bidi="ar"/>
        </w:rPr>
        <w:t>خلال الفترة</w:t>
      </w:r>
      <w:r w:rsidR="008C3F36">
        <w:rPr>
          <w:rFonts w:hint="cs"/>
          <w:rtl/>
          <w:lang w:bidi="ar"/>
        </w:rPr>
        <w:t> </w:t>
      </w:r>
      <w:r w:rsidR="008C3F36">
        <w:rPr>
          <w:lang w:bidi="ar"/>
        </w:rPr>
        <w:t>2017-2004</w:t>
      </w:r>
      <w:r w:rsidR="00B108FD" w:rsidRPr="00B108FD">
        <w:rPr>
          <w:rFonts w:hint="cs"/>
          <w:rtl/>
          <w:lang w:bidi="ar"/>
        </w:rPr>
        <w:br/>
        <w:t xml:space="preserve">(الوظائف المدرجة في الميزانية - انظر الجدول </w:t>
      </w:r>
      <w:r w:rsidR="008C3F36">
        <w:rPr>
          <w:lang w:bidi="ar"/>
        </w:rPr>
        <w:t>1</w:t>
      </w:r>
      <w:r w:rsidR="00B108FD" w:rsidRPr="00B108FD">
        <w:rPr>
          <w:rFonts w:hint="cs"/>
          <w:rtl/>
          <w:lang w:bidi="ar"/>
        </w:rPr>
        <w:t>)</w:t>
      </w:r>
    </w:p>
    <w:tbl>
      <w:tblPr>
        <w:bidiVisual/>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B108FD" w:rsidRPr="00651E00" w:rsidTr="00651E00">
        <w:trPr>
          <w:trHeight w:val="315"/>
          <w:jc w:val="center"/>
        </w:trPr>
        <w:tc>
          <w:tcPr>
            <w:tcW w:w="1339" w:type="dxa"/>
            <w:noWrap/>
            <w:hideMark/>
          </w:tcPr>
          <w:p w:rsidR="00B108FD" w:rsidRPr="00651E00" w:rsidRDefault="00B108FD" w:rsidP="008C3F36">
            <w:pPr>
              <w:pStyle w:val="Tablehead"/>
              <w:rPr>
                <w:lang w:bidi="ar"/>
              </w:rPr>
            </w:pPr>
            <w:r w:rsidRPr="00651E00">
              <w:rPr>
                <w:rFonts w:hint="cs"/>
                <w:rtl/>
              </w:rPr>
              <w:t>السنة</w:t>
            </w:r>
          </w:p>
        </w:tc>
        <w:tc>
          <w:tcPr>
            <w:tcW w:w="1050" w:type="dxa"/>
            <w:noWrap/>
            <w:tcMar>
              <w:left w:w="29" w:type="dxa"/>
              <w:right w:w="29" w:type="dxa"/>
            </w:tcMar>
            <w:hideMark/>
          </w:tcPr>
          <w:p w:rsidR="00B108FD" w:rsidRPr="00651E00" w:rsidRDefault="00B108FD" w:rsidP="008C3F36">
            <w:pPr>
              <w:pStyle w:val="Tablehead"/>
              <w:rPr>
                <w:lang w:bidi="ar"/>
              </w:rPr>
            </w:pPr>
            <w:r w:rsidRPr="00651E00">
              <w:rPr>
                <w:lang w:bidi="ar"/>
              </w:rPr>
              <w:t>2004</w:t>
            </w:r>
          </w:p>
        </w:tc>
        <w:tc>
          <w:tcPr>
            <w:tcW w:w="1051" w:type="dxa"/>
            <w:noWrap/>
            <w:tcMar>
              <w:left w:w="29" w:type="dxa"/>
              <w:right w:w="29" w:type="dxa"/>
            </w:tcMar>
            <w:hideMark/>
          </w:tcPr>
          <w:p w:rsidR="00B108FD" w:rsidRPr="00651E00" w:rsidRDefault="00B108FD" w:rsidP="008C3F36">
            <w:pPr>
              <w:pStyle w:val="Tablehead"/>
              <w:rPr>
                <w:lang w:bidi="ar"/>
              </w:rPr>
            </w:pPr>
            <w:r w:rsidRPr="00651E00">
              <w:rPr>
                <w:lang w:bidi="ar"/>
              </w:rPr>
              <w:t>2005</w:t>
            </w:r>
          </w:p>
        </w:tc>
        <w:tc>
          <w:tcPr>
            <w:tcW w:w="1050" w:type="dxa"/>
            <w:tcMar>
              <w:left w:w="29" w:type="dxa"/>
              <w:right w:w="29" w:type="dxa"/>
            </w:tcMar>
          </w:tcPr>
          <w:p w:rsidR="00B108FD" w:rsidRPr="00651E00" w:rsidRDefault="00B108FD" w:rsidP="008C3F36">
            <w:pPr>
              <w:pStyle w:val="Tablehead"/>
              <w:rPr>
                <w:lang w:bidi="ar"/>
              </w:rPr>
            </w:pPr>
            <w:r w:rsidRPr="00651E00">
              <w:rPr>
                <w:lang w:bidi="ar"/>
              </w:rPr>
              <w:t>2006</w:t>
            </w:r>
          </w:p>
        </w:tc>
        <w:tc>
          <w:tcPr>
            <w:tcW w:w="1051" w:type="dxa"/>
          </w:tcPr>
          <w:p w:rsidR="00B108FD" w:rsidRPr="00651E00" w:rsidRDefault="00B108FD" w:rsidP="008C3F36">
            <w:pPr>
              <w:pStyle w:val="Tablehead"/>
              <w:rPr>
                <w:lang w:bidi="ar"/>
              </w:rPr>
            </w:pPr>
            <w:r w:rsidRPr="00651E00">
              <w:rPr>
                <w:lang w:bidi="ar"/>
              </w:rPr>
              <w:t>2007</w:t>
            </w:r>
          </w:p>
        </w:tc>
        <w:tc>
          <w:tcPr>
            <w:tcW w:w="1050" w:type="dxa"/>
          </w:tcPr>
          <w:p w:rsidR="00B108FD" w:rsidRPr="00651E00" w:rsidRDefault="00B108FD" w:rsidP="008C3F36">
            <w:pPr>
              <w:pStyle w:val="Tablehead"/>
              <w:rPr>
                <w:lang w:bidi="ar"/>
              </w:rPr>
            </w:pPr>
            <w:r w:rsidRPr="00651E00">
              <w:rPr>
                <w:lang w:bidi="ar"/>
              </w:rPr>
              <w:t>2008</w:t>
            </w:r>
          </w:p>
        </w:tc>
        <w:tc>
          <w:tcPr>
            <w:tcW w:w="1051" w:type="dxa"/>
          </w:tcPr>
          <w:p w:rsidR="00B108FD" w:rsidRPr="00651E00" w:rsidRDefault="00B108FD" w:rsidP="008C3F36">
            <w:pPr>
              <w:pStyle w:val="Tablehead"/>
              <w:rPr>
                <w:lang w:bidi="ar"/>
              </w:rPr>
            </w:pPr>
            <w:r w:rsidRPr="00651E00">
              <w:rPr>
                <w:lang w:bidi="ar"/>
              </w:rPr>
              <w:t>2009</w:t>
            </w:r>
          </w:p>
        </w:tc>
        <w:tc>
          <w:tcPr>
            <w:tcW w:w="1050" w:type="dxa"/>
          </w:tcPr>
          <w:p w:rsidR="00B108FD" w:rsidRPr="00651E00" w:rsidRDefault="00B108FD" w:rsidP="008C3F36">
            <w:pPr>
              <w:pStyle w:val="Tablehead"/>
              <w:rPr>
                <w:lang w:bidi="ar"/>
              </w:rPr>
            </w:pPr>
            <w:r w:rsidRPr="00651E00">
              <w:rPr>
                <w:lang w:bidi="ar"/>
              </w:rPr>
              <w:t>2010</w:t>
            </w:r>
          </w:p>
        </w:tc>
        <w:tc>
          <w:tcPr>
            <w:tcW w:w="1051" w:type="dxa"/>
          </w:tcPr>
          <w:p w:rsidR="00B108FD" w:rsidRPr="00651E00" w:rsidRDefault="00B108FD" w:rsidP="008C3F36">
            <w:pPr>
              <w:pStyle w:val="Tablehead"/>
              <w:rPr>
                <w:lang w:bidi="ar"/>
              </w:rPr>
            </w:pPr>
            <w:r w:rsidRPr="00651E00">
              <w:rPr>
                <w:lang w:bidi="ar"/>
              </w:rPr>
              <w:t>2011</w:t>
            </w:r>
          </w:p>
        </w:tc>
      </w:tr>
      <w:tr w:rsidR="00B108FD" w:rsidRPr="00651E00" w:rsidTr="00651E00">
        <w:trPr>
          <w:trHeight w:val="327"/>
          <w:jc w:val="center"/>
        </w:trPr>
        <w:tc>
          <w:tcPr>
            <w:tcW w:w="1339" w:type="dxa"/>
            <w:noWrap/>
            <w:hideMark/>
          </w:tcPr>
          <w:p w:rsidR="00B108FD" w:rsidRPr="00651E00" w:rsidRDefault="00B108FD" w:rsidP="008C3F36">
            <w:pPr>
              <w:pStyle w:val="Tabletext"/>
              <w:jc w:val="both"/>
              <w:rPr>
                <w:lang w:val="en-US" w:bidi="ar"/>
              </w:rPr>
            </w:pPr>
            <w:r w:rsidRPr="00651E00">
              <w:rPr>
                <w:rFonts w:hint="cs"/>
                <w:rtl/>
              </w:rPr>
              <w:t>الوثيقة</w:t>
            </w:r>
          </w:p>
        </w:tc>
        <w:tc>
          <w:tcPr>
            <w:tcW w:w="1050" w:type="dxa"/>
            <w:tcMar>
              <w:left w:w="29" w:type="dxa"/>
              <w:right w:w="29" w:type="dxa"/>
            </w:tcMar>
            <w:vAlign w:val="center"/>
            <w:hideMark/>
          </w:tcPr>
          <w:p w:rsidR="00B108FD" w:rsidRPr="00651E00" w:rsidRDefault="00006031" w:rsidP="008C3F36">
            <w:pPr>
              <w:pStyle w:val="Tabletext"/>
              <w:rPr>
                <w:u w:val="single"/>
                <w:lang w:val="en-US" w:bidi="ar"/>
              </w:rPr>
            </w:pPr>
            <w:hyperlink r:id="rId36" w:history="1">
              <w:bookmarkStart w:id="18" w:name="lt_pId160"/>
              <w:r w:rsidR="00B108FD" w:rsidRPr="00651E00">
                <w:rPr>
                  <w:rStyle w:val="Hyperlink"/>
                  <w:sz w:val="20"/>
                  <w:szCs w:val="26"/>
                  <w:lang w:val="en-US" w:bidi="ar"/>
                </w:rPr>
                <w:t>C05/10</w:t>
              </w:r>
              <w:bookmarkEnd w:id="18"/>
            </w:hyperlink>
          </w:p>
        </w:tc>
        <w:tc>
          <w:tcPr>
            <w:tcW w:w="1051" w:type="dxa"/>
            <w:tcMar>
              <w:left w:w="29" w:type="dxa"/>
              <w:right w:w="29" w:type="dxa"/>
            </w:tcMar>
            <w:vAlign w:val="center"/>
            <w:hideMark/>
          </w:tcPr>
          <w:p w:rsidR="00B108FD" w:rsidRPr="00651E00" w:rsidRDefault="00006031" w:rsidP="008C3F36">
            <w:pPr>
              <w:pStyle w:val="Tabletext"/>
              <w:rPr>
                <w:u w:val="single"/>
                <w:lang w:val="en-US" w:bidi="ar"/>
              </w:rPr>
            </w:pPr>
            <w:hyperlink r:id="rId37" w:history="1">
              <w:bookmarkStart w:id="19" w:name="lt_pId161"/>
              <w:r w:rsidR="00B108FD" w:rsidRPr="00651E00">
                <w:rPr>
                  <w:rStyle w:val="Hyperlink"/>
                  <w:sz w:val="20"/>
                  <w:szCs w:val="26"/>
                  <w:lang w:val="en-US" w:bidi="ar"/>
                </w:rPr>
                <w:t>C05/10</w:t>
              </w:r>
              <w:bookmarkEnd w:id="19"/>
            </w:hyperlink>
          </w:p>
        </w:tc>
        <w:tc>
          <w:tcPr>
            <w:tcW w:w="1050" w:type="dxa"/>
            <w:tcMar>
              <w:left w:w="29" w:type="dxa"/>
              <w:right w:w="29" w:type="dxa"/>
            </w:tcMar>
            <w:vAlign w:val="center"/>
          </w:tcPr>
          <w:p w:rsidR="00B108FD" w:rsidRPr="00651E00" w:rsidRDefault="00006031" w:rsidP="008C3F36">
            <w:pPr>
              <w:pStyle w:val="Tabletext"/>
              <w:rPr>
                <w:u w:val="single"/>
                <w:lang w:val="en-US" w:bidi="ar"/>
              </w:rPr>
            </w:pPr>
            <w:hyperlink r:id="rId38" w:history="1">
              <w:bookmarkStart w:id="20" w:name="lt_pId162"/>
              <w:r w:rsidR="00B108FD" w:rsidRPr="00651E00">
                <w:rPr>
                  <w:rStyle w:val="Hyperlink"/>
                  <w:sz w:val="20"/>
                  <w:szCs w:val="26"/>
                  <w:lang w:val="en-US" w:bidi="ar"/>
                </w:rPr>
                <w:t>C07/10</w:t>
              </w:r>
              <w:bookmarkEnd w:id="20"/>
            </w:hyperlink>
          </w:p>
        </w:tc>
        <w:tc>
          <w:tcPr>
            <w:tcW w:w="1051" w:type="dxa"/>
            <w:vAlign w:val="center"/>
          </w:tcPr>
          <w:p w:rsidR="00B108FD" w:rsidRPr="00651E00" w:rsidRDefault="00006031" w:rsidP="008C3F36">
            <w:pPr>
              <w:pStyle w:val="Tabletext"/>
              <w:rPr>
                <w:u w:val="single"/>
                <w:lang w:val="en-US" w:bidi="ar"/>
              </w:rPr>
            </w:pPr>
            <w:hyperlink r:id="rId39" w:history="1">
              <w:bookmarkStart w:id="21" w:name="lt_pId163"/>
              <w:r w:rsidR="00B108FD" w:rsidRPr="00651E00">
                <w:rPr>
                  <w:rStyle w:val="Hyperlink"/>
                  <w:sz w:val="20"/>
                  <w:szCs w:val="26"/>
                  <w:lang w:val="en-US" w:bidi="ar"/>
                </w:rPr>
                <w:t>C07/10</w:t>
              </w:r>
              <w:bookmarkEnd w:id="21"/>
            </w:hyperlink>
          </w:p>
        </w:tc>
        <w:tc>
          <w:tcPr>
            <w:tcW w:w="1050" w:type="dxa"/>
            <w:vAlign w:val="center"/>
          </w:tcPr>
          <w:p w:rsidR="00B108FD" w:rsidRPr="00651E00" w:rsidRDefault="00006031" w:rsidP="008C3F36">
            <w:pPr>
              <w:pStyle w:val="Tabletext"/>
              <w:rPr>
                <w:u w:val="single"/>
                <w:lang w:val="en-US" w:bidi="ar"/>
              </w:rPr>
            </w:pPr>
            <w:hyperlink r:id="rId40" w:history="1">
              <w:bookmarkStart w:id="22" w:name="lt_pId164"/>
              <w:r w:rsidR="00B108FD" w:rsidRPr="00651E00">
                <w:rPr>
                  <w:rStyle w:val="Hyperlink"/>
                  <w:sz w:val="20"/>
                  <w:szCs w:val="26"/>
                  <w:lang w:val="en-US" w:bidi="ar"/>
                </w:rPr>
                <w:t>C09/10</w:t>
              </w:r>
              <w:bookmarkEnd w:id="22"/>
            </w:hyperlink>
          </w:p>
        </w:tc>
        <w:tc>
          <w:tcPr>
            <w:tcW w:w="1051" w:type="dxa"/>
            <w:vAlign w:val="center"/>
          </w:tcPr>
          <w:p w:rsidR="00B108FD" w:rsidRPr="00651E00" w:rsidRDefault="00006031" w:rsidP="008C3F36">
            <w:pPr>
              <w:pStyle w:val="Tabletext"/>
              <w:rPr>
                <w:u w:val="single"/>
                <w:lang w:val="en-US" w:bidi="ar"/>
              </w:rPr>
            </w:pPr>
            <w:hyperlink r:id="rId41" w:history="1">
              <w:bookmarkStart w:id="23" w:name="lt_pId165"/>
              <w:r w:rsidR="00B108FD" w:rsidRPr="00651E00">
                <w:rPr>
                  <w:rStyle w:val="Hyperlink"/>
                  <w:sz w:val="20"/>
                  <w:szCs w:val="26"/>
                  <w:lang w:val="en-US" w:bidi="ar"/>
                </w:rPr>
                <w:t>C09/10</w:t>
              </w:r>
              <w:bookmarkEnd w:id="23"/>
            </w:hyperlink>
          </w:p>
        </w:tc>
        <w:tc>
          <w:tcPr>
            <w:tcW w:w="1050" w:type="dxa"/>
            <w:vAlign w:val="center"/>
          </w:tcPr>
          <w:p w:rsidR="00B108FD" w:rsidRPr="00651E00" w:rsidRDefault="00006031" w:rsidP="008C3F36">
            <w:pPr>
              <w:pStyle w:val="Tabletext"/>
              <w:rPr>
                <w:u w:val="single"/>
                <w:lang w:val="en-US" w:bidi="ar"/>
              </w:rPr>
            </w:pPr>
            <w:hyperlink r:id="rId42" w:history="1">
              <w:bookmarkStart w:id="24" w:name="lt_pId166"/>
              <w:r w:rsidR="00B108FD" w:rsidRPr="00651E00">
                <w:rPr>
                  <w:rStyle w:val="Hyperlink"/>
                  <w:sz w:val="20"/>
                  <w:szCs w:val="26"/>
                  <w:lang w:val="en-US" w:bidi="ar"/>
                </w:rPr>
                <w:t>C17/10</w:t>
              </w:r>
              <w:bookmarkEnd w:id="24"/>
            </w:hyperlink>
          </w:p>
        </w:tc>
        <w:tc>
          <w:tcPr>
            <w:tcW w:w="1051" w:type="dxa"/>
            <w:vAlign w:val="center"/>
          </w:tcPr>
          <w:p w:rsidR="00B108FD" w:rsidRPr="00651E00" w:rsidRDefault="00006031" w:rsidP="008C3F36">
            <w:pPr>
              <w:pStyle w:val="Tabletext"/>
              <w:rPr>
                <w:u w:val="single"/>
                <w:lang w:val="en-US" w:bidi="ar"/>
              </w:rPr>
            </w:pPr>
            <w:hyperlink r:id="rId43" w:history="1">
              <w:bookmarkStart w:id="25" w:name="lt_pId167"/>
              <w:r w:rsidR="00B108FD" w:rsidRPr="00651E00">
                <w:rPr>
                  <w:rStyle w:val="Hyperlink"/>
                  <w:sz w:val="20"/>
                  <w:szCs w:val="26"/>
                  <w:lang w:val="en-US" w:bidi="ar"/>
                </w:rPr>
                <w:t>C17/10</w:t>
              </w:r>
              <w:bookmarkEnd w:id="25"/>
            </w:hyperlink>
          </w:p>
        </w:tc>
      </w:tr>
      <w:tr w:rsidR="00B108FD" w:rsidRPr="00651E00" w:rsidTr="00651E00">
        <w:trPr>
          <w:trHeight w:val="300"/>
          <w:jc w:val="center"/>
        </w:trPr>
        <w:tc>
          <w:tcPr>
            <w:tcW w:w="1339" w:type="dxa"/>
            <w:noWrap/>
            <w:hideMark/>
          </w:tcPr>
          <w:p w:rsidR="00B108FD" w:rsidRPr="00651E00" w:rsidRDefault="00B108FD" w:rsidP="008C3F36">
            <w:pPr>
              <w:pStyle w:val="Tabletext"/>
              <w:jc w:val="both"/>
              <w:rPr>
                <w:lang w:val="en-US" w:bidi="ar"/>
              </w:rPr>
            </w:pPr>
            <w:r w:rsidRPr="00651E00">
              <w:rPr>
                <w:rFonts w:hint="cs"/>
                <w:rtl/>
              </w:rPr>
              <w:t>الصفحة</w:t>
            </w:r>
          </w:p>
        </w:tc>
        <w:tc>
          <w:tcPr>
            <w:tcW w:w="1050" w:type="dxa"/>
            <w:noWrap/>
            <w:vAlign w:val="center"/>
            <w:hideMark/>
          </w:tcPr>
          <w:p w:rsidR="00B108FD" w:rsidRPr="00651E00" w:rsidRDefault="00B108FD" w:rsidP="008C3F36">
            <w:pPr>
              <w:pStyle w:val="Tabletext"/>
              <w:rPr>
                <w:lang w:val="en-US" w:bidi="ar"/>
              </w:rPr>
            </w:pPr>
            <w:r w:rsidRPr="00651E00">
              <w:rPr>
                <w:lang w:val="en-US" w:bidi="ar"/>
              </w:rPr>
              <w:t>205</w:t>
            </w:r>
          </w:p>
        </w:tc>
        <w:tc>
          <w:tcPr>
            <w:tcW w:w="1051" w:type="dxa"/>
            <w:noWrap/>
            <w:vAlign w:val="center"/>
            <w:hideMark/>
          </w:tcPr>
          <w:p w:rsidR="00B108FD" w:rsidRPr="00651E00" w:rsidRDefault="00B108FD" w:rsidP="008C3F36">
            <w:pPr>
              <w:pStyle w:val="Tabletext"/>
              <w:rPr>
                <w:lang w:val="en-US" w:bidi="ar"/>
              </w:rPr>
            </w:pPr>
            <w:r w:rsidRPr="00651E00">
              <w:rPr>
                <w:lang w:val="en-US" w:bidi="ar"/>
              </w:rPr>
              <w:t>205</w:t>
            </w:r>
          </w:p>
        </w:tc>
        <w:tc>
          <w:tcPr>
            <w:tcW w:w="1050" w:type="dxa"/>
            <w:vAlign w:val="center"/>
          </w:tcPr>
          <w:p w:rsidR="00B108FD" w:rsidRPr="00651E00" w:rsidRDefault="00B108FD" w:rsidP="008C3F36">
            <w:pPr>
              <w:pStyle w:val="Tabletext"/>
              <w:rPr>
                <w:lang w:val="en-US" w:bidi="ar"/>
              </w:rPr>
            </w:pPr>
            <w:r w:rsidRPr="00651E00">
              <w:rPr>
                <w:lang w:val="en-US" w:bidi="ar"/>
              </w:rPr>
              <w:t>226</w:t>
            </w:r>
          </w:p>
        </w:tc>
        <w:tc>
          <w:tcPr>
            <w:tcW w:w="1051" w:type="dxa"/>
            <w:vAlign w:val="center"/>
          </w:tcPr>
          <w:p w:rsidR="00B108FD" w:rsidRPr="00651E00" w:rsidRDefault="00B108FD" w:rsidP="008C3F36">
            <w:pPr>
              <w:pStyle w:val="Tabletext"/>
              <w:rPr>
                <w:lang w:val="en-US" w:bidi="ar"/>
              </w:rPr>
            </w:pPr>
            <w:r w:rsidRPr="00651E00">
              <w:rPr>
                <w:lang w:val="en-US" w:bidi="ar"/>
              </w:rPr>
              <w:t>226</w:t>
            </w:r>
          </w:p>
        </w:tc>
        <w:tc>
          <w:tcPr>
            <w:tcW w:w="1050" w:type="dxa"/>
            <w:vAlign w:val="center"/>
          </w:tcPr>
          <w:p w:rsidR="00B108FD" w:rsidRPr="00651E00" w:rsidRDefault="00B108FD" w:rsidP="008C3F36">
            <w:pPr>
              <w:pStyle w:val="Tabletext"/>
              <w:rPr>
                <w:lang w:val="en-US" w:bidi="ar"/>
              </w:rPr>
            </w:pPr>
            <w:r w:rsidRPr="00651E00">
              <w:rPr>
                <w:lang w:val="en-US" w:bidi="ar"/>
              </w:rPr>
              <w:t>137</w:t>
            </w:r>
          </w:p>
        </w:tc>
        <w:tc>
          <w:tcPr>
            <w:tcW w:w="1051" w:type="dxa"/>
            <w:vAlign w:val="center"/>
          </w:tcPr>
          <w:p w:rsidR="00B108FD" w:rsidRPr="00651E00" w:rsidRDefault="00B108FD" w:rsidP="008C3F36">
            <w:pPr>
              <w:pStyle w:val="Tabletext"/>
              <w:rPr>
                <w:lang w:val="en-US" w:bidi="ar"/>
              </w:rPr>
            </w:pPr>
            <w:r w:rsidRPr="00651E00">
              <w:rPr>
                <w:lang w:val="en-US" w:bidi="ar"/>
              </w:rPr>
              <w:t>137</w:t>
            </w:r>
          </w:p>
        </w:tc>
        <w:tc>
          <w:tcPr>
            <w:tcW w:w="1050" w:type="dxa"/>
            <w:vAlign w:val="center"/>
          </w:tcPr>
          <w:p w:rsidR="00B108FD" w:rsidRPr="00651E00" w:rsidRDefault="00B108FD" w:rsidP="008C3F36">
            <w:pPr>
              <w:pStyle w:val="Tabletext"/>
              <w:rPr>
                <w:lang w:val="en-US" w:bidi="ar"/>
              </w:rPr>
            </w:pPr>
            <w:r w:rsidRPr="00651E00">
              <w:rPr>
                <w:lang w:val="en-US" w:bidi="ar"/>
              </w:rPr>
              <w:t>14</w:t>
            </w:r>
          </w:p>
        </w:tc>
        <w:tc>
          <w:tcPr>
            <w:tcW w:w="1051" w:type="dxa"/>
            <w:vAlign w:val="center"/>
          </w:tcPr>
          <w:p w:rsidR="00B108FD" w:rsidRPr="00651E00" w:rsidRDefault="00B108FD" w:rsidP="008C3F36">
            <w:pPr>
              <w:pStyle w:val="Tabletext"/>
              <w:rPr>
                <w:lang w:val="en-US" w:bidi="ar"/>
              </w:rPr>
            </w:pPr>
            <w:r w:rsidRPr="00651E00">
              <w:rPr>
                <w:lang w:val="en-US" w:bidi="ar"/>
              </w:rPr>
              <w:t>14</w:t>
            </w:r>
          </w:p>
        </w:tc>
      </w:tr>
      <w:tr w:rsidR="00B108FD" w:rsidRPr="00651E00" w:rsidTr="00651E00">
        <w:trPr>
          <w:trHeight w:val="300"/>
          <w:jc w:val="center"/>
        </w:trPr>
        <w:tc>
          <w:tcPr>
            <w:tcW w:w="1339" w:type="dxa"/>
            <w:noWrap/>
            <w:vAlign w:val="center"/>
            <w:hideMark/>
          </w:tcPr>
          <w:p w:rsidR="00B108FD" w:rsidRPr="00651E00" w:rsidRDefault="00B108FD" w:rsidP="008C3F36">
            <w:pPr>
              <w:pStyle w:val="Tabletext"/>
              <w:jc w:val="both"/>
              <w:rPr>
                <w:lang w:val="en-US" w:bidi="ar"/>
              </w:rPr>
            </w:pPr>
            <w:r w:rsidRPr="00651E00">
              <w:rPr>
                <w:rFonts w:hint="cs"/>
                <w:rtl/>
              </w:rPr>
              <w:t>عدد الوظائف</w:t>
            </w:r>
          </w:p>
        </w:tc>
        <w:tc>
          <w:tcPr>
            <w:tcW w:w="1050" w:type="dxa"/>
            <w:noWrap/>
            <w:vAlign w:val="center"/>
            <w:hideMark/>
          </w:tcPr>
          <w:p w:rsidR="00B108FD" w:rsidRPr="00651E00" w:rsidRDefault="00B108FD" w:rsidP="008C3F36">
            <w:pPr>
              <w:pStyle w:val="Tabletext"/>
              <w:rPr>
                <w:lang w:val="en-US" w:bidi="ar"/>
              </w:rPr>
            </w:pPr>
            <w:r w:rsidRPr="00651E00">
              <w:rPr>
                <w:lang w:val="en-US" w:bidi="ar"/>
              </w:rPr>
              <w:t>176</w:t>
            </w:r>
          </w:p>
        </w:tc>
        <w:tc>
          <w:tcPr>
            <w:tcW w:w="1051" w:type="dxa"/>
            <w:noWrap/>
            <w:vAlign w:val="center"/>
            <w:hideMark/>
          </w:tcPr>
          <w:p w:rsidR="00B108FD" w:rsidRPr="00651E00" w:rsidRDefault="00B108FD" w:rsidP="008C3F36">
            <w:pPr>
              <w:pStyle w:val="Tabletext"/>
              <w:rPr>
                <w:lang w:val="en-US" w:bidi="ar"/>
              </w:rPr>
            </w:pPr>
            <w:r w:rsidRPr="00651E00">
              <w:rPr>
                <w:lang w:val="en-US" w:bidi="ar"/>
              </w:rPr>
              <w:t>176</w:t>
            </w:r>
          </w:p>
        </w:tc>
        <w:tc>
          <w:tcPr>
            <w:tcW w:w="1050" w:type="dxa"/>
            <w:vAlign w:val="center"/>
          </w:tcPr>
          <w:p w:rsidR="00B108FD" w:rsidRPr="00651E00" w:rsidRDefault="00B108FD" w:rsidP="008C3F36">
            <w:pPr>
              <w:pStyle w:val="Tabletext"/>
              <w:rPr>
                <w:lang w:val="en-US" w:bidi="ar"/>
              </w:rPr>
            </w:pPr>
            <w:r w:rsidRPr="00651E00">
              <w:rPr>
                <w:lang w:val="en-US" w:bidi="ar"/>
              </w:rPr>
              <w:t>181</w:t>
            </w:r>
          </w:p>
        </w:tc>
        <w:tc>
          <w:tcPr>
            <w:tcW w:w="1051" w:type="dxa"/>
            <w:vAlign w:val="center"/>
          </w:tcPr>
          <w:p w:rsidR="00B108FD" w:rsidRPr="00651E00" w:rsidRDefault="00B108FD" w:rsidP="008C3F36">
            <w:pPr>
              <w:pStyle w:val="Tabletext"/>
              <w:rPr>
                <w:lang w:val="en-US" w:bidi="ar"/>
              </w:rPr>
            </w:pPr>
            <w:r w:rsidRPr="00651E00">
              <w:rPr>
                <w:lang w:val="en-US" w:bidi="ar"/>
              </w:rPr>
              <w:t>181</w:t>
            </w:r>
          </w:p>
        </w:tc>
        <w:tc>
          <w:tcPr>
            <w:tcW w:w="1050" w:type="dxa"/>
            <w:vAlign w:val="center"/>
          </w:tcPr>
          <w:p w:rsidR="00B108FD" w:rsidRPr="00651E00" w:rsidRDefault="00B108FD" w:rsidP="008C3F36">
            <w:pPr>
              <w:pStyle w:val="Tabletext"/>
              <w:rPr>
                <w:lang w:val="en-US" w:bidi="ar"/>
              </w:rPr>
            </w:pPr>
            <w:r w:rsidRPr="00651E00">
              <w:rPr>
                <w:lang w:val="en-US" w:bidi="ar"/>
              </w:rPr>
              <w:t>175</w:t>
            </w:r>
          </w:p>
        </w:tc>
        <w:tc>
          <w:tcPr>
            <w:tcW w:w="1051" w:type="dxa"/>
            <w:vAlign w:val="center"/>
          </w:tcPr>
          <w:p w:rsidR="00B108FD" w:rsidRPr="00651E00" w:rsidRDefault="00B108FD" w:rsidP="008C3F36">
            <w:pPr>
              <w:pStyle w:val="Tabletext"/>
              <w:rPr>
                <w:lang w:val="en-US" w:bidi="ar"/>
              </w:rPr>
            </w:pPr>
            <w:r w:rsidRPr="00651E00">
              <w:rPr>
                <w:lang w:val="en-US" w:bidi="ar"/>
              </w:rPr>
              <w:t>175</w:t>
            </w:r>
          </w:p>
        </w:tc>
        <w:tc>
          <w:tcPr>
            <w:tcW w:w="1050" w:type="dxa"/>
            <w:vAlign w:val="center"/>
          </w:tcPr>
          <w:p w:rsidR="00B108FD" w:rsidRPr="00651E00" w:rsidRDefault="00B108FD" w:rsidP="008C3F36">
            <w:pPr>
              <w:pStyle w:val="Tabletext"/>
              <w:rPr>
                <w:lang w:val="en-US" w:bidi="ar"/>
              </w:rPr>
            </w:pPr>
            <w:r w:rsidRPr="00651E00">
              <w:rPr>
                <w:lang w:val="en-US" w:bidi="ar"/>
              </w:rPr>
              <w:t>173</w:t>
            </w:r>
          </w:p>
        </w:tc>
        <w:tc>
          <w:tcPr>
            <w:tcW w:w="1051" w:type="dxa"/>
            <w:vAlign w:val="center"/>
          </w:tcPr>
          <w:p w:rsidR="00B108FD" w:rsidRPr="00651E00" w:rsidRDefault="00B108FD" w:rsidP="008C3F36">
            <w:pPr>
              <w:pStyle w:val="Tabletext"/>
              <w:rPr>
                <w:lang w:val="en-US" w:bidi="ar"/>
              </w:rPr>
            </w:pPr>
            <w:r w:rsidRPr="00651E00">
              <w:rPr>
                <w:lang w:val="en-US" w:bidi="ar"/>
              </w:rPr>
              <w:t>173</w:t>
            </w:r>
          </w:p>
        </w:tc>
      </w:tr>
    </w:tbl>
    <w:p w:rsidR="00B108FD" w:rsidRPr="00B108FD" w:rsidRDefault="00B108FD" w:rsidP="00B108FD">
      <w:pPr>
        <w:rPr>
          <w:b/>
          <w:lang w:bidi="ar"/>
        </w:rPr>
      </w:pPr>
    </w:p>
    <w:tbl>
      <w:tblPr>
        <w:bidiVisual/>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050"/>
        <w:gridCol w:w="1051"/>
        <w:gridCol w:w="1050"/>
        <w:gridCol w:w="1051"/>
        <w:gridCol w:w="1050"/>
        <w:gridCol w:w="1051"/>
        <w:gridCol w:w="1050"/>
        <w:gridCol w:w="1051"/>
      </w:tblGrid>
      <w:tr w:rsidR="00B108FD" w:rsidRPr="00651E00" w:rsidTr="00651E00">
        <w:trPr>
          <w:trHeight w:val="315"/>
          <w:jc w:val="center"/>
        </w:trPr>
        <w:tc>
          <w:tcPr>
            <w:tcW w:w="1339" w:type="dxa"/>
            <w:noWrap/>
            <w:hideMark/>
          </w:tcPr>
          <w:p w:rsidR="00B108FD" w:rsidRPr="00651E00" w:rsidRDefault="00B108FD" w:rsidP="008C3F36">
            <w:pPr>
              <w:pStyle w:val="Tablehead"/>
              <w:rPr>
                <w:lang w:bidi="ar"/>
              </w:rPr>
            </w:pPr>
            <w:r w:rsidRPr="00651E00">
              <w:rPr>
                <w:rFonts w:hint="cs"/>
                <w:rtl/>
              </w:rPr>
              <w:t>السنة</w:t>
            </w:r>
          </w:p>
        </w:tc>
        <w:tc>
          <w:tcPr>
            <w:tcW w:w="1050" w:type="dxa"/>
            <w:noWrap/>
            <w:tcMar>
              <w:left w:w="29" w:type="dxa"/>
              <w:right w:w="29" w:type="dxa"/>
            </w:tcMar>
            <w:vAlign w:val="center"/>
            <w:hideMark/>
          </w:tcPr>
          <w:p w:rsidR="00B108FD" w:rsidRPr="00651E00" w:rsidRDefault="00B108FD" w:rsidP="008C3F36">
            <w:pPr>
              <w:pStyle w:val="Tablehead"/>
              <w:rPr>
                <w:lang w:bidi="ar"/>
              </w:rPr>
            </w:pPr>
            <w:r w:rsidRPr="00651E00">
              <w:rPr>
                <w:lang w:bidi="ar"/>
              </w:rPr>
              <w:t>2012</w:t>
            </w:r>
          </w:p>
        </w:tc>
        <w:tc>
          <w:tcPr>
            <w:tcW w:w="1051" w:type="dxa"/>
            <w:noWrap/>
            <w:tcMar>
              <w:left w:w="29" w:type="dxa"/>
              <w:right w:w="29" w:type="dxa"/>
            </w:tcMar>
            <w:vAlign w:val="center"/>
            <w:hideMark/>
          </w:tcPr>
          <w:p w:rsidR="00B108FD" w:rsidRPr="00651E00" w:rsidRDefault="00B108FD" w:rsidP="008C3F36">
            <w:pPr>
              <w:pStyle w:val="Tablehead"/>
              <w:rPr>
                <w:lang w:bidi="ar"/>
              </w:rPr>
            </w:pPr>
            <w:r w:rsidRPr="00651E00">
              <w:rPr>
                <w:lang w:bidi="ar"/>
              </w:rPr>
              <w:t>2013</w:t>
            </w:r>
          </w:p>
        </w:tc>
        <w:tc>
          <w:tcPr>
            <w:tcW w:w="1050" w:type="dxa"/>
            <w:tcMar>
              <w:left w:w="29" w:type="dxa"/>
              <w:right w:w="29" w:type="dxa"/>
            </w:tcMar>
            <w:vAlign w:val="center"/>
          </w:tcPr>
          <w:p w:rsidR="00B108FD" w:rsidRPr="00651E00" w:rsidRDefault="00B108FD" w:rsidP="008C3F36">
            <w:pPr>
              <w:pStyle w:val="Tablehead"/>
              <w:rPr>
                <w:lang w:bidi="ar"/>
              </w:rPr>
            </w:pPr>
            <w:r w:rsidRPr="00651E00">
              <w:rPr>
                <w:lang w:bidi="ar"/>
              </w:rPr>
              <w:t>2014</w:t>
            </w:r>
          </w:p>
        </w:tc>
        <w:tc>
          <w:tcPr>
            <w:tcW w:w="1051" w:type="dxa"/>
            <w:vAlign w:val="center"/>
          </w:tcPr>
          <w:p w:rsidR="00B108FD" w:rsidRPr="00651E00" w:rsidRDefault="00B108FD" w:rsidP="008C3F36">
            <w:pPr>
              <w:pStyle w:val="Tablehead"/>
              <w:rPr>
                <w:lang w:bidi="ar"/>
              </w:rPr>
            </w:pPr>
            <w:r w:rsidRPr="00651E00">
              <w:rPr>
                <w:lang w:bidi="ar"/>
              </w:rPr>
              <w:t>2015</w:t>
            </w:r>
          </w:p>
        </w:tc>
        <w:tc>
          <w:tcPr>
            <w:tcW w:w="1050" w:type="dxa"/>
            <w:vAlign w:val="center"/>
          </w:tcPr>
          <w:p w:rsidR="00B108FD" w:rsidRPr="00651E00" w:rsidRDefault="00B108FD" w:rsidP="008C3F36">
            <w:pPr>
              <w:pStyle w:val="Tablehead"/>
              <w:rPr>
                <w:lang w:bidi="ar"/>
              </w:rPr>
            </w:pPr>
            <w:r w:rsidRPr="00651E00">
              <w:rPr>
                <w:lang w:bidi="ar"/>
              </w:rPr>
              <w:t>2016</w:t>
            </w:r>
          </w:p>
        </w:tc>
        <w:tc>
          <w:tcPr>
            <w:tcW w:w="1051" w:type="dxa"/>
            <w:vAlign w:val="center"/>
          </w:tcPr>
          <w:p w:rsidR="00B108FD" w:rsidRPr="00651E00" w:rsidRDefault="00B108FD" w:rsidP="008C3F36">
            <w:pPr>
              <w:pStyle w:val="Tablehead"/>
              <w:rPr>
                <w:lang w:bidi="ar"/>
              </w:rPr>
            </w:pPr>
            <w:r w:rsidRPr="00651E00">
              <w:rPr>
                <w:lang w:bidi="ar"/>
              </w:rPr>
              <w:t>2017</w:t>
            </w:r>
          </w:p>
        </w:tc>
        <w:tc>
          <w:tcPr>
            <w:tcW w:w="1050" w:type="dxa"/>
            <w:vAlign w:val="center"/>
          </w:tcPr>
          <w:p w:rsidR="00B108FD" w:rsidRPr="00651E00" w:rsidRDefault="00B108FD" w:rsidP="008C3F36">
            <w:pPr>
              <w:pStyle w:val="Tablehead"/>
              <w:rPr>
                <w:color w:val="FF0000"/>
                <w:lang w:bidi="ar"/>
              </w:rPr>
            </w:pPr>
            <w:r w:rsidRPr="00651E00">
              <w:rPr>
                <w:color w:val="FF0000"/>
                <w:lang w:bidi="ar"/>
              </w:rPr>
              <w:t>2018</w:t>
            </w:r>
          </w:p>
        </w:tc>
        <w:tc>
          <w:tcPr>
            <w:tcW w:w="1051" w:type="dxa"/>
            <w:vAlign w:val="center"/>
          </w:tcPr>
          <w:p w:rsidR="00B108FD" w:rsidRPr="00651E00" w:rsidRDefault="00B108FD" w:rsidP="008C3F36">
            <w:pPr>
              <w:pStyle w:val="Tablehead"/>
              <w:rPr>
                <w:color w:val="FF0000"/>
                <w:lang w:bidi="ar"/>
              </w:rPr>
            </w:pPr>
            <w:r w:rsidRPr="00651E00">
              <w:rPr>
                <w:color w:val="FF0000"/>
                <w:lang w:bidi="ar"/>
              </w:rPr>
              <w:t>2019</w:t>
            </w:r>
          </w:p>
        </w:tc>
      </w:tr>
      <w:tr w:rsidR="00B108FD" w:rsidRPr="00651E00" w:rsidTr="00651E00">
        <w:trPr>
          <w:trHeight w:val="327"/>
          <w:jc w:val="center"/>
        </w:trPr>
        <w:tc>
          <w:tcPr>
            <w:tcW w:w="1339" w:type="dxa"/>
            <w:noWrap/>
            <w:hideMark/>
          </w:tcPr>
          <w:p w:rsidR="00B108FD" w:rsidRPr="00651E00" w:rsidRDefault="00B108FD" w:rsidP="008C3F36">
            <w:pPr>
              <w:pStyle w:val="Tabletext"/>
              <w:jc w:val="both"/>
              <w:rPr>
                <w:lang w:val="en-US" w:bidi="ar"/>
              </w:rPr>
            </w:pPr>
            <w:r w:rsidRPr="00651E00">
              <w:rPr>
                <w:rFonts w:hint="cs"/>
                <w:rtl/>
              </w:rPr>
              <w:t>الوثيقة</w:t>
            </w:r>
          </w:p>
        </w:tc>
        <w:tc>
          <w:tcPr>
            <w:tcW w:w="1050" w:type="dxa"/>
            <w:tcMar>
              <w:left w:w="29" w:type="dxa"/>
              <w:right w:w="29" w:type="dxa"/>
            </w:tcMar>
            <w:vAlign w:val="center"/>
            <w:hideMark/>
          </w:tcPr>
          <w:p w:rsidR="00B108FD" w:rsidRPr="00651E00" w:rsidRDefault="00006031" w:rsidP="008C3F36">
            <w:pPr>
              <w:pStyle w:val="Tabletext"/>
              <w:rPr>
                <w:u w:val="single"/>
                <w:lang w:val="en-US" w:bidi="ar"/>
              </w:rPr>
            </w:pPr>
            <w:hyperlink r:id="rId44" w:history="1">
              <w:bookmarkStart w:id="26" w:name="lt_pId196"/>
              <w:r w:rsidR="00B108FD" w:rsidRPr="00651E00">
                <w:rPr>
                  <w:rStyle w:val="Hyperlink"/>
                  <w:sz w:val="20"/>
                  <w:szCs w:val="26"/>
                  <w:lang w:val="en-US" w:bidi="ar"/>
                </w:rPr>
                <w:t>C17/10</w:t>
              </w:r>
              <w:bookmarkEnd w:id="26"/>
            </w:hyperlink>
          </w:p>
        </w:tc>
        <w:tc>
          <w:tcPr>
            <w:tcW w:w="1051" w:type="dxa"/>
            <w:tcMar>
              <w:left w:w="29" w:type="dxa"/>
              <w:right w:w="29" w:type="dxa"/>
            </w:tcMar>
            <w:vAlign w:val="center"/>
            <w:hideMark/>
          </w:tcPr>
          <w:p w:rsidR="00B108FD" w:rsidRPr="00651E00" w:rsidRDefault="00006031" w:rsidP="008C3F36">
            <w:pPr>
              <w:pStyle w:val="Tabletext"/>
              <w:rPr>
                <w:u w:val="single"/>
                <w:lang w:val="en-US" w:bidi="ar"/>
              </w:rPr>
            </w:pPr>
            <w:hyperlink r:id="rId45" w:history="1">
              <w:bookmarkStart w:id="27" w:name="lt_pId197"/>
              <w:r w:rsidR="00B108FD" w:rsidRPr="00651E00">
                <w:rPr>
                  <w:rStyle w:val="Hyperlink"/>
                  <w:sz w:val="20"/>
                  <w:szCs w:val="26"/>
                  <w:lang w:val="en-US" w:bidi="ar"/>
                </w:rPr>
                <w:t>C17/10</w:t>
              </w:r>
              <w:bookmarkEnd w:id="27"/>
            </w:hyperlink>
          </w:p>
        </w:tc>
        <w:tc>
          <w:tcPr>
            <w:tcW w:w="1050" w:type="dxa"/>
            <w:tcMar>
              <w:left w:w="29" w:type="dxa"/>
              <w:right w:w="29" w:type="dxa"/>
            </w:tcMar>
            <w:vAlign w:val="center"/>
          </w:tcPr>
          <w:p w:rsidR="00B108FD" w:rsidRPr="00651E00" w:rsidRDefault="00006031" w:rsidP="008C3F36">
            <w:pPr>
              <w:pStyle w:val="Tabletext"/>
              <w:rPr>
                <w:u w:val="single"/>
                <w:lang w:val="en-US" w:bidi="ar"/>
              </w:rPr>
            </w:pPr>
            <w:hyperlink r:id="rId46" w:history="1">
              <w:bookmarkStart w:id="28" w:name="lt_pId198"/>
              <w:r w:rsidR="00B108FD" w:rsidRPr="00651E00">
                <w:rPr>
                  <w:rStyle w:val="Hyperlink"/>
                  <w:sz w:val="20"/>
                  <w:szCs w:val="26"/>
                  <w:lang w:val="en-US" w:bidi="ar"/>
                </w:rPr>
                <w:t>C17/10</w:t>
              </w:r>
              <w:bookmarkEnd w:id="28"/>
            </w:hyperlink>
          </w:p>
        </w:tc>
        <w:tc>
          <w:tcPr>
            <w:tcW w:w="1051" w:type="dxa"/>
            <w:vAlign w:val="center"/>
          </w:tcPr>
          <w:p w:rsidR="00B108FD" w:rsidRPr="00651E00" w:rsidRDefault="00006031" w:rsidP="008C3F36">
            <w:pPr>
              <w:pStyle w:val="Tabletext"/>
              <w:rPr>
                <w:u w:val="single"/>
                <w:lang w:val="en-US" w:bidi="ar"/>
              </w:rPr>
            </w:pPr>
            <w:hyperlink r:id="rId47" w:history="1">
              <w:bookmarkStart w:id="29" w:name="lt_pId199"/>
              <w:r w:rsidR="00B108FD" w:rsidRPr="00651E00">
                <w:rPr>
                  <w:rStyle w:val="Hyperlink"/>
                  <w:sz w:val="20"/>
                  <w:szCs w:val="26"/>
                  <w:lang w:val="en-US" w:bidi="ar"/>
                </w:rPr>
                <w:t>C17/10</w:t>
              </w:r>
              <w:bookmarkEnd w:id="29"/>
            </w:hyperlink>
          </w:p>
        </w:tc>
        <w:tc>
          <w:tcPr>
            <w:tcW w:w="1050" w:type="dxa"/>
            <w:vAlign w:val="center"/>
          </w:tcPr>
          <w:p w:rsidR="00B108FD" w:rsidRPr="00651E00" w:rsidRDefault="00006031" w:rsidP="008C3F36">
            <w:pPr>
              <w:pStyle w:val="Tabletext"/>
              <w:rPr>
                <w:u w:val="single"/>
                <w:lang w:val="en-US" w:bidi="ar"/>
              </w:rPr>
            </w:pPr>
            <w:hyperlink r:id="rId48" w:history="1">
              <w:bookmarkStart w:id="30" w:name="lt_pId200"/>
              <w:r w:rsidR="00B108FD" w:rsidRPr="00651E00">
                <w:rPr>
                  <w:rStyle w:val="Hyperlink"/>
                  <w:sz w:val="20"/>
                  <w:szCs w:val="26"/>
                  <w:lang w:val="en-US" w:bidi="ar"/>
                </w:rPr>
                <w:t>C17/10</w:t>
              </w:r>
              <w:bookmarkEnd w:id="30"/>
            </w:hyperlink>
          </w:p>
        </w:tc>
        <w:tc>
          <w:tcPr>
            <w:tcW w:w="1051" w:type="dxa"/>
            <w:vAlign w:val="center"/>
          </w:tcPr>
          <w:p w:rsidR="00B108FD" w:rsidRPr="00651E00" w:rsidRDefault="00006031" w:rsidP="008C3F36">
            <w:pPr>
              <w:pStyle w:val="Tabletext"/>
              <w:rPr>
                <w:u w:val="single"/>
                <w:lang w:val="en-US" w:bidi="ar"/>
              </w:rPr>
            </w:pPr>
            <w:hyperlink r:id="rId49" w:history="1">
              <w:bookmarkStart w:id="31" w:name="lt_pId201"/>
              <w:r w:rsidR="00B108FD" w:rsidRPr="00651E00">
                <w:rPr>
                  <w:rStyle w:val="Hyperlink"/>
                  <w:sz w:val="20"/>
                  <w:szCs w:val="26"/>
                  <w:lang w:val="en-US" w:bidi="ar"/>
                </w:rPr>
                <w:t>C17/10</w:t>
              </w:r>
              <w:bookmarkEnd w:id="31"/>
            </w:hyperlink>
          </w:p>
        </w:tc>
        <w:tc>
          <w:tcPr>
            <w:tcW w:w="1050" w:type="dxa"/>
            <w:vAlign w:val="center"/>
          </w:tcPr>
          <w:p w:rsidR="00B108FD" w:rsidRPr="00651E00" w:rsidRDefault="00006031" w:rsidP="008C3F36">
            <w:pPr>
              <w:pStyle w:val="Tabletext"/>
              <w:rPr>
                <w:u w:val="single"/>
                <w:lang w:val="en-US" w:bidi="ar"/>
              </w:rPr>
            </w:pPr>
            <w:hyperlink r:id="rId50" w:history="1">
              <w:bookmarkStart w:id="32" w:name="lt_pId202"/>
              <w:r w:rsidR="00B108FD" w:rsidRPr="00651E00">
                <w:rPr>
                  <w:rStyle w:val="Hyperlink"/>
                  <w:sz w:val="20"/>
                  <w:szCs w:val="26"/>
                  <w:lang w:val="en-US" w:bidi="ar"/>
                </w:rPr>
                <w:t>C17/10</w:t>
              </w:r>
              <w:bookmarkEnd w:id="32"/>
            </w:hyperlink>
          </w:p>
        </w:tc>
        <w:tc>
          <w:tcPr>
            <w:tcW w:w="1051" w:type="dxa"/>
            <w:vAlign w:val="center"/>
          </w:tcPr>
          <w:p w:rsidR="00B108FD" w:rsidRPr="00651E00" w:rsidRDefault="00006031" w:rsidP="008C3F36">
            <w:pPr>
              <w:pStyle w:val="Tabletext"/>
              <w:rPr>
                <w:u w:val="single"/>
                <w:lang w:val="en-US" w:bidi="ar"/>
              </w:rPr>
            </w:pPr>
            <w:hyperlink r:id="rId51" w:history="1">
              <w:bookmarkStart w:id="33" w:name="lt_pId203"/>
              <w:r w:rsidR="00B108FD" w:rsidRPr="00651E00">
                <w:rPr>
                  <w:rStyle w:val="Hyperlink"/>
                  <w:sz w:val="20"/>
                  <w:szCs w:val="26"/>
                  <w:lang w:val="en-US" w:bidi="ar"/>
                </w:rPr>
                <w:t>C17/10</w:t>
              </w:r>
              <w:bookmarkEnd w:id="33"/>
            </w:hyperlink>
          </w:p>
        </w:tc>
      </w:tr>
      <w:tr w:rsidR="00B108FD" w:rsidRPr="00651E00" w:rsidTr="00651E00">
        <w:trPr>
          <w:trHeight w:val="300"/>
          <w:jc w:val="center"/>
        </w:trPr>
        <w:tc>
          <w:tcPr>
            <w:tcW w:w="1339" w:type="dxa"/>
            <w:noWrap/>
            <w:hideMark/>
          </w:tcPr>
          <w:p w:rsidR="00B108FD" w:rsidRPr="00651E00" w:rsidRDefault="00B108FD" w:rsidP="008C3F36">
            <w:pPr>
              <w:pStyle w:val="Tabletext"/>
              <w:jc w:val="both"/>
              <w:rPr>
                <w:lang w:val="en-US" w:bidi="ar"/>
              </w:rPr>
            </w:pPr>
            <w:r w:rsidRPr="00651E00">
              <w:rPr>
                <w:rFonts w:hint="cs"/>
                <w:rtl/>
              </w:rPr>
              <w:t>الصفحة</w:t>
            </w:r>
          </w:p>
        </w:tc>
        <w:tc>
          <w:tcPr>
            <w:tcW w:w="1050" w:type="dxa"/>
            <w:noWrap/>
            <w:vAlign w:val="center"/>
            <w:hideMark/>
          </w:tcPr>
          <w:p w:rsidR="00B108FD" w:rsidRPr="00651E00" w:rsidRDefault="00B108FD" w:rsidP="008C3F36">
            <w:pPr>
              <w:pStyle w:val="Tabletext"/>
              <w:rPr>
                <w:lang w:val="en-US" w:bidi="ar"/>
              </w:rPr>
            </w:pPr>
            <w:r w:rsidRPr="00651E00">
              <w:rPr>
                <w:lang w:val="en-US" w:bidi="ar"/>
              </w:rPr>
              <w:t>14</w:t>
            </w:r>
          </w:p>
        </w:tc>
        <w:tc>
          <w:tcPr>
            <w:tcW w:w="1051" w:type="dxa"/>
            <w:noWrap/>
            <w:vAlign w:val="center"/>
            <w:hideMark/>
          </w:tcPr>
          <w:p w:rsidR="00B108FD" w:rsidRPr="00651E00" w:rsidRDefault="00B108FD" w:rsidP="008C3F36">
            <w:pPr>
              <w:pStyle w:val="Tabletext"/>
              <w:rPr>
                <w:lang w:val="en-US" w:bidi="ar"/>
              </w:rPr>
            </w:pPr>
            <w:r w:rsidRPr="00651E00">
              <w:rPr>
                <w:lang w:val="en-US" w:bidi="ar"/>
              </w:rPr>
              <w:t>14</w:t>
            </w:r>
          </w:p>
        </w:tc>
        <w:tc>
          <w:tcPr>
            <w:tcW w:w="1050" w:type="dxa"/>
            <w:vAlign w:val="center"/>
          </w:tcPr>
          <w:p w:rsidR="00B108FD" w:rsidRPr="00651E00" w:rsidRDefault="00B108FD" w:rsidP="008C3F36">
            <w:pPr>
              <w:pStyle w:val="Tabletext"/>
              <w:rPr>
                <w:lang w:val="en-US" w:bidi="ar"/>
              </w:rPr>
            </w:pPr>
            <w:r w:rsidRPr="00651E00">
              <w:rPr>
                <w:lang w:val="en-US" w:bidi="ar"/>
              </w:rPr>
              <w:t>14</w:t>
            </w:r>
          </w:p>
        </w:tc>
        <w:tc>
          <w:tcPr>
            <w:tcW w:w="1051" w:type="dxa"/>
            <w:vAlign w:val="center"/>
          </w:tcPr>
          <w:p w:rsidR="00B108FD" w:rsidRPr="00651E00" w:rsidRDefault="00B108FD" w:rsidP="008C3F36">
            <w:pPr>
              <w:pStyle w:val="Tabletext"/>
              <w:rPr>
                <w:lang w:val="en-US" w:bidi="ar"/>
              </w:rPr>
            </w:pPr>
            <w:r w:rsidRPr="00651E00">
              <w:rPr>
                <w:lang w:val="en-US" w:bidi="ar"/>
              </w:rPr>
              <w:t>14</w:t>
            </w:r>
          </w:p>
        </w:tc>
        <w:tc>
          <w:tcPr>
            <w:tcW w:w="1050" w:type="dxa"/>
            <w:vAlign w:val="center"/>
          </w:tcPr>
          <w:p w:rsidR="00B108FD" w:rsidRPr="00651E00" w:rsidRDefault="00B108FD" w:rsidP="008C3F36">
            <w:pPr>
              <w:pStyle w:val="Tabletext"/>
              <w:rPr>
                <w:lang w:val="en-US" w:bidi="ar"/>
              </w:rPr>
            </w:pPr>
            <w:r w:rsidRPr="00651E00">
              <w:rPr>
                <w:lang w:val="en-US" w:bidi="ar"/>
              </w:rPr>
              <w:t>14</w:t>
            </w:r>
          </w:p>
        </w:tc>
        <w:tc>
          <w:tcPr>
            <w:tcW w:w="1051" w:type="dxa"/>
            <w:vAlign w:val="center"/>
          </w:tcPr>
          <w:p w:rsidR="00B108FD" w:rsidRPr="00651E00" w:rsidRDefault="00B108FD" w:rsidP="008C3F36">
            <w:pPr>
              <w:pStyle w:val="Tabletext"/>
              <w:rPr>
                <w:lang w:val="en-US" w:bidi="ar"/>
              </w:rPr>
            </w:pPr>
            <w:r w:rsidRPr="00651E00">
              <w:rPr>
                <w:lang w:val="en-US" w:bidi="ar"/>
              </w:rPr>
              <w:t>14</w:t>
            </w:r>
          </w:p>
        </w:tc>
        <w:tc>
          <w:tcPr>
            <w:tcW w:w="1050" w:type="dxa"/>
            <w:vAlign w:val="center"/>
          </w:tcPr>
          <w:p w:rsidR="00B108FD" w:rsidRPr="00651E00" w:rsidRDefault="00B108FD" w:rsidP="008C3F36">
            <w:pPr>
              <w:pStyle w:val="Tabletext"/>
              <w:rPr>
                <w:lang w:val="en-US" w:bidi="ar"/>
              </w:rPr>
            </w:pPr>
            <w:r w:rsidRPr="00651E00">
              <w:rPr>
                <w:lang w:val="en-US" w:bidi="ar"/>
              </w:rPr>
              <w:t>14</w:t>
            </w:r>
          </w:p>
        </w:tc>
        <w:tc>
          <w:tcPr>
            <w:tcW w:w="1051" w:type="dxa"/>
            <w:vAlign w:val="center"/>
          </w:tcPr>
          <w:p w:rsidR="00B108FD" w:rsidRPr="00651E00" w:rsidRDefault="00B108FD" w:rsidP="008C3F36">
            <w:pPr>
              <w:pStyle w:val="Tabletext"/>
              <w:rPr>
                <w:lang w:val="en-US" w:bidi="ar"/>
              </w:rPr>
            </w:pPr>
            <w:r w:rsidRPr="00651E00">
              <w:rPr>
                <w:lang w:val="en-US" w:bidi="ar"/>
              </w:rPr>
              <w:t>14</w:t>
            </w:r>
          </w:p>
        </w:tc>
      </w:tr>
      <w:tr w:rsidR="00B108FD" w:rsidRPr="00651E00" w:rsidTr="00651E00">
        <w:trPr>
          <w:trHeight w:val="300"/>
          <w:jc w:val="center"/>
        </w:trPr>
        <w:tc>
          <w:tcPr>
            <w:tcW w:w="1339" w:type="dxa"/>
            <w:noWrap/>
            <w:vAlign w:val="center"/>
            <w:hideMark/>
          </w:tcPr>
          <w:p w:rsidR="00B108FD" w:rsidRPr="00651E00" w:rsidRDefault="00B108FD" w:rsidP="008C3F36">
            <w:pPr>
              <w:pStyle w:val="Tabletext"/>
              <w:jc w:val="both"/>
              <w:rPr>
                <w:lang w:val="en-US" w:bidi="ar"/>
              </w:rPr>
            </w:pPr>
            <w:r w:rsidRPr="00651E00">
              <w:rPr>
                <w:rFonts w:hint="cs"/>
                <w:rtl/>
              </w:rPr>
              <w:t>عدد الوظائف</w:t>
            </w:r>
          </w:p>
        </w:tc>
        <w:tc>
          <w:tcPr>
            <w:tcW w:w="1050" w:type="dxa"/>
            <w:noWrap/>
            <w:vAlign w:val="center"/>
            <w:hideMark/>
          </w:tcPr>
          <w:p w:rsidR="00B108FD" w:rsidRPr="00651E00" w:rsidRDefault="00B108FD" w:rsidP="008C3F36">
            <w:pPr>
              <w:pStyle w:val="Tabletext"/>
              <w:rPr>
                <w:lang w:val="en-US" w:bidi="ar"/>
              </w:rPr>
            </w:pPr>
            <w:r w:rsidRPr="00651E00">
              <w:rPr>
                <w:lang w:val="en-US" w:bidi="ar"/>
              </w:rPr>
              <w:t>158</w:t>
            </w:r>
          </w:p>
        </w:tc>
        <w:tc>
          <w:tcPr>
            <w:tcW w:w="1051" w:type="dxa"/>
            <w:noWrap/>
            <w:vAlign w:val="center"/>
            <w:hideMark/>
          </w:tcPr>
          <w:p w:rsidR="00B108FD" w:rsidRPr="00651E00" w:rsidRDefault="00B108FD" w:rsidP="008C3F36">
            <w:pPr>
              <w:pStyle w:val="Tabletext"/>
              <w:rPr>
                <w:lang w:val="en-US" w:bidi="ar"/>
              </w:rPr>
            </w:pPr>
            <w:r w:rsidRPr="00651E00">
              <w:rPr>
                <w:lang w:val="en-US" w:bidi="ar"/>
              </w:rPr>
              <w:t>157</w:t>
            </w:r>
          </w:p>
        </w:tc>
        <w:tc>
          <w:tcPr>
            <w:tcW w:w="1050" w:type="dxa"/>
            <w:vAlign w:val="center"/>
          </w:tcPr>
          <w:p w:rsidR="00B108FD" w:rsidRPr="00651E00" w:rsidRDefault="00B108FD" w:rsidP="008C3F36">
            <w:pPr>
              <w:pStyle w:val="Tabletext"/>
              <w:rPr>
                <w:lang w:val="en-US" w:bidi="ar"/>
              </w:rPr>
            </w:pPr>
            <w:r w:rsidRPr="00651E00">
              <w:rPr>
                <w:lang w:val="en-US" w:bidi="ar"/>
              </w:rPr>
              <w:t>158</w:t>
            </w:r>
          </w:p>
        </w:tc>
        <w:tc>
          <w:tcPr>
            <w:tcW w:w="1051" w:type="dxa"/>
            <w:vAlign w:val="center"/>
          </w:tcPr>
          <w:p w:rsidR="00B108FD" w:rsidRPr="00651E00" w:rsidRDefault="00B108FD" w:rsidP="008C3F36">
            <w:pPr>
              <w:pStyle w:val="Tabletext"/>
              <w:rPr>
                <w:lang w:val="en-US" w:bidi="ar"/>
              </w:rPr>
            </w:pPr>
            <w:r w:rsidRPr="00651E00">
              <w:rPr>
                <w:lang w:val="en-US" w:bidi="ar"/>
              </w:rPr>
              <w:t>157</w:t>
            </w:r>
          </w:p>
        </w:tc>
        <w:tc>
          <w:tcPr>
            <w:tcW w:w="1050" w:type="dxa"/>
            <w:vAlign w:val="center"/>
          </w:tcPr>
          <w:p w:rsidR="00B108FD" w:rsidRPr="00651E00" w:rsidRDefault="00B108FD" w:rsidP="008C3F36">
            <w:pPr>
              <w:pStyle w:val="Tabletext"/>
              <w:rPr>
                <w:lang w:val="en-US" w:bidi="ar"/>
              </w:rPr>
            </w:pPr>
            <w:r w:rsidRPr="00651E00">
              <w:rPr>
                <w:lang w:val="en-US" w:bidi="ar"/>
              </w:rPr>
              <w:t>141</w:t>
            </w:r>
          </w:p>
        </w:tc>
        <w:tc>
          <w:tcPr>
            <w:tcW w:w="1051" w:type="dxa"/>
            <w:vAlign w:val="center"/>
          </w:tcPr>
          <w:p w:rsidR="00B108FD" w:rsidRPr="00651E00" w:rsidRDefault="00B108FD" w:rsidP="008C3F36">
            <w:pPr>
              <w:pStyle w:val="Tabletext"/>
              <w:rPr>
                <w:lang w:val="en-US" w:bidi="ar"/>
              </w:rPr>
            </w:pPr>
            <w:r w:rsidRPr="00651E00">
              <w:rPr>
                <w:lang w:val="en-US" w:bidi="ar"/>
              </w:rPr>
              <w:t>141</w:t>
            </w:r>
          </w:p>
        </w:tc>
        <w:tc>
          <w:tcPr>
            <w:tcW w:w="1050" w:type="dxa"/>
            <w:vAlign w:val="center"/>
          </w:tcPr>
          <w:p w:rsidR="00B108FD" w:rsidRPr="00651E00" w:rsidRDefault="00B108FD" w:rsidP="008C3F36">
            <w:pPr>
              <w:pStyle w:val="Tabletext"/>
              <w:rPr>
                <w:color w:val="FF0000"/>
                <w:lang w:val="en-US" w:bidi="ar"/>
              </w:rPr>
            </w:pPr>
            <w:r w:rsidRPr="00651E00">
              <w:rPr>
                <w:color w:val="FF0000"/>
                <w:lang w:val="en-US" w:bidi="ar"/>
              </w:rPr>
              <w:t>139</w:t>
            </w:r>
          </w:p>
        </w:tc>
        <w:tc>
          <w:tcPr>
            <w:tcW w:w="1051" w:type="dxa"/>
            <w:vAlign w:val="center"/>
          </w:tcPr>
          <w:p w:rsidR="00B108FD" w:rsidRPr="00651E00" w:rsidRDefault="00B108FD" w:rsidP="008C3F36">
            <w:pPr>
              <w:pStyle w:val="Tabletext"/>
              <w:rPr>
                <w:color w:val="FF0000"/>
                <w:lang w:val="en-US" w:bidi="ar"/>
              </w:rPr>
            </w:pPr>
            <w:r w:rsidRPr="00651E00">
              <w:rPr>
                <w:color w:val="FF0000"/>
                <w:lang w:val="en-US" w:bidi="ar"/>
              </w:rPr>
              <w:t>139</w:t>
            </w:r>
          </w:p>
        </w:tc>
      </w:tr>
    </w:tbl>
    <w:p w:rsidR="00B108FD" w:rsidRPr="00B108FD" w:rsidRDefault="006B7D4C" w:rsidP="008C3F36">
      <w:pPr>
        <w:spacing w:before="240"/>
        <w:rPr>
          <w:rtl/>
          <w:lang w:bidi="ar"/>
        </w:rPr>
      </w:pPr>
      <w:r>
        <w:rPr>
          <w:rFonts w:hint="cs"/>
          <w:rtl/>
          <w:lang w:bidi="ar"/>
        </w:rPr>
        <w:t>يعرض</w:t>
      </w:r>
      <w:r w:rsidR="00B108FD" w:rsidRPr="00B108FD">
        <w:rPr>
          <w:rFonts w:hint="cs"/>
          <w:rtl/>
          <w:lang w:bidi="ar"/>
        </w:rPr>
        <w:t xml:space="preserve"> الشكل </w:t>
      </w:r>
      <w:r w:rsidR="008C3F36">
        <w:rPr>
          <w:lang w:bidi="ar"/>
        </w:rPr>
        <w:t>3</w:t>
      </w:r>
      <w:r>
        <w:rPr>
          <w:rFonts w:hint="cs"/>
          <w:rtl/>
          <w:lang w:bidi="ar"/>
        </w:rPr>
        <w:t xml:space="preserve"> التغيرات في القوة</w:t>
      </w:r>
      <w:r w:rsidR="00B108FD" w:rsidRPr="00B108FD">
        <w:rPr>
          <w:rFonts w:hint="cs"/>
          <w:rtl/>
          <w:lang w:bidi="ar"/>
        </w:rPr>
        <w:t xml:space="preserve"> العاملة في مكتب الاتصالات الراديوية</w:t>
      </w:r>
      <w:r>
        <w:rPr>
          <w:rFonts w:hint="eastAsia"/>
          <w:rtl/>
          <w:lang w:bidi="ar"/>
        </w:rPr>
        <w:t> </w:t>
      </w:r>
      <w:r>
        <w:rPr>
          <w:lang w:bidi="ar"/>
        </w:rPr>
        <w:t>(BR)</w:t>
      </w:r>
      <w:r w:rsidR="00B108FD" w:rsidRPr="00B108FD">
        <w:rPr>
          <w:rFonts w:hint="cs"/>
          <w:rtl/>
          <w:lang w:bidi="ar"/>
        </w:rPr>
        <w:t xml:space="preserve"> ومكتب تنمية الاتصالات</w:t>
      </w:r>
      <w:r>
        <w:rPr>
          <w:rFonts w:hint="eastAsia"/>
          <w:rtl/>
          <w:lang w:bidi="ar"/>
        </w:rPr>
        <w:t> </w:t>
      </w:r>
      <w:r>
        <w:rPr>
          <w:lang w:bidi="ar"/>
        </w:rPr>
        <w:t>(BDT)</w:t>
      </w:r>
      <w:r w:rsidR="00B108FD" w:rsidRPr="00B108FD">
        <w:rPr>
          <w:rFonts w:hint="cs"/>
          <w:rtl/>
          <w:lang w:bidi="ar"/>
        </w:rPr>
        <w:t xml:space="preserve"> ومكتب تقييس الاتصالات</w:t>
      </w:r>
      <w:r>
        <w:rPr>
          <w:rFonts w:hint="eastAsia"/>
          <w:rtl/>
          <w:lang w:bidi="ar"/>
        </w:rPr>
        <w:t> </w:t>
      </w:r>
      <w:r>
        <w:rPr>
          <w:lang w:bidi="ar"/>
        </w:rPr>
        <w:t>(TSB)</w:t>
      </w:r>
      <w:r w:rsidR="00B108FD" w:rsidRPr="00B108FD">
        <w:rPr>
          <w:rFonts w:hint="cs"/>
          <w:rtl/>
          <w:lang w:bidi="ar"/>
        </w:rPr>
        <w:t xml:space="preserve"> خلال الفترة</w:t>
      </w:r>
      <w:r w:rsidR="008C3F36">
        <w:rPr>
          <w:rFonts w:hint="eastAsia"/>
          <w:rtl/>
          <w:lang w:bidi="ar-EG"/>
        </w:rPr>
        <w:t> </w:t>
      </w:r>
      <w:r w:rsidR="008C3F36">
        <w:rPr>
          <w:lang w:bidi="ar-EG"/>
        </w:rPr>
        <w:t>2017-2004</w:t>
      </w:r>
      <w:r w:rsidR="008C3F36">
        <w:rPr>
          <w:rFonts w:hint="cs"/>
          <w:rtl/>
          <w:lang w:bidi="ar-EG"/>
        </w:rPr>
        <w:t xml:space="preserve"> </w:t>
      </w:r>
      <w:r w:rsidR="00B108FD" w:rsidRPr="00B108FD">
        <w:rPr>
          <w:rFonts w:hint="cs"/>
          <w:rtl/>
          <w:lang w:bidi="ar"/>
        </w:rPr>
        <w:t>مع توقعات للفترة</w:t>
      </w:r>
      <w:r w:rsidR="008C3F36">
        <w:rPr>
          <w:rFonts w:hint="eastAsia"/>
          <w:rtl/>
          <w:lang w:bidi="ar"/>
        </w:rPr>
        <w:t> </w:t>
      </w:r>
      <w:r w:rsidR="008C3F36">
        <w:rPr>
          <w:lang w:bidi="ar"/>
        </w:rPr>
        <w:t>2019-2018</w:t>
      </w:r>
      <w:r w:rsidR="00B108FD" w:rsidRPr="00B108FD">
        <w:rPr>
          <w:rFonts w:hint="cs"/>
          <w:rtl/>
          <w:lang w:bidi="ar"/>
        </w:rPr>
        <w:t>.</w:t>
      </w:r>
    </w:p>
    <w:p w:rsidR="00B108FD" w:rsidRPr="00B108FD" w:rsidRDefault="00B108FD" w:rsidP="008C3F36">
      <w:pPr>
        <w:pStyle w:val="FigureNo"/>
        <w:rPr>
          <w:rtl/>
          <w:lang w:bidi="ar-EG"/>
        </w:rPr>
      </w:pPr>
      <w:r w:rsidRPr="00B108FD">
        <w:rPr>
          <w:rFonts w:hint="cs"/>
          <w:rtl/>
          <w:lang w:bidi="ar-SY"/>
        </w:rPr>
        <w:lastRenderedPageBreak/>
        <w:t xml:space="preserve">الشكل </w:t>
      </w:r>
      <w:r w:rsidRPr="00B108FD">
        <w:rPr>
          <w:lang w:bidi="ar"/>
        </w:rPr>
        <w:t>3</w:t>
      </w:r>
    </w:p>
    <w:p w:rsidR="00B108FD" w:rsidRPr="00B108FD" w:rsidRDefault="006B7D4C" w:rsidP="008C3F36">
      <w:pPr>
        <w:pStyle w:val="Figuretitle"/>
        <w:rPr>
          <w:rtl/>
          <w:lang w:bidi="ar-SA"/>
        </w:rPr>
      </w:pPr>
      <w:r>
        <w:rPr>
          <w:rFonts w:hint="cs"/>
          <w:rtl/>
        </w:rPr>
        <w:t>التغيرات في القوة</w:t>
      </w:r>
      <w:r w:rsidR="00B108FD" w:rsidRPr="00B108FD">
        <w:rPr>
          <w:rFonts w:hint="cs"/>
          <w:rtl/>
        </w:rPr>
        <w:t xml:space="preserve"> العاملة (عدد الوظائف المدرجة في الميزانية) خلال الفترة</w:t>
      </w:r>
      <w:r w:rsidR="008C3F36">
        <w:rPr>
          <w:rFonts w:hint="eastAsia"/>
          <w:rtl/>
        </w:rPr>
        <w:t> </w:t>
      </w:r>
      <w:r w:rsidR="008C3F36">
        <w:t>2017-2004</w:t>
      </w:r>
      <w:r w:rsidR="008C3F36">
        <w:rPr>
          <w:rFonts w:hint="cs"/>
          <w:rtl/>
        </w:rPr>
        <w:t xml:space="preserve"> </w:t>
      </w:r>
      <w:r w:rsidR="008C3F36">
        <w:rPr>
          <w:rtl/>
        </w:rPr>
        <w:br/>
      </w:r>
      <w:r w:rsidR="00B108FD" w:rsidRPr="00B108FD">
        <w:rPr>
          <w:rFonts w:hint="cs"/>
          <w:rtl/>
        </w:rPr>
        <w:t xml:space="preserve">في مكتب الاتصالات الراديوية </w:t>
      </w:r>
      <w:r w:rsidR="008C3F36">
        <w:t>(</w:t>
      </w:r>
      <w:r w:rsidR="00B108FD" w:rsidRPr="00B108FD">
        <w:t>BR</w:t>
      </w:r>
      <w:r w:rsidR="008C3F36">
        <w:t>)</w:t>
      </w:r>
      <w:r w:rsidR="00B108FD" w:rsidRPr="00B108FD">
        <w:rPr>
          <w:rFonts w:hint="cs"/>
          <w:rtl/>
        </w:rPr>
        <w:t xml:space="preserve"> ومكتب تنمية الاتصالات </w:t>
      </w:r>
      <w:r w:rsidR="00B108FD" w:rsidRPr="00B108FD">
        <w:t>(BDT)</w:t>
      </w:r>
      <w:r w:rsidR="00B108FD" w:rsidRPr="00B108FD">
        <w:rPr>
          <w:rFonts w:hint="cs"/>
          <w:rtl/>
        </w:rPr>
        <w:t xml:space="preserve"> ومكتب تقييس الاتصالات </w:t>
      </w:r>
      <w:r w:rsidR="00B108FD" w:rsidRPr="00B108FD">
        <w:t>(TSB)</w:t>
      </w:r>
    </w:p>
    <w:p w:rsidR="006B7D4C" w:rsidRDefault="006B7D4C" w:rsidP="00B13C64">
      <w:pPr>
        <w:spacing w:before="100" w:beforeAutospacing="1" w:after="100" w:afterAutospacing="1" w:line="240" w:lineRule="auto"/>
        <w:jc w:val="center"/>
        <w:rPr>
          <w:rtl/>
        </w:rPr>
      </w:pPr>
      <w:r>
        <w:rPr>
          <w:noProof/>
          <w:lang w:eastAsia="zh-CN"/>
        </w:rPr>
        <mc:AlternateContent>
          <mc:Choice Requires="wpg">
            <w:drawing>
              <wp:anchor distT="0" distB="0" distL="114300" distR="114300" simplePos="0" relativeHeight="251663360" behindDoc="0" locked="0" layoutInCell="1" allowOverlap="1" wp14:anchorId="17B52B40" wp14:editId="1C48EDC6">
                <wp:simplePos x="0" y="0"/>
                <wp:positionH relativeFrom="column">
                  <wp:posOffset>5275587</wp:posOffset>
                </wp:positionH>
                <wp:positionV relativeFrom="paragraph">
                  <wp:posOffset>1263650</wp:posOffset>
                </wp:positionV>
                <wp:extent cx="833120" cy="1377705"/>
                <wp:effectExtent l="0" t="0" r="5080" b="13335"/>
                <wp:wrapNone/>
                <wp:docPr id="7" name="Group 7"/>
                <wp:cNvGraphicFramePr/>
                <a:graphic xmlns:a="http://schemas.openxmlformats.org/drawingml/2006/main">
                  <a:graphicData uri="http://schemas.microsoft.com/office/word/2010/wordprocessingGroup">
                    <wpg:wgp>
                      <wpg:cNvGrpSpPr/>
                      <wpg:grpSpPr>
                        <a:xfrm>
                          <a:off x="0" y="0"/>
                          <a:ext cx="833120" cy="1377705"/>
                          <a:chOff x="0" y="0"/>
                          <a:chExt cx="833720" cy="1378578"/>
                        </a:xfrm>
                      </wpg:grpSpPr>
                      <wps:wsp>
                        <wps:cNvPr id="4" name="Text Box 4"/>
                        <wps:cNvSpPr txBox="1"/>
                        <wps:spPr>
                          <a:xfrm>
                            <a:off x="0" y="0"/>
                            <a:ext cx="833720" cy="2411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7D4C" w:rsidRPr="006B7D4C" w:rsidRDefault="006B7D4C" w:rsidP="00D54555">
                              <w:pPr>
                                <w:jc w:val="right"/>
                                <w:rPr>
                                  <w:spacing w:val="-8"/>
                                  <w:sz w:val="16"/>
                                  <w:szCs w:val="20"/>
                                  <w:lang w:bidi="ar-EG"/>
                                </w:rPr>
                              </w:pPr>
                              <w:r w:rsidRPr="006B7D4C">
                                <w:rPr>
                                  <w:rFonts w:hint="cs"/>
                                  <w:spacing w:val="-8"/>
                                  <w:sz w:val="16"/>
                                  <w:szCs w:val="20"/>
                                  <w:rtl/>
                                  <w:lang w:bidi="ar-EG"/>
                                </w:rPr>
                                <w:t>مكتب الاتصالات الراديوية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0" y="226088"/>
                            <a:ext cx="8331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7D4C" w:rsidRPr="006B7D4C" w:rsidRDefault="006B7D4C" w:rsidP="00D54555">
                              <w:pPr>
                                <w:jc w:val="right"/>
                                <w:rPr>
                                  <w:spacing w:val="-8"/>
                                  <w:sz w:val="16"/>
                                  <w:szCs w:val="20"/>
                                  <w:lang w:bidi="ar-EG"/>
                                </w:rPr>
                              </w:pPr>
                              <w:r w:rsidRPr="006B7D4C">
                                <w:rPr>
                                  <w:rFonts w:hint="cs"/>
                                  <w:spacing w:val="-8"/>
                                  <w:sz w:val="16"/>
                                  <w:szCs w:val="20"/>
                                  <w:rtl/>
                                  <w:lang w:bidi="ar-EG"/>
                                </w:rPr>
                                <w:t xml:space="preserve">مكتب </w:t>
                              </w:r>
                              <w:r>
                                <w:rPr>
                                  <w:rFonts w:hint="cs"/>
                                  <w:spacing w:val="-8"/>
                                  <w:sz w:val="16"/>
                                  <w:szCs w:val="20"/>
                                  <w:rtl/>
                                  <w:lang w:bidi="ar-EG"/>
                                </w:rPr>
                                <w:t xml:space="preserve">تنمية </w:t>
                              </w:r>
                              <w:r w:rsidRPr="006B7D4C">
                                <w:rPr>
                                  <w:rFonts w:hint="cs"/>
                                  <w:spacing w:val="-8"/>
                                  <w:sz w:val="16"/>
                                  <w:szCs w:val="20"/>
                                  <w:rtl/>
                                  <w:lang w:bidi="ar-EG"/>
                                </w:rPr>
                                <w:t xml:space="preserve">الاتصالات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6" name="Text Box 6"/>
                        <wps:cNvSpPr txBox="1"/>
                        <wps:spPr>
                          <a:xfrm>
                            <a:off x="0" y="452176"/>
                            <a:ext cx="8331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7D4C" w:rsidRPr="006B7D4C" w:rsidRDefault="006B7D4C" w:rsidP="00D54555">
                              <w:pPr>
                                <w:jc w:val="right"/>
                                <w:rPr>
                                  <w:spacing w:val="-8"/>
                                  <w:sz w:val="16"/>
                                  <w:szCs w:val="20"/>
                                  <w:lang w:bidi="ar-EG"/>
                                </w:rPr>
                              </w:pPr>
                              <w:r w:rsidRPr="006B7D4C">
                                <w:rPr>
                                  <w:rFonts w:hint="cs"/>
                                  <w:spacing w:val="-8"/>
                                  <w:sz w:val="16"/>
                                  <w:szCs w:val="20"/>
                                  <w:rtl/>
                                  <w:lang w:bidi="ar-EG"/>
                                </w:rPr>
                                <w:t xml:space="preserve">مكتب </w:t>
                              </w:r>
                              <w:r>
                                <w:rPr>
                                  <w:rFonts w:hint="cs"/>
                                  <w:spacing w:val="-8"/>
                                  <w:sz w:val="16"/>
                                  <w:szCs w:val="20"/>
                                  <w:rtl/>
                                  <w:lang w:bidi="ar-EG"/>
                                </w:rPr>
                                <w:t xml:space="preserve">تقييس </w:t>
                              </w:r>
                              <w:r w:rsidRPr="006B7D4C">
                                <w:rPr>
                                  <w:rFonts w:hint="cs"/>
                                  <w:spacing w:val="-8"/>
                                  <w:sz w:val="16"/>
                                  <w:szCs w:val="20"/>
                                  <w:rtl/>
                                  <w:lang w:bidi="ar-EG"/>
                                </w:rPr>
                                <w:t xml:space="preserve">الاتصالات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0" y="692822"/>
                            <a:ext cx="8331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555" w:rsidRPr="006B7D4C" w:rsidRDefault="00D54555" w:rsidP="00D54555">
                              <w:pPr>
                                <w:jc w:val="right"/>
                                <w:rPr>
                                  <w:spacing w:val="-8"/>
                                  <w:sz w:val="16"/>
                                  <w:szCs w:val="20"/>
                                  <w:lang w:bidi="ar-EG"/>
                                </w:rPr>
                              </w:pPr>
                              <w:r w:rsidRPr="00D54555">
                                <w:rPr>
                                  <w:rFonts w:hint="cs"/>
                                  <w:spacing w:val="-8"/>
                                  <w:sz w:val="16"/>
                                  <w:szCs w:val="20"/>
                                  <w:rtl/>
                                  <w:lang w:bidi="ar-EG"/>
                                </w:rPr>
                                <w:t>منحنى عديد الحدود</w:t>
                              </w:r>
                              <w:r w:rsidR="00651E00">
                                <w:rPr>
                                  <w:rFonts w:hint="cs"/>
                                  <w:spacing w:val="-8"/>
                                  <w:sz w:val="16"/>
                                  <w:szCs w:val="20"/>
                                  <w:rtl/>
                                  <w:lang w:bidi="ar-EG"/>
                                </w:rPr>
                                <w:t xml:space="preserve"> </w:t>
                              </w:r>
                              <w:r w:rsidR="00651E00">
                                <w:rPr>
                                  <w:spacing w:val="-8"/>
                                  <w:sz w:val="16"/>
                                  <w:szCs w:val="20"/>
                                  <w:lang w:bidi="ar-EG"/>
                                </w:rPr>
                                <w:t>(BR)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 name="Text Box 23"/>
                        <wps:cNvSpPr txBox="1"/>
                        <wps:spPr>
                          <a:xfrm>
                            <a:off x="0" y="904400"/>
                            <a:ext cx="8331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555" w:rsidRPr="006B7D4C" w:rsidRDefault="00D54555" w:rsidP="00D54555">
                              <w:pPr>
                                <w:jc w:val="right"/>
                                <w:rPr>
                                  <w:spacing w:val="-8"/>
                                  <w:sz w:val="16"/>
                                  <w:szCs w:val="20"/>
                                  <w:lang w:bidi="ar-EG"/>
                                </w:rPr>
                              </w:pPr>
                              <w:r w:rsidRPr="00D54555">
                                <w:rPr>
                                  <w:rFonts w:hint="cs"/>
                                  <w:spacing w:val="-8"/>
                                  <w:sz w:val="16"/>
                                  <w:szCs w:val="20"/>
                                  <w:rtl/>
                                  <w:lang w:bidi="ar-EG"/>
                                </w:rPr>
                                <w:t>منحنى عديد الحدود</w:t>
                              </w:r>
                              <w:r w:rsidR="00651E00">
                                <w:rPr>
                                  <w:rFonts w:hint="cs"/>
                                  <w:spacing w:val="-8"/>
                                  <w:sz w:val="16"/>
                                  <w:szCs w:val="20"/>
                                  <w:rtl/>
                                  <w:lang w:bidi="ar-EG"/>
                                </w:rPr>
                                <w:t xml:space="preserve"> </w:t>
                              </w:r>
                              <w:r w:rsidR="00651E00">
                                <w:rPr>
                                  <w:spacing w:val="-8"/>
                                  <w:sz w:val="16"/>
                                  <w:szCs w:val="20"/>
                                  <w:lang w:bidi="ar-EG"/>
                                </w:rPr>
                                <w:t>(BDT)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0" y="1137913"/>
                            <a:ext cx="8331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54555" w:rsidRPr="006B7D4C" w:rsidRDefault="00D54555" w:rsidP="00D54555">
                              <w:pPr>
                                <w:jc w:val="right"/>
                                <w:rPr>
                                  <w:spacing w:val="-8"/>
                                  <w:sz w:val="16"/>
                                  <w:szCs w:val="20"/>
                                  <w:lang w:bidi="ar-EG"/>
                                </w:rPr>
                              </w:pPr>
                              <w:r w:rsidRPr="00D54555">
                                <w:rPr>
                                  <w:rFonts w:hint="cs"/>
                                  <w:spacing w:val="-8"/>
                                  <w:sz w:val="16"/>
                                  <w:szCs w:val="20"/>
                                  <w:rtl/>
                                  <w:lang w:bidi="ar-EG"/>
                                </w:rPr>
                                <w:t>منحنى خطي</w:t>
                              </w:r>
                              <w:r w:rsidR="00651E00">
                                <w:rPr>
                                  <w:rFonts w:hint="cs"/>
                                  <w:spacing w:val="-8"/>
                                  <w:sz w:val="16"/>
                                  <w:szCs w:val="20"/>
                                  <w:rtl/>
                                  <w:lang w:bidi="ar-EG"/>
                                </w:rPr>
                                <w:t xml:space="preserve"> </w:t>
                              </w:r>
                              <w:r w:rsidR="00651E00">
                                <w:rPr>
                                  <w:spacing w:val="-8"/>
                                  <w:sz w:val="16"/>
                                  <w:szCs w:val="20"/>
                                  <w:lang w:bidi="ar-EG"/>
                                </w:rPr>
                                <w:t>(TSB)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7B52B40" id="Group 7" o:spid="_x0000_s1028" style="position:absolute;left:0;text-align:left;margin-left:415.4pt;margin-top:99.5pt;width:65.6pt;height:108.5pt;z-index:251663360;mso-height-relative:margin" coordsize="8337,13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">
                <v:shape id="Text Box 4" o:spid="_x0000_s1029" type="#_x0000_t202" style="position:absolute;width:8337;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j6I8UA&#10;AADaAAAADwAAAGRycy9kb3ducmV2LnhtbESPX2vCQBDE3wv9DscW+lYvSim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qPojxQAAANoAAAAPAAAAAAAAAAAAAAAAAJgCAABkcnMv&#10;ZG93bnJldi54bWxQSwUGAAAAAAQABAD1AAAAigMAAAAA&#10;" filled="f" stroked="f" strokeweight=".5pt">
                  <v:textbox inset="0,0,0,0">
                    <w:txbxContent>
                      <w:p w:rsidR="006B7D4C" w:rsidRPr="006B7D4C" w:rsidRDefault="006B7D4C" w:rsidP="00D54555">
                        <w:pPr>
                          <w:jc w:val="right"/>
                          <w:rPr>
                            <w:spacing w:val="-8"/>
                            <w:sz w:val="16"/>
                            <w:szCs w:val="20"/>
                            <w:lang w:bidi="ar-EG"/>
                          </w:rPr>
                        </w:pPr>
                        <w:r w:rsidRPr="006B7D4C">
                          <w:rPr>
                            <w:rFonts w:hint="cs"/>
                            <w:spacing w:val="-8"/>
                            <w:sz w:val="16"/>
                            <w:szCs w:val="20"/>
                            <w:rtl/>
                            <w:lang w:bidi="ar-EG"/>
                          </w:rPr>
                          <w:t>مكتب الاتصالات الراديوية</w:t>
                        </w:r>
                      </w:p>
                    </w:txbxContent>
                  </v:textbox>
                </v:shape>
                <v:shape id="Text Box 5" o:spid="_x0000_s1030" type="#_x0000_t202" style="position:absolute;top:2260;width:833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6B7D4C" w:rsidRPr="006B7D4C" w:rsidRDefault="006B7D4C" w:rsidP="00D54555">
                        <w:pPr>
                          <w:jc w:val="right"/>
                          <w:rPr>
                            <w:spacing w:val="-8"/>
                            <w:sz w:val="16"/>
                            <w:szCs w:val="20"/>
                            <w:lang w:bidi="ar-EG"/>
                          </w:rPr>
                        </w:pPr>
                        <w:r w:rsidRPr="006B7D4C">
                          <w:rPr>
                            <w:rFonts w:hint="cs"/>
                            <w:spacing w:val="-8"/>
                            <w:sz w:val="16"/>
                            <w:szCs w:val="20"/>
                            <w:rtl/>
                            <w:lang w:bidi="ar-EG"/>
                          </w:rPr>
                          <w:t xml:space="preserve">مكتب </w:t>
                        </w:r>
                        <w:r>
                          <w:rPr>
                            <w:rFonts w:hint="cs"/>
                            <w:spacing w:val="-8"/>
                            <w:sz w:val="16"/>
                            <w:szCs w:val="20"/>
                            <w:rtl/>
                            <w:lang w:bidi="ar-EG"/>
                          </w:rPr>
                          <w:t xml:space="preserve">تنمية </w:t>
                        </w:r>
                        <w:r w:rsidRPr="006B7D4C">
                          <w:rPr>
                            <w:rFonts w:hint="cs"/>
                            <w:spacing w:val="-8"/>
                            <w:sz w:val="16"/>
                            <w:szCs w:val="20"/>
                            <w:rtl/>
                            <w:lang w:bidi="ar-EG"/>
                          </w:rPr>
                          <w:t xml:space="preserve">الاتصالات </w:t>
                        </w:r>
                      </w:p>
                    </w:txbxContent>
                  </v:textbox>
                </v:shape>
                <v:shape id="Text Box 6" o:spid="_x0000_s1031" type="#_x0000_t202" style="position:absolute;top:4521;width:833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6B7D4C" w:rsidRPr="006B7D4C" w:rsidRDefault="006B7D4C" w:rsidP="00D54555">
                        <w:pPr>
                          <w:jc w:val="right"/>
                          <w:rPr>
                            <w:spacing w:val="-8"/>
                            <w:sz w:val="16"/>
                            <w:szCs w:val="20"/>
                            <w:lang w:bidi="ar-EG"/>
                          </w:rPr>
                        </w:pPr>
                        <w:r w:rsidRPr="006B7D4C">
                          <w:rPr>
                            <w:rFonts w:hint="cs"/>
                            <w:spacing w:val="-8"/>
                            <w:sz w:val="16"/>
                            <w:szCs w:val="20"/>
                            <w:rtl/>
                            <w:lang w:bidi="ar-EG"/>
                          </w:rPr>
                          <w:t xml:space="preserve">مكتب </w:t>
                        </w:r>
                        <w:r>
                          <w:rPr>
                            <w:rFonts w:hint="cs"/>
                            <w:spacing w:val="-8"/>
                            <w:sz w:val="16"/>
                            <w:szCs w:val="20"/>
                            <w:rtl/>
                            <w:lang w:bidi="ar-EG"/>
                          </w:rPr>
                          <w:t xml:space="preserve">تقييس </w:t>
                        </w:r>
                        <w:r w:rsidRPr="006B7D4C">
                          <w:rPr>
                            <w:rFonts w:hint="cs"/>
                            <w:spacing w:val="-8"/>
                            <w:sz w:val="16"/>
                            <w:szCs w:val="20"/>
                            <w:rtl/>
                            <w:lang w:bidi="ar-EG"/>
                          </w:rPr>
                          <w:t xml:space="preserve">الاتصالات </w:t>
                        </w:r>
                      </w:p>
                    </w:txbxContent>
                  </v:textbox>
                </v:shape>
                <v:shape id="Text Box 22" o:spid="_x0000_s1032" type="#_x0000_t202" style="position:absolute;top:6928;width:8331;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D54555" w:rsidRPr="006B7D4C" w:rsidRDefault="00D54555" w:rsidP="00D54555">
                        <w:pPr>
                          <w:jc w:val="right"/>
                          <w:rPr>
                            <w:spacing w:val="-8"/>
                            <w:sz w:val="16"/>
                            <w:szCs w:val="20"/>
                            <w:lang w:bidi="ar-EG"/>
                          </w:rPr>
                        </w:pPr>
                        <w:r w:rsidRPr="00D54555">
                          <w:rPr>
                            <w:rFonts w:hint="cs"/>
                            <w:spacing w:val="-8"/>
                            <w:sz w:val="16"/>
                            <w:szCs w:val="20"/>
                            <w:rtl/>
                            <w:lang w:bidi="ar-EG"/>
                          </w:rPr>
                          <w:t>منحنى عديد الحدود</w:t>
                        </w:r>
                        <w:r w:rsidR="00651E00">
                          <w:rPr>
                            <w:rFonts w:hint="cs"/>
                            <w:spacing w:val="-8"/>
                            <w:sz w:val="16"/>
                            <w:szCs w:val="20"/>
                            <w:rtl/>
                            <w:lang w:bidi="ar-EG"/>
                          </w:rPr>
                          <w:t xml:space="preserve"> </w:t>
                        </w:r>
                        <w:r w:rsidR="00651E00">
                          <w:rPr>
                            <w:spacing w:val="-8"/>
                            <w:sz w:val="16"/>
                            <w:szCs w:val="20"/>
                            <w:lang w:bidi="ar-EG"/>
                          </w:rPr>
                          <w:t>(BR)</w:t>
                        </w:r>
                      </w:p>
                    </w:txbxContent>
                  </v:textbox>
                </v:shape>
                <v:shape id="Text Box 23" o:spid="_x0000_s1033" type="#_x0000_t202" style="position:absolute;top:9044;width:8331;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D54555" w:rsidRPr="006B7D4C" w:rsidRDefault="00D54555" w:rsidP="00D54555">
                        <w:pPr>
                          <w:jc w:val="right"/>
                          <w:rPr>
                            <w:spacing w:val="-8"/>
                            <w:sz w:val="16"/>
                            <w:szCs w:val="20"/>
                            <w:lang w:bidi="ar-EG"/>
                          </w:rPr>
                        </w:pPr>
                        <w:r w:rsidRPr="00D54555">
                          <w:rPr>
                            <w:rFonts w:hint="cs"/>
                            <w:spacing w:val="-8"/>
                            <w:sz w:val="16"/>
                            <w:szCs w:val="20"/>
                            <w:rtl/>
                            <w:lang w:bidi="ar-EG"/>
                          </w:rPr>
                          <w:t>منحنى عديد الحدود</w:t>
                        </w:r>
                        <w:r w:rsidR="00651E00">
                          <w:rPr>
                            <w:rFonts w:hint="cs"/>
                            <w:spacing w:val="-8"/>
                            <w:sz w:val="16"/>
                            <w:szCs w:val="20"/>
                            <w:rtl/>
                            <w:lang w:bidi="ar-EG"/>
                          </w:rPr>
                          <w:t xml:space="preserve"> </w:t>
                        </w:r>
                        <w:r w:rsidR="00651E00">
                          <w:rPr>
                            <w:spacing w:val="-8"/>
                            <w:sz w:val="16"/>
                            <w:szCs w:val="20"/>
                            <w:lang w:bidi="ar-EG"/>
                          </w:rPr>
                          <w:t>(BDT)</w:t>
                        </w:r>
                      </w:p>
                    </w:txbxContent>
                  </v:textbox>
                </v:shape>
                <v:shape id="Text Box 24" o:spid="_x0000_s1034" type="#_x0000_t202" style="position:absolute;top:11379;width:8331;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inset="0,0,0,0">
                    <w:txbxContent>
                      <w:p w:rsidR="00D54555" w:rsidRPr="006B7D4C" w:rsidRDefault="00D54555" w:rsidP="00D54555">
                        <w:pPr>
                          <w:jc w:val="right"/>
                          <w:rPr>
                            <w:spacing w:val="-8"/>
                            <w:sz w:val="16"/>
                            <w:szCs w:val="20"/>
                            <w:lang w:bidi="ar-EG"/>
                          </w:rPr>
                        </w:pPr>
                        <w:r w:rsidRPr="00D54555">
                          <w:rPr>
                            <w:rFonts w:hint="cs"/>
                            <w:spacing w:val="-8"/>
                            <w:sz w:val="16"/>
                            <w:szCs w:val="20"/>
                            <w:rtl/>
                            <w:lang w:bidi="ar-EG"/>
                          </w:rPr>
                          <w:t>منحنى خطي</w:t>
                        </w:r>
                        <w:r w:rsidR="00651E00">
                          <w:rPr>
                            <w:rFonts w:hint="cs"/>
                            <w:spacing w:val="-8"/>
                            <w:sz w:val="16"/>
                            <w:szCs w:val="20"/>
                            <w:rtl/>
                            <w:lang w:bidi="ar-EG"/>
                          </w:rPr>
                          <w:t xml:space="preserve"> </w:t>
                        </w:r>
                        <w:r w:rsidR="00651E00">
                          <w:rPr>
                            <w:spacing w:val="-8"/>
                            <w:sz w:val="16"/>
                            <w:szCs w:val="20"/>
                            <w:lang w:bidi="ar-EG"/>
                          </w:rPr>
                          <w:t>(TSB)</w:t>
                        </w:r>
                      </w:p>
                    </w:txbxContent>
                  </v:textbox>
                </v:shape>
              </v:group>
            </w:pict>
          </mc:Fallback>
        </mc:AlternateContent>
      </w:r>
      <w:r w:rsidR="00B108FD" w:rsidRPr="00B108FD">
        <w:rPr>
          <w:noProof/>
          <w:lang w:eastAsia="zh-CN"/>
        </w:rPr>
        <w:drawing>
          <wp:inline distT="0" distB="0" distL="0" distR="0" wp14:anchorId="34D68F42" wp14:editId="2642B803">
            <wp:extent cx="6120765" cy="3917950"/>
            <wp:effectExtent l="0" t="0" r="13335"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B108FD" w:rsidRPr="006B7D4C" w:rsidRDefault="00B108FD" w:rsidP="006B7D4C">
      <w:pPr>
        <w:spacing w:before="240"/>
        <w:rPr>
          <w:spacing w:val="-2"/>
          <w:rtl/>
          <w:lang w:bidi="ar"/>
        </w:rPr>
      </w:pPr>
      <w:r w:rsidRPr="006B7D4C">
        <w:rPr>
          <w:rFonts w:hint="cs"/>
          <w:spacing w:val="-2"/>
          <w:rtl/>
          <w:lang w:bidi="ar"/>
        </w:rPr>
        <w:t>وعلى مدى السنوات العشرين الماضية، طرأ تغير عميق في أساليب عمل مكتب الاتصالات الراديوية. وقد شهدت هذه الفترة ما يلي:</w:t>
      </w:r>
    </w:p>
    <w:p w:rsidR="00B108FD" w:rsidRPr="00B108FD" w:rsidRDefault="00B108FD" w:rsidP="00C05C7C">
      <w:pPr>
        <w:pStyle w:val="enumlev1"/>
        <w:rPr>
          <w:rtl/>
        </w:rPr>
      </w:pPr>
      <w:r w:rsidRPr="00B108FD">
        <w:rPr>
          <w:rFonts w:hint="cs"/>
          <w:rtl/>
        </w:rPr>
        <w:t>-</w:t>
      </w:r>
      <w:r w:rsidRPr="00B108FD">
        <w:rPr>
          <w:rFonts w:hint="cs"/>
          <w:rtl/>
        </w:rPr>
        <w:tab/>
      </w:r>
      <w:r w:rsidRPr="00B108FD">
        <w:rPr>
          <w:rFonts w:hint="cs"/>
          <w:rtl/>
          <w:lang w:bidi="ar"/>
        </w:rPr>
        <w:t xml:space="preserve">التقدم من الأساليب اليدوية لنقل البيانات الواردة من المستخدمين في شكل ورقي إلى استلام بيانات </w:t>
      </w:r>
      <w:r w:rsidR="00C05C7C">
        <w:rPr>
          <w:rFonts w:hint="cs"/>
          <w:rtl/>
          <w:lang w:bidi="ar"/>
        </w:rPr>
        <w:t>المستخدمين</w:t>
      </w:r>
      <w:r w:rsidRPr="00B108FD">
        <w:rPr>
          <w:rFonts w:hint="cs"/>
          <w:rtl/>
          <w:lang w:bidi="ar"/>
        </w:rPr>
        <w:t xml:space="preserve"> مباشرة</w:t>
      </w:r>
      <w:r w:rsidR="00C05C7C">
        <w:rPr>
          <w:rFonts w:hint="cs"/>
          <w:rtl/>
          <w:lang w:bidi="ar"/>
        </w:rPr>
        <w:t>ً</w:t>
      </w:r>
      <w:r w:rsidRPr="00B108FD">
        <w:rPr>
          <w:rFonts w:hint="cs"/>
          <w:rtl/>
          <w:lang w:bidi="ar"/>
        </w:rPr>
        <w:t xml:space="preserve"> في نسق إلكتروني؛</w:t>
      </w:r>
    </w:p>
    <w:p w:rsidR="00B108FD" w:rsidRPr="00B108FD" w:rsidRDefault="00B108FD" w:rsidP="00C05C7C">
      <w:pPr>
        <w:pStyle w:val="enumlev1"/>
        <w:rPr>
          <w:rtl/>
        </w:rPr>
      </w:pPr>
      <w:r w:rsidRPr="00B108FD">
        <w:rPr>
          <w:rFonts w:hint="cs"/>
          <w:rtl/>
        </w:rPr>
        <w:t>-</w:t>
      </w:r>
      <w:r w:rsidRPr="00B108FD">
        <w:rPr>
          <w:rFonts w:hint="cs"/>
          <w:rtl/>
        </w:rPr>
        <w:tab/>
      </w:r>
      <w:r w:rsidRPr="00B108FD">
        <w:rPr>
          <w:rFonts w:hint="cs"/>
          <w:rtl/>
          <w:lang w:bidi="ar"/>
        </w:rPr>
        <w:t>التوسع الكبير في استخدام تكنولوجيا المعلومات والاتصالات</w:t>
      </w:r>
      <w:r w:rsidR="00651E00">
        <w:rPr>
          <w:rFonts w:hint="cs"/>
          <w:rtl/>
          <w:lang w:bidi="ar"/>
        </w:rPr>
        <w:t xml:space="preserve"> </w:t>
      </w:r>
      <w:r w:rsidR="00651E00">
        <w:rPr>
          <w:lang w:bidi="ar"/>
        </w:rPr>
        <w:t>(ICT)</w:t>
      </w:r>
      <w:r w:rsidRPr="00B108FD">
        <w:rPr>
          <w:rFonts w:hint="cs"/>
          <w:rtl/>
          <w:lang w:bidi="ar"/>
        </w:rPr>
        <w:t xml:space="preserve"> لفحص بطاقات التبليغ عن تخصيصات </w:t>
      </w:r>
      <w:r w:rsidR="00C05C7C">
        <w:rPr>
          <w:rFonts w:hint="cs"/>
          <w:rtl/>
          <w:lang w:bidi="ar"/>
        </w:rPr>
        <w:t>الترددات</w:t>
      </w:r>
      <w:r w:rsidRPr="00B108FD">
        <w:rPr>
          <w:rFonts w:hint="cs"/>
          <w:rtl/>
          <w:lang w:bidi="ar"/>
        </w:rPr>
        <w:t xml:space="preserve"> لأنظمة ومحطات </w:t>
      </w:r>
      <w:r w:rsidR="00C05C7C">
        <w:rPr>
          <w:rFonts w:hint="cs"/>
          <w:rtl/>
          <w:lang w:bidi="ar"/>
        </w:rPr>
        <w:t xml:space="preserve">خدمات </w:t>
      </w:r>
      <w:r w:rsidRPr="00B108FD">
        <w:rPr>
          <w:rFonts w:hint="cs"/>
          <w:rtl/>
          <w:lang w:bidi="ar"/>
        </w:rPr>
        <w:t>الأرض والخدم</w:t>
      </w:r>
      <w:r w:rsidR="00C05C7C">
        <w:rPr>
          <w:rFonts w:hint="cs"/>
          <w:rtl/>
          <w:lang w:bidi="ar"/>
        </w:rPr>
        <w:t>ات</w:t>
      </w:r>
      <w:r w:rsidRPr="00B108FD">
        <w:rPr>
          <w:rFonts w:hint="cs"/>
          <w:rtl/>
          <w:lang w:bidi="ar"/>
        </w:rPr>
        <w:t xml:space="preserve"> الفضائية؛</w:t>
      </w:r>
    </w:p>
    <w:p w:rsidR="00B108FD" w:rsidRPr="00B108FD" w:rsidRDefault="00B108FD" w:rsidP="006B7D4C">
      <w:pPr>
        <w:pStyle w:val="enumlev1"/>
        <w:rPr>
          <w:rtl/>
        </w:rPr>
      </w:pPr>
      <w:r w:rsidRPr="00B108FD">
        <w:rPr>
          <w:rFonts w:hint="cs"/>
          <w:rtl/>
        </w:rPr>
        <w:t>-</w:t>
      </w:r>
      <w:r w:rsidRPr="00B108FD">
        <w:rPr>
          <w:rFonts w:hint="cs"/>
          <w:rtl/>
        </w:rPr>
        <w:tab/>
      </w:r>
      <w:r w:rsidRPr="00B108FD">
        <w:rPr>
          <w:rFonts w:hint="cs"/>
          <w:rtl/>
          <w:lang w:bidi="ar"/>
        </w:rPr>
        <w:t>الانتقال إلى الوسائل الإلكترونية لتبادل البيانات بين مكتب الاتصالات الراديوية وبين الدول الأعضاء في الاتحاد وأعضاء القطاع؛</w:t>
      </w:r>
    </w:p>
    <w:p w:rsidR="00B108FD" w:rsidRPr="00B108FD" w:rsidRDefault="00B108FD" w:rsidP="006B7D4C">
      <w:pPr>
        <w:pStyle w:val="enumlev1"/>
        <w:rPr>
          <w:rtl/>
        </w:rPr>
      </w:pPr>
      <w:r w:rsidRPr="00B108FD">
        <w:rPr>
          <w:rFonts w:hint="cs"/>
          <w:rtl/>
        </w:rPr>
        <w:t>-</w:t>
      </w:r>
      <w:r w:rsidRPr="00B108FD">
        <w:rPr>
          <w:rFonts w:hint="cs"/>
          <w:rtl/>
        </w:rPr>
        <w:tab/>
      </w:r>
      <w:r w:rsidRPr="00B108FD">
        <w:rPr>
          <w:rFonts w:hint="cs"/>
          <w:rtl/>
          <w:lang w:bidi="ar"/>
        </w:rPr>
        <w:t>الانتقال إلى الوسائل الإلكترونية لنشر وثائق قطاع الاتصالات الراديوية بما في ذلك نشر نتائج التفحص التنظيمي والتقني لبطاقات التبليغ؛</w:t>
      </w:r>
    </w:p>
    <w:p w:rsidR="00B108FD" w:rsidRPr="00B108FD" w:rsidRDefault="00B108FD" w:rsidP="006B7D4C">
      <w:pPr>
        <w:pStyle w:val="enumlev1"/>
        <w:rPr>
          <w:rtl/>
        </w:rPr>
      </w:pPr>
      <w:r w:rsidRPr="00B108FD">
        <w:rPr>
          <w:rFonts w:hint="cs"/>
          <w:rtl/>
        </w:rPr>
        <w:t>-</w:t>
      </w:r>
      <w:r w:rsidRPr="00B108FD">
        <w:rPr>
          <w:rFonts w:hint="cs"/>
          <w:rtl/>
        </w:rPr>
        <w:tab/>
      </w:r>
      <w:r w:rsidRPr="00B108FD">
        <w:rPr>
          <w:rFonts w:hint="cs"/>
          <w:rtl/>
          <w:lang w:bidi="ar"/>
        </w:rPr>
        <w:t>تطوير مجموعة واسعة من حزم وأنظمة البرمجيات لأداء المهام المذكورة أعلاه.</w:t>
      </w:r>
    </w:p>
    <w:p w:rsidR="00B108FD" w:rsidRPr="00C05C7C" w:rsidRDefault="00B108FD" w:rsidP="00204FDB">
      <w:pPr>
        <w:rPr>
          <w:spacing w:val="-2"/>
          <w:rtl/>
          <w:lang w:bidi="ar"/>
        </w:rPr>
      </w:pPr>
      <w:r w:rsidRPr="00C05C7C">
        <w:rPr>
          <w:rFonts w:hint="cs"/>
          <w:spacing w:val="-2"/>
          <w:rtl/>
          <w:lang w:bidi="ar"/>
        </w:rPr>
        <w:t xml:space="preserve">وقد أسفرت هذه التدابير وغيرها عن مكاسب كبيرة في الأداء </w:t>
      </w:r>
      <w:r w:rsidR="00C05C7C" w:rsidRPr="00C05C7C">
        <w:rPr>
          <w:rFonts w:hint="cs"/>
          <w:spacing w:val="-2"/>
          <w:rtl/>
          <w:lang w:bidi="ar"/>
        </w:rPr>
        <w:t xml:space="preserve">ليس فقط </w:t>
      </w:r>
      <w:r w:rsidRPr="00C05C7C">
        <w:rPr>
          <w:rFonts w:hint="cs"/>
          <w:spacing w:val="-2"/>
          <w:rtl/>
          <w:lang w:bidi="ar"/>
        </w:rPr>
        <w:t>من جانب</w:t>
      </w:r>
      <w:r w:rsidR="00C05C7C" w:rsidRPr="00C05C7C">
        <w:rPr>
          <w:rFonts w:hint="cs"/>
          <w:spacing w:val="-2"/>
          <w:rtl/>
          <w:lang w:bidi="ar"/>
        </w:rPr>
        <w:t xml:space="preserve"> موظفي مكتب الاتصالات الراديوية، بل ومن جانب </w:t>
      </w:r>
      <w:r w:rsidRPr="00C05C7C">
        <w:rPr>
          <w:rFonts w:hint="cs"/>
          <w:spacing w:val="-2"/>
          <w:rtl/>
          <w:lang w:bidi="ar"/>
        </w:rPr>
        <w:t xml:space="preserve">موظفي الدول الأعضاء في الاتحاد وأعضاء القطاع </w:t>
      </w:r>
      <w:r w:rsidR="00C05C7C" w:rsidRPr="00C05C7C">
        <w:rPr>
          <w:rFonts w:hint="cs"/>
          <w:spacing w:val="-2"/>
          <w:rtl/>
          <w:lang w:bidi="ar"/>
        </w:rPr>
        <w:t xml:space="preserve">كذلك </w:t>
      </w:r>
      <w:r w:rsidRPr="00C05C7C">
        <w:rPr>
          <w:rFonts w:hint="cs"/>
          <w:spacing w:val="-2"/>
          <w:rtl/>
          <w:lang w:bidi="ar"/>
        </w:rPr>
        <w:t xml:space="preserve">بفضل استخدامهم لمنتجات برمجيات مكتب الاتصالات الراديوية </w:t>
      </w:r>
      <w:r w:rsidR="00C05C7C" w:rsidRPr="00C05C7C">
        <w:rPr>
          <w:rFonts w:hint="cs"/>
          <w:spacing w:val="-2"/>
          <w:rtl/>
          <w:lang w:bidi="ar"/>
        </w:rPr>
        <w:t>في </w:t>
      </w:r>
      <w:r w:rsidRPr="00C05C7C">
        <w:rPr>
          <w:rFonts w:hint="cs"/>
          <w:spacing w:val="-2"/>
          <w:rtl/>
          <w:lang w:bidi="ar"/>
        </w:rPr>
        <w:t>إعداد التبليغات عن تخصيص</w:t>
      </w:r>
      <w:r w:rsidR="00C05C7C" w:rsidRPr="00C05C7C">
        <w:rPr>
          <w:rFonts w:hint="cs"/>
          <w:spacing w:val="-2"/>
          <w:rtl/>
          <w:lang w:bidi="ar"/>
        </w:rPr>
        <w:t>ات</w:t>
      </w:r>
      <w:r w:rsidRPr="00C05C7C">
        <w:rPr>
          <w:rFonts w:hint="cs"/>
          <w:spacing w:val="-2"/>
          <w:rtl/>
          <w:lang w:bidi="ar"/>
        </w:rPr>
        <w:t xml:space="preserve"> الترددات والتحقق اللاحق منها، مما أغنى عن </w:t>
      </w:r>
      <w:r w:rsidR="00C05C7C">
        <w:rPr>
          <w:rFonts w:hint="cs"/>
          <w:spacing w:val="-2"/>
          <w:rtl/>
          <w:lang w:bidi="ar"/>
        </w:rPr>
        <w:t xml:space="preserve">الحاجة إلى </w:t>
      </w:r>
      <w:r w:rsidRPr="00C05C7C">
        <w:rPr>
          <w:rFonts w:hint="cs"/>
          <w:spacing w:val="-2"/>
          <w:rtl/>
          <w:lang w:bidi="ar"/>
        </w:rPr>
        <w:t>العديد من المراسلات مع خبراء مكتب الاتصالات الراديوية. ويعني نشر البيانات في شكل إلكتروني إمكانية استخدامها في مرحلة التنسيق، مما يؤدي بدوره إلى عملية تنسيق أكثر</w:t>
      </w:r>
      <w:r w:rsidR="00204FDB">
        <w:rPr>
          <w:rFonts w:hint="eastAsia"/>
          <w:spacing w:val="-2"/>
          <w:rtl/>
          <w:lang w:bidi="ar"/>
        </w:rPr>
        <w:t> </w:t>
      </w:r>
      <w:r w:rsidRPr="00C05C7C">
        <w:rPr>
          <w:rFonts w:hint="cs"/>
          <w:spacing w:val="-2"/>
          <w:rtl/>
          <w:lang w:bidi="ar"/>
        </w:rPr>
        <w:t>كفاءة.</w:t>
      </w:r>
    </w:p>
    <w:p w:rsidR="00B108FD" w:rsidRPr="00B108FD" w:rsidRDefault="00B108FD" w:rsidP="00C05C7C">
      <w:pPr>
        <w:rPr>
          <w:rtl/>
          <w:lang w:bidi="ar"/>
        </w:rPr>
      </w:pPr>
      <w:r w:rsidRPr="00B108FD">
        <w:rPr>
          <w:rFonts w:hint="cs"/>
          <w:rtl/>
          <w:lang w:bidi="ar"/>
        </w:rPr>
        <w:lastRenderedPageBreak/>
        <w:t>وقد مكنت أوجه التقدم المذكورة أعلاه إلى تخفيض أعداد موظفي مكتب الاتصالات الراديوية بدرجة كبيرة ومبررة (انظر الشكل</w:t>
      </w:r>
      <w:r w:rsidR="006B7D4C">
        <w:rPr>
          <w:rFonts w:hint="eastAsia"/>
          <w:rtl/>
          <w:lang w:bidi="ar"/>
        </w:rPr>
        <w:t> </w:t>
      </w:r>
      <w:r w:rsidR="006B7D4C">
        <w:rPr>
          <w:lang w:bidi="ar"/>
        </w:rPr>
        <w:t>3</w:t>
      </w:r>
      <w:r w:rsidRPr="00B108FD">
        <w:rPr>
          <w:rFonts w:hint="cs"/>
          <w:rtl/>
          <w:lang w:bidi="ar"/>
        </w:rPr>
        <w:t xml:space="preserve">). بيد أن لأي نوع من أتمتة العمليات حدوده، لا سيما فيما يتعلق بعملية معقدة مثل إدارة الطيف </w:t>
      </w:r>
      <w:r w:rsidR="006F1083">
        <w:rPr>
          <w:rFonts w:hint="cs"/>
          <w:rtl/>
          <w:lang w:bidi="ar"/>
        </w:rPr>
        <w:t>و</w:t>
      </w:r>
      <w:r w:rsidRPr="00B108FD">
        <w:rPr>
          <w:rFonts w:hint="cs"/>
          <w:rtl/>
          <w:lang w:bidi="ar"/>
        </w:rPr>
        <w:t>المدار الساتلي على الصعيد الدولي، ولا يمكن الإمعان في خفض أعداد الموظفين إلى الأبد.</w:t>
      </w:r>
    </w:p>
    <w:p w:rsidR="00B108FD" w:rsidRPr="00B108FD" w:rsidRDefault="00C05C7C" w:rsidP="009B1E20">
      <w:pPr>
        <w:rPr>
          <w:rtl/>
          <w:lang w:bidi="ar"/>
        </w:rPr>
      </w:pPr>
      <w:r>
        <w:rPr>
          <w:rFonts w:hint="cs"/>
          <w:rtl/>
          <w:lang w:bidi="ar"/>
        </w:rPr>
        <w:t xml:space="preserve">ومن المهم ملاحظة </w:t>
      </w:r>
      <w:r w:rsidR="00B108FD" w:rsidRPr="00B108FD">
        <w:rPr>
          <w:rFonts w:hint="cs"/>
          <w:rtl/>
          <w:lang w:bidi="ar"/>
        </w:rPr>
        <w:t xml:space="preserve">أن عدد موظفي </w:t>
      </w:r>
      <w:r w:rsidR="00B108FD" w:rsidRPr="00B108FD">
        <w:rPr>
          <w:rtl/>
          <w:lang w:bidi="ar"/>
        </w:rPr>
        <w:t xml:space="preserve">اللجنة الاستشارية الدولية للراديو </w:t>
      </w:r>
      <w:r w:rsidR="006B7D4C">
        <w:rPr>
          <w:lang w:bidi="ar"/>
        </w:rPr>
        <w:t>(</w:t>
      </w:r>
      <w:r w:rsidR="00B108FD" w:rsidRPr="00B108FD">
        <w:rPr>
          <w:lang w:bidi="ar"/>
        </w:rPr>
        <w:t>CCIR</w:t>
      </w:r>
      <w:r w:rsidR="006B7D4C">
        <w:rPr>
          <w:lang w:bidi="ar"/>
        </w:rPr>
        <w:t>)</w:t>
      </w:r>
      <w:r w:rsidR="00B108FD" w:rsidRPr="006B7D4C">
        <w:rPr>
          <w:rStyle w:val="FootnoteReference"/>
          <w:rtl/>
        </w:rPr>
        <w:footnoteReference w:id="1"/>
      </w:r>
      <w:r w:rsidR="00B108FD" w:rsidRPr="00B108FD">
        <w:rPr>
          <w:rFonts w:hint="cs"/>
          <w:rtl/>
          <w:lang w:bidi="ar"/>
        </w:rPr>
        <w:t xml:space="preserve"> في الثمانينيات بلغ نحو </w:t>
      </w:r>
      <w:r w:rsidR="00B108FD" w:rsidRPr="00B108FD">
        <w:rPr>
          <w:lang w:bidi="ar"/>
        </w:rPr>
        <w:t>30</w:t>
      </w:r>
      <w:r w:rsidR="009B1E20" w:rsidRPr="00B108FD">
        <w:rPr>
          <w:lang w:bidi="ar"/>
        </w:rPr>
        <w:t>±</w:t>
      </w:r>
      <w:r w:rsidR="00B108FD" w:rsidRPr="00B108FD">
        <w:rPr>
          <w:rFonts w:hint="cs"/>
          <w:rtl/>
          <w:lang w:bidi="ar"/>
        </w:rPr>
        <w:t xml:space="preserve"> (وبلغ عدد موظفي </w:t>
      </w:r>
      <w:r w:rsidR="00B108FD" w:rsidRPr="00B108FD">
        <w:rPr>
          <w:rtl/>
          <w:lang w:bidi="ar"/>
        </w:rPr>
        <w:t>اللجنة الاستشارية الدولية للبرق</w:t>
      </w:r>
      <w:r w:rsidR="00B108FD" w:rsidRPr="00B108FD">
        <w:rPr>
          <w:rFonts w:hint="cs"/>
          <w:rtl/>
          <w:lang w:bidi="ar"/>
        </w:rPr>
        <w:t xml:space="preserve"> </w:t>
      </w:r>
      <w:r w:rsidR="006B7D4C">
        <w:rPr>
          <w:lang w:bidi="ar"/>
        </w:rPr>
        <w:t>(</w:t>
      </w:r>
      <w:r w:rsidR="00B108FD" w:rsidRPr="00B108FD">
        <w:rPr>
          <w:lang w:bidi="ar"/>
        </w:rPr>
        <w:t>CCITT</w:t>
      </w:r>
      <w:r w:rsidR="006B7D4C">
        <w:rPr>
          <w:lang w:bidi="ar"/>
        </w:rPr>
        <w:t>)</w:t>
      </w:r>
      <w:r w:rsidR="00B108FD" w:rsidRPr="006B7D4C">
        <w:rPr>
          <w:rStyle w:val="FootnoteReference"/>
          <w:rtl/>
        </w:rPr>
        <w:footnoteReference w:id="2"/>
      </w:r>
      <w:r w:rsidR="00B108FD" w:rsidRPr="00B108FD">
        <w:rPr>
          <w:rFonts w:hint="cs"/>
          <w:rtl/>
          <w:lang w:bidi="ar"/>
        </w:rPr>
        <w:t xml:space="preserve"> </w:t>
      </w:r>
      <w:r>
        <w:rPr>
          <w:rFonts w:hint="cs"/>
          <w:rtl/>
          <w:lang w:bidi="ar"/>
        </w:rPr>
        <w:t>أكثر من</w:t>
      </w:r>
      <w:r w:rsidR="006B7D4C">
        <w:rPr>
          <w:rFonts w:hint="eastAsia"/>
          <w:rtl/>
          <w:lang w:bidi="ar"/>
        </w:rPr>
        <w:t> </w:t>
      </w:r>
      <w:r w:rsidR="006B7D4C">
        <w:rPr>
          <w:lang w:bidi="ar"/>
        </w:rPr>
        <w:t>40</w:t>
      </w:r>
      <w:r w:rsidR="00B108FD" w:rsidRPr="00B108FD">
        <w:rPr>
          <w:rFonts w:hint="cs"/>
          <w:rtl/>
          <w:lang w:bidi="ar"/>
        </w:rPr>
        <w:t>) في حين أن موظفي إدارة لجان الدراسات في</w:t>
      </w:r>
      <w:r w:rsidR="006B7D4C">
        <w:rPr>
          <w:rFonts w:hint="eastAsia"/>
          <w:rtl/>
          <w:lang w:bidi="ar"/>
        </w:rPr>
        <w:t> </w:t>
      </w:r>
      <w:r w:rsidR="00B108FD" w:rsidRPr="00B108FD">
        <w:rPr>
          <w:rFonts w:hint="cs"/>
          <w:rtl/>
          <w:lang w:bidi="ar"/>
        </w:rPr>
        <w:t>مكتب الاتصالات الراديوية</w:t>
      </w:r>
      <w:r>
        <w:rPr>
          <w:rFonts w:hint="cs"/>
          <w:rtl/>
          <w:lang w:bidi="ar"/>
        </w:rPr>
        <w:t xml:space="preserve"> حالياً</w:t>
      </w:r>
      <w:r w:rsidR="00B108FD" w:rsidRPr="00B108FD">
        <w:rPr>
          <w:rFonts w:hint="cs"/>
          <w:rtl/>
          <w:lang w:bidi="ar"/>
        </w:rPr>
        <w:t xml:space="preserve">، الذين يضطلعون بوظائف مماثلة، </w:t>
      </w:r>
      <w:r>
        <w:rPr>
          <w:rFonts w:hint="cs"/>
          <w:rtl/>
          <w:lang w:bidi="ar"/>
        </w:rPr>
        <w:t>يبلغ عددهم</w:t>
      </w:r>
      <w:r w:rsidR="00B108FD" w:rsidRPr="00B108FD">
        <w:rPr>
          <w:rFonts w:hint="cs"/>
          <w:rtl/>
          <w:lang w:bidi="ar"/>
        </w:rPr>
        <w:t xml:space="preserve"> </w:t>
      </w:r>
      <w:r w:rsidR="006B7D4C">
        <w:rPr>
          <w:lang w:bidi="ar"/>
        </w:rPr>
        <w:t>16</w:t>
      </w:r>
      <w:r w:rsidR="00B108FD" w:rsidRPr="00B108FD">
        <w:rPr>
          <w:rFonts w:hint="cs"/>
          <w:rtl/>
          <w:lang w:bidi="ar"/>
        </w:rPr>
        <w:t xml:space="preserve"> فرداً.</w:t>
      </w:r>
    </w:p>
    <w:p w:rsidR="00B108FD" w:rsidRPr="00B108FD" w:rsidRDefault="00B108FD" w:rsidP="00C05C7C">
      <w:pPr>
        <w:rPr>
          <w:rtl/>
          <w:lang w:bidi="ar"/>
        </w:rPr>
      </w:pPr>
      <w:r w:rsidRPr="00B108FD">
        <w:rPr>
          <w:rFonts w:hint="cs"/>
          <w:rtl/>
          <w:lang w:bidi="ar"/>
        </w:rPr>
        <w:t xml:space="preserve">وأدى الاتجاه المتراجع في التوظيف </w:t>
      </w:r>
      <w:r w:rsidR="00C05C7C">
        <w:rPr>
          <w:rFonts w:hint="cs"/>
          <w:rtl/>
          <w:lang w:bidi="ar"/>
        </w:rPr>
        <w:t>في</w:t>
      </w:r>
      <w:r w:rsidRPr="00B108FD">
        <w:rPr>
          <w:rFonts w:hint="cs"/>
          <w:rtl/>
          <w:lang w:bidi="ar"/>
        </w:rPr>
        <w:t xml:space="preserve"> القطاع إلى إثارة القلق لدى مندوبين </w:t>
      </w:r>
      <w:r w:rsidR="00C05C7C">
        <w:rPr>
          <w:rFonts w:hint="cs"/>
          <w:rtl/>
          <w:lang w:bidi="ar"/>
        </w:rPr>
        <w:t xml:space="preserve">ممن </w:t>
      </w:r>
      <w:r w:rsidRPr="00B108FD">
        <w:rPr>
          <w:rFonts w:hint="cs"/>
          <w:rtl/>
          <w:lang w:bidi="ar"/>
        </w:rPr>
        <w:t xml:space="preserve">حضروا دورة المجلس لعام </w:t>
      </w:r>
      <w:r w:rsidR="006B7D4C">
        <w:rPr>
          <w:lang w:bidi="ar"/>
        </w:rPr>
        <w:t>2015</w:t>
      </w:r>
      <w:r w:rsidRPr="00B108FD">
        <w:rPr>
          <w:rFonts w:hint="cs"/>
          <w:rtl/>
          <w:lang w:bidi="ar"/>
        </w:rPr>
        <w:t xml:space="preserve">. ويتضمن تقرير رئيس اللجنة الدائمة المعنية بالإدارة والتنظيم (الوثيقة </w:t>
      </w:r>
      <w:hyperlink r:id="rId53" w:history="1">
        <w:r w:rsidRPr="00B108FD">
          <w:rPr>
            <w:rStyle w:val="Hyperlink"/>
            <w:lang w:bidi="ar"/>
          </w:rPr>
          <w:t>C15/105 (Rev.1)</w:t>
        </w:r>
      </w:hyperlink>
      <w:r w:rsidRPr="00B108FD">
        <w:rPr>
          <w:rFonts w:hint="cs"/>
          <w:rtl/>
          <w:lang w:bidi="ar"/>
        </w:rPr>
        <w:t>) الرسالة التالية من المجلس إلى إدارة أمانة الاتحاد:</w:t>
      </w:r>
    </w:p>
    <w:p w:rsidR="00B108FD" w:rsidRPr="00B108FD" w:rsidRDefault="00B108FD" w:rsidP="00C05C7C">
      <w:pPr>
        <w:rPr>
          <w:rtl/>
        </w:rPr>
      </w:pPr>
      <w:r w:rsidRPr="00B108FD">
        <w:rPr>
          <w:rFonts w:hint="cs"/>
          <w:rtl/>
        </w:rPr>
        <w:t>"</w:t>
      </w:r>
      <w:r w:rsidRPr="00B108FD">
        <w:rPr>
          <w:lang w:bidi="ar"/>
        </w:rPr>
        <w:t>12.1</w:t>
      </w:r>
      <w:r w:rsidRPr="00B108FD">
        <w:rPr>
          <w:rtl/>
          <w:lang w:bidi="ar-EG"/>
        </w:rPr>
        <w:tab/>
      </w:r>
      <w:r w:rsidRPr="00B108FD">
        <w:rPr>
          <w:rFonts w:hint="cs"/>
          <w:rtl/>
          <w:lang w:bidi="ar-EG"/>
        </w:rPr>
        <w:t>أشار بعض المندوبين إلى التخفيض الكبير الذي شهده مكتب الاتصالات الراديوية على مستوى الوظائف المدرجة في</w:t>
      </w:r>
      <w:r w:rsidRPr="00B108FD">
        <w:rPr>
          <w:rFonts w:hint="eastAsia"/>
          <w:rtl/>
          <w:lang w:bidi="ar-EG"/>
        </w:rPr>
        <w:t> </w:t>
      </w:r>
      <w:r w:rsidRPr="00B108FD">
        <w:rPr>
          <w:rFonts w:hint="cs"/>
          <w:rtl/>
          <w:lang w:bidi="ar-EG"/>
        </w:rPr>
        <w:t xml:space="preserve">الميزانية خلال الفترة </w:t>
      </w:r>
      <w:r w:rsidRPr="00B108FD">
        <w:rPr>
          <w:lang w:bidi="ar"/>
        </w:rPr>
        <w:t>2015</w:t>
      </w:r>
      <w:r w:rsidRPr="00B108FD">
        <w:rPr>
          <w:lang w:val="fr-CH" w:bidi="ar"/>
        </w:rPr>
        <w:t>-</w:t>
      </w:r>
      <w:r w:rsidRPr="00B108FD">
        <w:rPr>
          <w:lang w:bidi="ar"/>
        </w:rPr>
        <w:t>2011</w:t>
      </w:r>
      <w:r w:rsidRPr="00B108FD">
        <w:rPr>
          <w:rFonts w:hint="cs"/>
          <w:rtl/>
          <w:lang w:bidi="ar-EG"/>
        </w:rPr>
        <w:t xml:space="preserve"> وإلى أهمية برنامج عمله فيما يتعلق بالخطة الاستراتيجية والخطط التشغيلية. وفي ضوء ما تقدّم، طلب المندوبون من إدارة الاتحاد أن تمتنع، عند إعداد مشاريع الميزانيات لفترات العامين المقبلة، عن إجراء تخفيضات إضافية للوظائف المدرجة في الميزانية في مكتب الاتصالات الراديوية لأن ذلك سيؤثر سلباً على الت</w:t>
      </w:r>
      <w:r w:rsidR="006B7D4C">
        <w:rPr>
          <w:rFonts w:hint="cs"/>
          <w:rtl/>
          <w:lang w:bidi="ar-EG"/>
        </w:rPr>
        <w:t>نفيذ الكامل لبرنامج عمل المكتب".</w:t>
      </w:r>
    </w:p>
    <w:p w:rsidR="00B108FD" w:rsidRPr="00B108FD" w:rsidRDefault="00B108FD" w:rsidP="009B1E20">
      <w:pPr>
        <w:rPr>
          <w:rtl/>
          <w:lang w:bidi="ar"/>
        </w:rPr>
      </w:pPr>
      <w:r w:rsidRPr="00B108FD">
        <w:rPr>
          <w:rFonts w:hint="cs"/>
          <w:rtl/>
          <w:lang w:bidi="ar"/>
        </w:rPr>
        <w:t xml:space="preserve">ولكن يتضح من الوثيقة </w:t>
      </w:r>
      <w:hyperlink r:id="rId54" w:history="1">
        <w:r w:rsidR="009B1E20" w:rsidRPr="009B1E20">
          <w:rPr>
            <w:rStyle w:val="Hyperlink"/>
            <w:lang w:bidi="ar"/>
          </w:rPr>
          <w:t>C17/10</w:t>
        </w:r>
      </w:hyperlink>
      <w:r w:rsidR="009B1E20">
        <w:rPr>
          <w:rFonts w:hint="cs"/>
          <w:rtl/>
          <w:lang w:bidi="ar"/>
        </w:rPr>
        <w:t xml:space="preserve"> </w:t>
      </w:r>
      <w:r w:rsidRPr="00B108FD">
        <w:rPr>
          <w:rFonts w:hint="cs"/>
          <w:rtl/>
          <w:lang w:bidi="ar"/>
        </w:rPr>
        <w:t xml:space="preserve">أن من </w:t>
      </w:r>
      <w:r w:rsidR="00C05C7C">
        <w:rPr>
          <w:rFonts w:hint="cs"/>
          <w:rtl/>
          <w:lang w:bidi="ar"/>
        </w:rPr>
        <w:t>المخطط</w:t>
      </w:r>
      <w:r w:rsidRPr="00B108FD">
        <w:rPr>
          <w:rFonts w:hint="cs"/>
          <w:rtl/>
          <w:lang w:bidi="ar"/>
        </w:rPr>
        <w:t xml:space="preserve"> في مشروع الميزانية للفترة</w:t>
      </w:r>
      <w:r w:rsidR="006B7D4C">
        <w:rPr>
          <w:rFonts w:hint="eastAsia"/>
          <w:rtl/>
          <w:lang w:bidi="ar"/>
        </w:rPr>
        <w:t> </w:t>
      </w:r>
      <w:r w:rsidR="006B7D4C">
        <w:rPr>
          <w:lang w:bidi="ar"/>
        </w:rPr>
        <w:t>2019-2018</w:t>
      </w:r>
      <w:r w:rsidR="006B7D4C">
        <w:rPr>
          <w:rFonts w:hint="cs"/>
          <w:rtl/>
          <w:lang w:bidi="ar"/>
        </w:rPr>
        <w:t xml:space="preserve"> </w:t>
      </w:r>
      <w:r w:rsidR="00C05C7C">
        <w:rPr>
          <w:rFonts w:hint="cs"/>
          <w:rtl/>
          <w:lang w:bidi="ar"/>
        </w:rPr>
        <w:t>إجراء مزيد من التخفيض في </w:t>
      </w:r>
      <w:r w:rsidRPr="00B108FD">
        <w:rPr>
          <w:rFonts w:hint="cs"/>
          <w:rtl/>
          <w:lang w:bidi="ar"/>
        </w:rPr>
        <w:t>عدد الوظائف في</w:t>
      </w:r>
      <w:r w:rsidR="006B7D4C">
        <w:rPr>
          <w:rFonts w:hint="eastAsia"/>
          <w:rtl/>
          <w:lang w:bidi="ar"/>
        </w:rPr>
        <w:t> </w:t>
      </w:r>
      <w:r w:rsidRPr="00B108FD">
        <w:rPr>
          <w:rFonts w:hint="cs"/>
          <w:rtl/>
          <w:lang w:bidi="ar"/>
        </w:rPr>
        <w:t>مكتب الاتصالات الراديوية.</w:t>
      </w:r>
    </w:p>
    <w:p w:rsidR="00B108FD" w:rsidRPr="00B108FD" w:rsidRDefault="00B108FD" w:rsidP="00C05C7C">
      <w:pPr>
        <w:pStyle w:val="Heading2"/>
        <w:rPr>
          <w:rtl/>
        </w:rPr>
      </w:pPr>
      <w:r w:rsidRPr="00B108FD">
        <w:t>2.3</w:t>
      </w:r>
      <w:r w:rsidRPr="00B108FD">
        <w:rPr>
          <w:rtl/>
        </w:rPr>
        <w:tab/>
      </w:r>
      <w:r w:rsidRPr="00B108FD">
        <w:rPr>
          <w:rFonts w:hint="cs"/>
          <w:rtl/>
        </w:rPr>
        <w:t xml:space="preserve">تقييم </w:t>
      </w:r>
      <w:r w:rsidR="00C05C7C">
        <w:rPr>
          <w:rFonts w:hint="cs"/>
          <w:rtl/>
        </w:rPr>
        <w:t xml:space="preserve">مدى </w:t>
      </w:r>
      <w:r w:rsidRPr="00B108FD">
        <w:rPr>
          <w:rFonts w:hint="cs"/>
          <w:rtl/>
        </w:rPr>
        <w:t>كفاية الموارد المالية والبشرية بمكتب الاتصالات الراديوية لتحقيق أهداف المكتب</w:t>
      </w:r>
    </w:p>
    <w:p w:rsidR="00B108FD" w:rsidRPr="00B108FD" w:rsidRDefault="00B108FD" w:rsidP="00C05C7C">
      <w:pPr>
        <w:rPr>
          <w:rtl/>
        </w:rPr>
      </w:pPr>
      <w:r w:rsidRPr="00B108FD">
        <w:rPr>
          <w:rFonts w:hint="cs"/>
          <w:rtl/>
          <w:lang w:bidi="ar"/>
        </w:rPr>
        <w:t xml:space="preserve">يتمثل أحد المؤشرات الأكثر موضوعية للأداء الناجح من جانب المكتب في البيانات المتعلقة بالوقت المستغرَق لمعالجة بطاقات التبليغ عن الشبكات الساتلية. </w:t>
      </w:r>
      <w:r w:rsidR="00C05C7C">
        <w:rPr>
          <w:rFonts w:hint="cs"/>
          <w:rtl/>
          <w:lang w:bidi="ar"/>
        </w:rPr>
        <w:t>وطبقاً</w:t>
      </w:r>
      <w:r w:rsidRPr="00B108FD">
        <w:rPr>
          <w:rFonts w:hint="cs"/>
          <w:rtl/>
          <w:lang w:bidi="ar"/>
        </w:rPr>
        <w:t xml:space="preserve"> </w:t>
      </w:r>
      <w:r w:rsidR="00C05C7C">
        <w:rPr>
          <w:rFonts w:hint="cs"/>
          <w:rtl/>
          <w:lang w:bidi="ar"/>
        </w:rPr>
        <w:t>ل</w:t>
      </w:r>
      <w:r w:rsidRPr="00B108FD">
        <w:rPr>
          <w:rFonts w:hint="cs"/>
          <w:rtl/>
          <w:lang w:bidi="ar"/>
        </w:rPr>
        <w:t xml:space="preserve">لرقم </w:t>
      </w:r>
      <w:r w:rsidR="006B7D4C" w:rsidRPr="006B7D4C">
        <w:rPr>
          <w:b/>
          <w:bCs/>
          <w:lang w:bidi="ar"/>
        </w:rPr>
        <w:t>38.9</w:t>
      </w:r>
      <w:r w:rsidR="006B7D4C">
        <w:rPr>
          <w:rFonts w:hint="cs"/>
          <w:rtl/>
          <w:lang w:bidi="ar-EG"/>
        </w:rPr>
        <w:t xml:space="preserve"> </w:t>
      </w:r>
      <w:r w:rsidRPr="00B108FD">
        <w:rPr>
          <w:rFonts w:hint="cs"/>
          <w:rtl/>
          <w:lang w:bidi="ar"/>
        </w:rPr>
        <w:t>من لوائح الراديو</w:t>
      </w:r>
      <w:r w:rsidR="009B1E20">
        <w:rPr>
          <w:rFonts w:hint="cs"/>
          <w:rtl/>
          <w:lang w:bidi="ar"/>
        </w:rPr>
        <w:t xml:space="preserve"> </w:t>
      </w:r>
      <w:r w:rsidR="009B1E20">
        <w:rPr>
          <w:lang w:bidi="ar"/>
        </w:rPr>
        <w:t>(RRB)</w:t>
      </w:r>
      <w:r w:rsidRPr="00B108FD">
        <w:rPr>
          <w:rFonts w:hint="cs"/>
          <w:rtl/>
          <w:lang w:bidi="ar"/>
        </w:rPr>
        <w:t>، يتعين على المكتب، عند تلقي طلب لتنسيق تخصيص ترددي،</w:t>
      </w:r>
      <w:r w:rsidRPr="00B108FD">
        <w:rPr>
          <w:rFonts w:hint="cs"/>
          <w:rtl/>
        </w:rPr>
        <w:t xml:space="preserve"> القيام بنشر </w:t>
      </w:r>
      <w:r w:rsidR="00C05C7C">
        <w:rPr>
          <w:rFonts w:hint="cs"/>
          <w:rtl/>
        </w:rPr>
        <w:t>"</w:t>
      </w:r>
      <w:r w:rsidRPr="00B108FD">
        <w:rPr>
          <w:rFonts w:hint="cs"/>
          <w:rtl/>
        </w:rPr>
        <w:t>المعلومات الكاملة في النشرة</w:t>
      </w:r>
      <w:r w:rsidR="00C05C7C">
        <w:rPr>
          <w:rFonts w:hint="cs"/>
          <w:rtl/>
        </w:rPr>
        <w:t xml:space="preserve"> الإعلامية الدولية للترددات الصادرة عن مكتب الاتصالات الراديوية</w:t>
      </w:r>
      <w:r w:rsidR="00C05C7C">
        <w:rPr>
          <w:rFonts w:hint="eastAsia"/>
          <w:rtl/>
        </w:rPr>
        <w:t> </w:t>
      </w:r>
      <w:r w:rsidR="00C05C7C">
        <w:t>(</w:t>
      </w:r>
      <w:r w:rsidRPr="00B108FD">
        <w:rPr>
          <w:lang w:bidi="ar"/>
        </w:rPr>
        <w:t>BR IFIC</w:t>
      </w:r>
      <w:r w:rsidR="00C05C7C">
        <w:rPr>
          <w:lang w:bidi="ar"/>
        </w:rPr>
        <w:t>)</w:t>
      </w:r>
      <w:r w:rsidR="00C05C7C">
        <w:rPr>
          <w:rFonts w:hint="cs"/>
          <w:rtl/>
        </w:rPr>
        <w:t xml:space="preserve"> في غضون أربعة أشهر".</w:t>
      </w:r>
    </w:p>
    <w:p w:rsidR="00B108FD" w:rsidRPr="00B108FD" w:rsidRDefault="00B108FD" w:rsidP="00FA6C0F">
      <w:pPr>
        <w:rPr>
          <w:rtl/>
        </w:rPr>
      </w:pPr>
      <w:bookmarkStart w:id="34" w:name="lt_pId256"/>
      <w:r w:rsidRPr="00B108FD">
        <w:rPr>
          <w:rFonts w:hint="cs"/>
          <w:rtl/>
          <w:lang w:bidi="ar"/>
        </w:rPr>
        <w:t>ويلاحَظ من البيانات المتعلقة بالفترة</w:t>
      </w:r>
      <w:r w:rsidR="00C05C7C">
        <w:rPr>
          <w:rFonts w:hint="eastAsia"/>
          <w:rtl/>
          <w:lang w:bidi="ar"/>
        </w:rPr>
        <w:t> </w:t>
      </w:r>
      <w:r w:rsidR="00C05C7C">
        <w:rPr>
          <w:lang w:bidi="ar"/>
        </w:rPr>
        <w:t>2016-2015</w:t>
      </w:r>
      <w:r w:rsidR="00C05C7C">
        <w:rPr>
          <w:rFonts w:hint="cs"/>
          <w:rtl/>
          <w:lang w:bidi="ar"/>
        </w:rPr>
        <w:t xml:space="preserve"> </w:t>
      </w:r>
      <w:r w:rsidRPr="00B108FD">
        <w:rPr>
          <w:rFonts w:hint="cs"/>
          <w:rtl/>
          <w:lang w:bidi="ar"/>
        </w:rPr>
        <w:t xml:space="preserve">والجزء الأول من عام </w:t>
      </w:r>
      <w:r w:rsidR="00C05C7C">
        <w:rPr>
          <w:lang w:bidi="ar"/>
        </w:rPr>
        <w:t>2017</w:t>
      </w:r>
      <w:r w:rsidR="00C05C7C">
        <w:rPr>
          <w:rFonts w:hint="cs"/>
          <w:rtl/>
          <w:lang w:bidi="ar-EG"/>
        </w:rPr>
        <w:t xml:space="preserve"> </w:t>
      </w:r>
      <w:r w:rsidRPr="00B108FD">
        <w:rPr>
          <w:rFonts w:hint="cs"/>
          <w:rtl/>
          <w:lang w:bidi="ar"/>
        </w:rPr>
        <w:t xml:space="preserve">والواردة في </w:t>
      </w:r>
      <w:r w:rsidR="00C05C7C">
        <w:rPr>
          <w:rFonts w:hint="cs"/>
          <w:rtl/>
          <w:lang w:bidi="ar"/>
        </w:rPr>
        <w:t>ال</w:t>
      </w:r>
      <w:r w:rsidRPr="00B108FD">
        <w:rPr>
          <w:rFonts w:hint="cs"/>
          <w:rtl/>
          <w:lang w:bidi="ar"/>
        </w:rPr>
        <w:t xml:space="preserve">تقارير </w:t>
      </w:r>
      <w:r w:rsidR="00C05C7C">
        <w:rPr>
          <w:rFonts w:hint="cs"/>
          <w:rtl/>
          <w:lang w:bidi="ar"/>
        </w:rPr>
        <w:t xml:space="preserve">المقدمة من </w:t>
      </w:r>
      <w:r w:rsidRPr="00B108FD">
        <w:rPr>
          <w:rFonts w:hint="cs"/>
          <w:rtl/>
          <w:lang w:bidi="ar"/>
        </w:rPr>
        <w:t xml:space="preserve">مدير مكتب الاتصالات الراديوية إلى اجتماعات لجنة لوائح الراديو (الوثائق </w:t>
      </w:r>
      <w:hyperlink r:id="rId55" w:history="1">
        <w:r w:rsidRPr="00B108FD">
          <w:rPr>
            <w:rStyle w:val="Hyperlink"/>
            <w:lang w:bidi="ar"/>
          </w:rPr>
          <w:t>RRB15-3/4</w:t>
        </w:r>
      </w:hyperlink>
      <w:r w:rsidRPr="00B108FD">
        <w:rPr>
          <w:rFonts w:hint="cs"/>
          <w:rtl/>
          <w:lang w:bidi="ar"/>
        </w:rPr>
        <w:t xml:space="preserve"> و</w:t>
      </w:r>
      <w:hyperlink r:id="rId56" w:history="1">
        <w:r w:rsidRPr="00B108FD">
          <w:rPr>
            <w:rStyle w:val="Hyperlink"/>
            <w:lang w:bidi="ar"/>
          </w:rPr>
          <w:t>RRB16-1/5</w:t>
        </w:r>
      </w:hyperlink>
      <w:r w:rsidRPr="00B108FD">
        <w:rPr>
          <w:rFonts w:hint="cs"/>
          <w:rtl/>
          <w:lang w:bidi="ar"/>
        </w:rPr>
        <w:t xml:space="preserve"> و</w:t>
      </w:r>
      <w:hyperlink r:id="rId57" w:history="1">
        <w:r w:rsidRPr="00B108FD">
          <w:rPr>
            <w:rStyle w:val="Hyperlink"/>
            <w:lang w:bidi="ar"/>
          </w:rPr>
          <w:t>RRB17-1/3</w:t>
        </w:r>
      </w:hyperlink>
      <w:r w:rsidRPr="00B108FD">
        <w:rPr>
          <w:rFonts w:hint="cs"/>
          <w:rtl/>
          <w:lang w:bidi="ar"/>
        </w:rPr>
        <w:t xml:space="preserve">) ومن البيانات الإحصائية التي نشرتها </w:t>
      </w:r>
      <w:r w:rsidR="00C05C7C">
        <w:rPr>
          <w:rFonts w:hint="cs"/>
          <w:rtl/>
          <w:lang w:bidi="ar"/>
        </w:rPr>
        <w:t xml:space="preserve">دائرة الخدمات الفضائية </w:t>
      </w:r>
      <w:r w:rsidRPr="00B108FD">
        <w:rPr>
          <w:rFonts w:hint="cs"/>
          <w:rtl/>
          <w:lang w:bidi="ar"/>
        </w:rPr>
        <w:t xml:space="preserve">التابعة لمكتب الاتصالات الراديوية على </w:t>
      </w:r>
      <w:hyperlink r:id="rId58" w:history="1">
        <w:r w:rsidRPr="00B108FD">
          <w:rPr>
            <w:rStyle w:val="Hyperlink"/>
            <w:lang w:bidi="ar"/>
          </w:rPr>
          <w:t>https://www.itu.int/ITU-R/go/space-statistics/en</w:t>
        </w:r>
      </w:hyperlink>
      <w:r w:rsidRPr="00B108FD">
        <w:rPr>
          <w:rFonts w:hint="cs"/>
          <w:rtl/>
          <w:lang w:bidi="ar"/>
        </w:rPr>
        <w:t>، أن</w:t>
      </w:r>
      <w:r w:rsidR="00C05C7C">
        <w:rPr>
          <w:rFonts w:hint="eastAsia"/>
          <w:rtl/>
          <w:lang w:bidi="ar"/>
        </w:rPr>
        <w:t> </w:t>
      </w:r>
      <w:r w:rsidRPr="00B108FD">
        <w:rPr>
          <w:rFonts w:hint="cs"/>
          <w:rtl/>
          <w:lang w:bidi="ar"/>
        </w:rPr>
        <w:t xml:space="preserve">مكتب الاتصالات الراديوية عجز عن الإيفاء بمتطلبات الرقم </w:t>
      </w:r>
      <w:r w:rsidR="00C05C7C" w:rsidRPr="006B7D4C">
        <w:rPr>
          <w:b/>
          <w:bCs/>
          <w:lang w:bidi="ar"/>
        </w:rPr>
        <w:t>38.9</w:t>
      </w:r>
      <w:r w:rsidRPr="00B108FD">
        <w:rPr>
          <w:rFonts w:hint="cs"/>
          <w:rtl/>
          <w:lang w:bidi="ar"/>
        </w:rPr>
        <w:t xml:space="preserve"> من لوائح الراديو، في الجزء الأكبر من تلك الفترة. و</w:t>
      </w:r>
      <w:r w:rsidR="00FA6C0F">
        <w:rPr>
          <w:rFonts w:hint="cs"/>
          <w:rtl/>
          <w:lang w:bidi="ar"/>
        </w:rPr>
        <w:t>علاوةً</w:t>
      </w:r>
      <w:r w:rsidRPr="00B108FD">
        <w:rPr>
          <w:rFonts w:hint="cs"/>
          <w:rtl/>
          <w:lang w:bidi="ar"/>
        </w:rPr>
        <w:t xml:space="preserve"> على ذلك، </w:t>
      </w:r>
      <w:r w:rsidR="00C05C7C">
        <w:rPr>
          <w:rFonts w:hint="cs"/>
          <w:rtl/>
          <w:lang w:bidi="ar"/>
        </w:rPr>
        <w:t>يتجه</w:t>
      </w:r>
      <w:r w:rsidRPr="00B108FD">
        <w:rPr>
          <w:rFonts w:hint="cs"/>
          <w:rtl/>
          <w:lang w:bidi="ar"/>
        </w:rPr>
        <w:t xml:space="preserve"> التأخير في معالجة بطاقات التبليغ عن الشبكات الساتلية إلى التفاقم. فعلى سبيل المثال، ترد في</w:t>
      </w:r>
      <w:r w:rsidR="00FA6C0F">
        <w:rPr>
          <w:rFonts w:hint="eastAsia"/>
          <w:rtl/>
          <w:lang w:bidi="ar"/>
        </w:rPr>
        <w:t> </w:t>
      </w:r>
      <w:r w:rsidRPr="00B108FD">
        <w:rPr>
          <w:rFonts w:hint="cs"/>
          <w:rtl/>
          <w:lang w:bidi="ar"/>
        </w:rPr>
        <w:t xml:space="preserve">الشكل </w:t>
      </w:r>
      <w:r w:rsidR="00C05C7C">
        <w:rPr>
          <w:lang w:bidi="ar"/>
        </w:rPr>
        <w:t>4</w:t>
      </w:r>
      <w:r w:rsidRPr="00B108FD">
        <w:rPr>
          <w:rFonts w:hint="cs"/>
          <w:rtl/>
          <w:lang w:bidi="ar"/>
        </w:rPr>
        <w:t xml:space="preserve"> بيانات تتعلق بمعالجة طلبات التنسيق بموجب المادة </w:t>
      </w:r>
      <w:r w:rsidR="00C05C7C">
        <w:rPr>
          <w:lang w:bidi="ar"/>
        </w:rPr>
        <w:t>9</w:t>
      </w:r>
      <w:r w:rsidRPr="00B108FD">
        <w:rPr>
          <w:rFonts w:hint="cs"/>
          <w:rtl/>
          <w:lang w:bidi="ar"/>
        </w:rPr>
        <w:t xml:space="preserve"> من لوائح الراديو، وكذلك الطلبات بموجب المادة</w:t>
      </w:r>
      <w:r w:rsidR="00FA6C0F">
        <w:rPr>
          <w:rFonts w:hint="eastAsia"/>
          <w:rtl/>
          <w:lang w:bidi="ar"/>
        </w:rPr>
        <w:t> </w:t>
      </w:r>
      <w:r w:rsidR="00C05C7C">
        <w:rPr>
          <w:lang w:bidi="ar"/>
        </w:rPr>
        <w:t>4</w:t>
      </w:r>
      <w:r w:rsidRPr="00B108FD">
        <w:rPr>
          <w:rFonts w:hint="cs"/>
          <w:rtl/>
          <w:lang w:bidi="ar"/>
        </w:rPr>
        <w:t xml:space="preserve"> من التذييلين</w:t>
      </w:r>
      <w:r w:rsidR="00FA6C0F">
        <w:rPr>
          <w:rFonts w:hint="eastAsia"/>
          <w:rtl/>
          <w:lang w:bidi="ar"/>
        </w:rPr>
        <w:t> </w:t>
      </w:r>
      <w:r w:rsidR="00C05C7C" w:rsidRPr="00C05C7C">
        <w:rPr>
          <w:b/>
          <w:bCs/>
          <w:lang w:bidi="ar"/>
        </w:rPr>
        <w:t>30A/30</w:t>
      </w:r>
      <w:r w:rsidR="00C05C7C">
        <w:rPr>
          <w:rFonts w:hint="cs"/>
          <w:rtl/>
          <w:lang w:bidi="ar-EG"/>
        </w:rPr>
        <w:t xml:space="preserve"> </w:t>
      </w:r>
      <w:r w:rsidRPr="00B108FD">
        <w:rPr>
          <w:rFonts w:hint="cs"/>
          <w:rtl/>
        </w:rPr>
        <w:t>والمادتين</w:t>
      </w:r>
      <w:r w:rsidR="00C05C7C">
        <w:rPr>
          <w:rFonts w:hint="eastAsia"/>
          <w:rtl/>
        </w:rPr>
        <w:t> </w:t>
      </w:r>
      <w:r w:rsidR="00C05C7C">
        <w:t>6</w:t>
      </w:r>
      <w:r w:rsidR="00C05C7C">
        <w:rPr>
          <w:rFonts w:hint="eastAsia"/>
          <w:rtl/>
        </w:rPr>
        <w:t> </w:t>
      </w:r>
      <w:r w:rsidRPr="00B108FD">
        <w:rPr>
          <w:rFonts w:hint="cs"/>
          <w:rtl/>
        </w:rPr>
        <w:t>و</w:t>
      </w:r>
      <w:r w:rsidR="00C05C7C">
        <w:t>7</w:t>
      </w:r>
      <w:r w:rsidRPr="00B108FD">
        <w:rPr>
          <w:rFonts w:hint="cs"/>
          <w:rtl/>
        </w:rPr>
        <w:t xml:space="preserve"> </w:t>
      </w:r>
      <w:r w:rsidRPr="00B108FD">
        <w:rPr>
          <w:rFonts w:hint="cs"/>
          <w:rtl/>
          <w:lang w:bidi="ar"/>
        </w:rPr>
        <w:t xml:space="preserve">من التذييل </w:t>
      </w:r>
      <w:r w:rsidRPr="00C05C7C">
        <w:rPr>
          <w:b/>
          <w:bCs/>
          <w:lang w:bidi="ar"/>
        </w:rPr>
        <w:t>30B</w:t>
      </w:r>
      <w:r w:rsidRPr="00B108FD">
        <w:rPr>
          <w:rFonts w:hint="cs"/>
          <w:rtl/>
          <w:lang w:bidi="ar"/>
        </w:rPr>
        <w:t xml:space="preserve"> للوائح الراديو.</w:t>
      </w:r>
    </w:p>
    <w:p w:rsidR="00B108FD" w:rsidRPr="009B1E20" w:rsidRDefault="00B108FD" w:rsidP="009B1E20">
      <w:pPr>
        <w:rPr>
          <w:spacing w:val="-2"/>
          <w:rtl/>
          <w:lang w:bidi="ar"/>
        </w:rPr>
      </w:pPr>
      <w:bookmarkStart w:id="35" w:name="lt_pId259"/>
      <w:bookmarkEnd w:id="34"/>
      <w:r w:rsidRPr="009B1E20">
        <w:rPr>
          <w:rFonts w:hint="cs"/>
          <w:spacing w:val="-2"/>
          <w:rtl/>
          <w:lang w:bidi="ar"/>
        </w:rPr>
        <w:t xml:space="preserve">ولأغراض المقارنة، ترد في الشكل </w:t>
      </w:r>
      <w:r w:rsidR="00C05C7C" w:rsidRPr="009B1E20">
        <w:rPr>
          <w:spacing w:val="-2"/>
          <w:lang w:bidi="ar"/>
        </w:rPr>
        <w:t>5</w:t>
      </w:r>
      <w:r w:rsidRPr="009B1E20">
        <w:rPr>
          <w:rFonts w:hint="cs"/>
          <w:spacing w:val="-2"/>
          <w:rtl/>
          <w:lang w:bidi="ar"/>
        </w:rPr>
        <w:t xml:space="preserve"> بيانات مكافئة للفترة</w:t>
      </w:r>
      <w:r w:rsidR="00C05C7C" w:rsidRPr="009B1E20">
        <w:rPr>
          <w:rFonts w:hint="eastAsia"/>
          <w:spacing w:val="-2"/>
          <w:rtl/>
          <w:lang w:bidi="ar"/>
        </w:rPr>
        <w:t> </w:t>
      </w:r>
      <w:r w:rsidR="00C05C7C" w:rsidRPr="009B1E20">
        <w:rPr>
          <w:spacing w:val="-2"/>
          <w:lang w:bidi="ar"/>
        </w:rPr>
        <w:t>2008-2007</w:t>
      </w:r>
      <w:r w:rsidR="00C05C7C" w:rsidRPr="009B1E20">
        <w:rPr>
          <w:rFonts w:hint="cs"/>
          <w:spacing w:val="-2"/>
          <w:rtl/>
          <w:lang w:bidi="ar"/>
        </w:rPr>
        <w:t xml:space="preserve"> </w:t>
      </w:r>
      <w:r w:rsidRPr="009B1E20">
        <w:rPr>
          <w:rFonts w:hint="cs"/>
          <w:spacing w:val="-2"/>
          <w:rtl/>
          <w:lang w:bidi="ar"/>
        </w:rPr>
        <w:t xml:space="preserve">باستثناء البيانات الواردة </w:t>
      </w:r>
      <w:r w:rsidR="00C05C7C" w:rsidRPr="009B1E20">
        <w:rPr>
          <w:rFonts w:hint="cs"/>
          <w:spacing w:val="-2"/>
          <w:rtl/>
          <w:lang w:bidi="ar"/>
        </w:rPr>
        <w:t>تحت</w:t>
      </w:r>
      <w:r w:rsidRPr="009B1E20">
        <w:rPr>
          <w:rFonts w:hint="cs"/>
          <w:spacing w:val="-2"/>
          <w:rtl/>
          <w:lang w:bidi="ar"/>
        </w:rPr>
        <w:t xml:space="preserve"> التذييل </w:t>
      </w:r>
      <w:r w:rsidRPr="009B1E20">
        <w:rPr>
          <w:b/>
          <w:bCs/>
          <w:spacing w:val="-2"/>
          <w:lang w:bidi="ar"/>
        </w:rPr>
        <w:t>30B</w:t>
      </w:r>
      <w:r w:rsidRPr="009B1E20">
        <w:rPr>
          <w:rFonts w:hint="cs"/>
          <w:spacing w:val="-2"/>
          <w:rtl/>
          <w:lang w:bidi="ar"/>
        </w:rPr>
        <w:t xml:space="preserve"> حيث </w:t>
      </w:r>
      <w:r w:rsidR="009B1E20" w:rsidRPr="009B1E20">
        <w:rPr>
          <w:rFonts w:hint="cs"/>
          <w:spacing w:val="-2"/>
          <w:rtl/>
          <w:lang w:bidi="ar"/>
        </w:rPr>
        <w:t>إ</w:t>
      </w:r>
      <w:r w:rsidRPr="009B1E20">
        <w:rPr>
          <w:rFonts w:hint="cs"/>
          <w:spacing w:val="-2"/>
          <w:rtl/>
          <w:lang w:bidi="ar"/>
        </w:rPr>
        <w:t xml:space="preserve">ن معالجة </w:t>
      </w:r>
      <w:r w:rsidR="00C05C7C" w:rsidRPr="009B1E20">
        <w:rPr>
          <w:rFonts w:hint="cs"/>
          <w:spacing w:val="-2"/>
          <w:rtl/>
          <w:lang w:bidi="ar"/>
        </w:rPr>
        <w:t>بطاقات التبليغ</w:t>
      </w:r>
      <w:r w:rsidRPr="009B1E20">
        <w:rPr>
          <w:rFonts w:hint="cs"/>
          <w:spacing w:val="-2"/>
          <w:rtl/>
          <w:lang w:bidi="ar"/>
        </w:rPr>
        <w:t xml:space="preserve"> بموجب التذييل </w:t>
      </w:r>
      <w:r w:rsidRPr="009B1E20">
        <w:rPr>
          <w:b/>
          <w:bCs/>
          <w:spacing w:val="-2"/>
          <w:lang w:bidi="ar"/>
        </w:rPr>
        <w:t>30B</w:t>
      </w:r>
      <w:r w:rsidRPr="009B1E20">
        <w:rPr>
          <w:rFonts w:hint="cs"/>
          <w:spacing w:val="-2"/>
          <w:rtl/>
          <w:lang w:bidi="ar"/>
        </w:rPr>
        <w:t xml:space="preserve"> قد أجريت في ذلك الوقت بموجب أحكام تنظيمية محددة للغاية يمكن بموجبها لمكتب الاتصالات الراديوية معالجة ما يتراوح بين ستة وعشرة تبليغات في السنة كحد أقصى، ولا تتوافق هذه البيانات الآن مع البيانات المستلمة نتيجة لتطبيق لوائح الراديو الحالية. وقد اختيرت الفترة</w:t>
      </w:r>
      <w:r w:rsidR="00C05C7C" w:rsidRPr="009B1E20">
        <w:rPr>
          <w:rFonts w:hint="eastAsia"/>
          <w:spacing w:val="-2"/>
          <w:rtl/>
          <w:lang w:bidi="ar"/>
        </w:rPr>
        <w:t> </w:t>
      </w:r>
      <w:r w:rsidR="00C05C7C" w:rsidRPr="009B1E20">
        <w:rPr>
          <w:spacing w:val="-2"/>
          <w:lang w:bidi="ar"/>
        </w:rPr>
        <w:t>2008-2007</w:t>
      </w:r>
      <w:r w:rsidR="00C05C7C" w:rsidRPr="009B1E20">
        <w:rPr>
          <w:rFonts w:hint="cs"/>
          <w:spacing w:val="-2"/>
          <w:rtl/>
          <w:lang w:bidi="ar"/>
        </w:rPr>
        <w:t xml:space="preserve"> </w:t>
      </w:r>
      <w:r w:rsidRPr="009B1E20">
        <w:rPr>
          <w:rFonts w:hint="cs"/>
          <w:spacing w:val="-2"/>
          <w:rtl/>
          <w:lang w:bidi="ar"/>
        </w:rPr>
        <w:t>لأنها شملت، مثل الفترة</w:t>
      </w:r>
      <w:r w:rsidR="00C05C7C" w:rsidRPr="009B1E20">
        <w:rPr>
          <w:rFonts w:hint="eastAsia"/>
          <w:spacing w:val="-2"/>
          <w:rtl/>
          <w:lang w:bidi="ar"/>
        </w:rPr>
        <w:t> </w:t>
      </w:r>
      <w:r w:rsidR="00C05C7C" w:rsidRPr="009B1E20">
        <w:rPr>
          <w:spacing w:val="-2"/>
          <w:lang w:bidi="ar"/>
        </w:rPr>
        <w:t>2016-2015</w:t>
      </w:r>
      <w:r w:rsidRPr="009B1E20">
        <w:rPr>
          <w:rFonts w:hint="cs"/>
          <w:spacing w:val="-2"/>
          <w:rtl/>
          <w:lang w:bidi="ar"/>
        </w:rPr>
        <w:t xml:space="preserve">، عقد مؤتمر عالمي للاتصالات الراديوية. واستُخرجت بيانات المصدر من وثائق لجنة لوائح الراديو (الوثائق </w:t>
      </w:r>
      <w:hyperlink r:id="rId59" w:history="1">
        <w:r w:rsidRPr="009B1E20">
          <w:rPr>
            <w:rStyle w:val="Hyperlink"/>
            <w:spacing w:val="-2"/>
            <w:lang w:bidi="ar"/>
          </w:rPr>
          <w:t>RRB07-3/2</w:t>
        </w:r>
      </w:hyperlink>
      <w:r w:rsidRPr="009B1E20">
        <w:rPr>
          <w:rFonts w:hint="cs"/>
          <w:spacing w:val="-2"/>
          <w:rtl/>
          <w:lang w:bidi="ar"/>
        </w:rPr>
        <w:t xml:space="preserve"> و</w:t>
      </w:r>
      <w:hyperlink r:id="rId60" w:history="1">
        <w:r w:rsidRPr="009B1E20">
          <w:rPr>
            <w:rStyle w:val="Hyperlink"/>
            <w:spacing w:val="-2"/>
            <w:lang w:bidi="ar"/>
          </w:rPr>
          <w:t>RRB08-1/1</w:t>
        </w:r>
      </w:hyperlink>
      <w:r w:rsidRPr="009B1E20">
        <w:rPr>
          <w:spacing w:val="-2"/>
          <w:lang w:bidi="ar"/>
        </w:rPr>
        <w:t xml:space="preserve"> </w:t>
      </w:r>
      <w:r w:rsidRPr="009B1E20">
        <w:rPr>
          <w:rFonts w:hint="cs"/>
          <w:spacing w:val="-2"/>
          <w:rtl/>
          <w:lang w:bidi="ar"/>
        </w:rPr>
        <w:t xml:space="preserve"> و</w:t>
      </w:r>
      <w:hyperlink r:id="rId61" w:history="1">
        <w:r w:rsidRPr="009B1E20">
          <w:rPr>
            <w:rStyle w:val="Hyperlink"/>
            <w:spacing w:val="-2"/>
            <w:lang w:bidi="ar"/>
          </w:rPr>
          <w:t>RRB09-1/1</w:t>
        </w:r>
      </w:hyperlink>
      <w:r w:rsidRPr="009B1E20">
        <w:rPr>
          <w:rFonts w:hint="cs"/>
          <w:spacing w:val="-2"/>
          <w:rtl/>
          <w:lang w:bidi="ar"/>
        </w:rPr>
        <w:t>).</w:t>
      </w:r>
    </w:p>
    <w:bookmarkEnd w:id="35"/>
    <w:p w:rsidR="00B108FD" w:rsidRPr="00B108FD" w:rsidRDefault="00B108FD" w:rsidP="00C05C7C">
      <w:pPr>
        <w:rPr>
          <w:rtl/>
          <w:lang w:bidi="ar"/>
        </w:rPr>
      </w:pPr>
      <w:r w:rsidRPr="00B108FD">
        <w:rPr>
          <w:rFonts w:hint="cs"/>
          <w:rtl/>
          <w:lang w:bidi="ar"/>
        </w:rPr>
        <w:lastRenderedPageBreak/>
        <w:t xml:space="preserve">وأثارت لجنة لوائح الراديو أيضاً مشكلة تجاوزات المهلة الزمنية في فبراير من هذا العام، وأوردت الملاحظة التالية في ملخص قرارات اجتماعها الرابع والسبعين (الوثيقة </w:t>
      </w:r>
      <w:hyperlink r:id="rId62" w:history="1">
        <w:r w:rsidRPr="00C05C7C">
          <w:rPr>
            <w:rStyle w:val="Hyperlink"/>
            <w:rFonts w:hint="cs"/>
            <w:lang w:bidi="ar"/>
          </w:rPr>
          <w:t>RRB17</w:t>
        </w:r>
        <w:r w:rsidR="00C05C7C" w:rsidRPr="00C05C7C">
          <w:rPr>
            <w:rStyle w:val="Hyperlink"/>
            <w:lang w:bidi="ar"/>
          </w:rPr>
          <w:noBreakHyphen/>
        </w:r>
        <w:r w:rsidRPr="00C05C7C">
          <w:rPr>
            <w:rStyle w:val="Hyperlink"/>
            <w:rFonts w:hint="cs"/>
            <w:lang w:bidi="ar"/>
          </w:rPr>
          <w:t>1/8</w:t>
        </w:r>
      </w:hyperlink>
      <w:r w:rsidRPr="00B108FD">
        <w:rPr>
          <w:rFonts w:hint="cs"/>
          <w:rtl/>
          <w:lang w:bidi="ar"/>
        </w:rPr>
        <w:t>):</w:t>
      </w:r>
    </w:p>
    <w:p w:rsidR="00B108FD" w:rsidRPr="00B108FD" w:rsidRDefault="00B108FD" w:rsidP="00B108FD">
      <w:pPr>
        <w:rPr>
          <w:rtl/>
          <w:lang w:bidi="ar-EG"/>
        </w:rPr>
      </w:pPr>
      <w:r w:rsidRPr="00B108FD">
        <w:rPr>
          <w:rFonts w:hint="cs"/>
          <w:rtl/>
        </w:rPr>
        <w:t>"</w:t>
      </w:r>
      <w:r w:rsidRPr="00B108FD">
        <w:rPr>
          <w:rFonts w:hint="cs"/>
          <w:rtl/>
          <w:lang w:bidi="ar-EG"/>
        </w:rPr>
        <w:t>لاحظت اللجنة زيادة عبء العمل على مكتب الاتصالات الراديوية من الزيادة في عدد وتعقيد بطاقات التبليغ الساتلية المستلمة خلال الشهور الخمسة عشر الأخيرة. وعبرت اللجنة عن شواغلها من أن هذا الأمر تسبب في انتهاك المهلة التنظيمية المحددة بأربعة أشهر لمعالجة طلبات التنسيق. وطلبت اللجنة من المدير بذل الجهود كافة من أجل العودة إلى المهلة التنظيمية بأسرع وقت ممكن. ولاحظت اللجنة أيضاً أن حل هذه المشكلة قد يترتب عليه تداعيات مالية تخضع لمسؤولية المجلس".</w:t>
      </w:r>
    </w:p>
    <w:p w:rsidR="00B108FD" w:rsidRPr="00B108FD" w:rsidRDefault="00C05C7C" w:rsidP="00006031">
      <w:pPr>
        <w:rPr>
          <w:rtl/>
          <w:lang w:bidi="ar-EG"/>
        </w:rPr>
      </w:pPr>
      <w:bookmarkStart w:id="36" w:name="lt_pId265"/>
      <w:r>
        <w:rPr>
          <w:rFonts w:hint="cs"/>
          <w:rtl/>
          <w:lang w:bidi="ar"/>
        </w:rPr>
        <w:t xml:space="preserve">ومع تأييد </w:t>
      </w:r>
      <w:r w:rsidR="00B108FD" w:rsidRPr="00B108FD">
        <w:rPr>
          <w:rFonts w:hint="cs"/>
          <w:rtl/>
          <w:lang w:bidi="ar"/>
        </w:rPr>
        <w:t xml:space="preserve">بيان لجنة لوائح الراديو، </w:t>
      </w:r>
      <w:r>
        <w:rPr>
          <w:rFonts w:hint="cs"/>
          <w:rtl/>
          <w:lang w:bidi="ar"/>
        </w:rPr>
        <w:t>جدير ب</w:t>
      </w:r>
      <w:r w:rsidR="00B108FD" w:rsidRPr="00B108FD">
        <w:rPr>
          <w:rFonts w:hint="cs"/>
          <w:rtl/>
          <w:lang w:bidi="ar"/>
        </w:rPr>
        <w:t>الإشارة أيضاً أن الإطالة الإضافية لوقت المعالجة ليست مشجعة، رغم أن معالجة التبليغات وفقاً للتذييلات</w:t>
      </w:r>
      <w:r w:rsidR="00006031">
        <w:rPr>
          <w:rFonts w:hint="eastAsia"/>
          <w:rtl/>
          <w:lang w:bidi="ar"/>
        </w:rPr>
        <w:t> </w:t>
      </w:r>
      <w:bookmarkStart w:id="37" w:name="_GoBack"/>
      <w:bookmarkEnd w:id="37"/>
      <w:r w:rsidRPr="00C05C7C">
        <w:rPr>
          <w:b/>
          <w:bCs/>
          <w:lang w:bidi="ar"/>
        </w:rPr>
        <w:t>30</w:t>
      </w:r>
      <w:r w:rsidR="00B108FD" w:rsidRPr="00B108FD">
        <w:rPr>
          <w:rFonts w:hint="cs"/>
          <w:rtl/>
          <w:lang w:bidi="ar"/>
        </w:rPr>
        <w:t xml:space="preserve"> و</w:t>
      </w:r>
      <w:r w:rsidR="00B108FD" w:rsidRPr="00C05C7C">
        <w:rPr>
          <w:b/>
          <w:bCs/>
          <w:lang w:bidi="ar"/>
        </w:rPr>
        <w:t>30A</w:t>
      </w:r>
      <w:r w:rsidR="00B108FD" w:rsidRPr="00B108FD">
        <w:rPr>
          <w:rFonts w:hint="cs"/>
          <w:rtl/>
          <w:lang w:bidi="ar"/>
        </w:rPr>
        <w:t xml:space="preserve"> و</w:t>
      </w:r>
      <w:r w:rsidR="00B108FD" w:rsidRPr="00C05C7C">
        <w:rPr>
          <w:b/>
          <w:bCs/>
          <w:lang w:bidi="ar"/>
        </w:rPr>
        <w:t>30B</w:t>
      </w:r>
      <w:r w:rsidR="00B108FD" w:rsidRPr="00B108FD">
        <w:rPr>
          <w:rFonts w:hint="cs"/>
          <w:rtl/>
          <w:lang w:bidi="ar-EG"/>
        </w:rPr>
        <w:t xml:space="preserve"> </w:t>
      </w:r>
      <w:r w:rsidR="00B108FD" w:rsidRPr="00B108FD">
        <w:rPr>
          <w:rFonts w:hint="cs"/>
          <w:rtl/>
          <w:lang w:bidi="ar"/>
        </w:rPr>
        <w:t>(خطط السواتل) لا تخضع لمهل تنظيمية محددة.</w:t>
      </w:r>
    </w:p>
    <w:bookmarkEnd w:id="36"/>
    <w:p w:rsidR="00B108FD" w:rsidRPr="00B108FD" w:rsidRDefault="00B108FD" w:rsidP="00466C73">
      <w:pPr>
        <w:rPr>
          <w:rtl/>
          <w:lang w:bidi="ar-EG"/>
        </w:rPr>
      </w:pPr>
      <w:r w:rsidRPr="00B108FD">
        <w:rPr>
          <w:rFonts w:hint="cs"/>
          <w:rtl/>
          <w:lang w:bidi="ar"/>
        </w:rPr>
        <w:t xml:space="preserve">ويبدو أن دواعي التوفير في الموارد اقتضت لسنوات عديدة الآن عدم انعقاد اجتماعات رؤساء ونواب رؤساء لجان الدراسات على نحو </w:t>
      </w:r>
      <w:r w:rsidR="00C05C7C">
        <w:rPr>
          <w:rFonts w:hint="cs"/>
          <w:rtl/>
          <w:lang w:bidi="ar"/>
        </w:rPr>
        <w:t>لا</w:t>
      </w:r>
      <w:r w:rsidR="00466C73">
        <w:rPr>
          <w:rFonts w:hint="eastAsia"/>
          <w:rtl/>
          <w:lang w:bidi="ar"/>
        </w:rPr>
        <w:t> </w:t>
      </w:r>
      <w:r w:rsidR="00C05C7C">
        <w:rPr>
          <w:rFonts w:hint="cs"/>
          <w:rtl/>
          <w:lang w:bidi="ar"/>
        </w:rPr>
        <w:t>يتفق مع</w:t>
      </w:r>
      <w:r w:rsidRPr="00B108FD">
        <w:rPr>
          <w:rFonts w:hint="cs"/>
          <w:rtl/>
          <w:lang w:bidi="ar"/>
        </w:rPr>
        <w:t xml:space="preserve"> متطلبات الفقرة</w:t>
      </w:r>
      <w:r w:rsidR="00C05C7C">
        <w:rPr>
          <w:rFonts w:hint="eastAsia"/>
          <w:rtl/>
          <w:lang w:bidi="ar"/>
        </w:rPr>
        <w:t> </w:t>
      </w:r>
      <w:r w:rsidR="00C05C7C">
        <w:rPr>
          <w:lang w:bidi="ar"/>
        </w:rPr>
        <w:t>1.1.6.A1</w:t>
      </w:r>
      <w:r w:rsidR="00C05C7C">
        <w:rPr>
          <w:rFonts w:hint="cs"/>
          <w:rtl/>
          <w:lang w:bidi="ar"/>
        </w:rPr>
        <w:t xml:space="preserve"> </w:t>
      </w:r>
      <w:r w:rsidRPr="00B108FD">
        <w:rPr>
          <w:rFonts w:hint="cs"/>
          <w:rtl/>
          <w:lang w:bidi="ar"/>
        </w:rPr>
        <w:t xml:space="preserve">من القرار </w:t>
      </w:r>
      <w:r w:rsidRPr="00B108FD">
        <w:rPr>
          <w:lang w:bidi="ar"/>
        </w:rPr>
        <w:t>ITU</w:t>
      </w:r>
      <w:r w:rsidR="00C05C7C">
        <w:rPr>
          <w:lang w:bidi="ar"/>
        </w:rPr>
        <w:noBreakHyphen/>
      </w:r>
      <w:r w:rsidRPr="00B108FD">
        <w:rPr>
          <w:lang w:bidi="ar"/>
        </w:rPr>
        <w:t>R</w:t>
      </w:r>
      <w:r w:rsidR="00C05C7C">
        <w:rPr>
          <w:lang w:bidi="ar"/>
        </w:rPr>
        <w:t> </w:t>
      </w:r>
      <w:r w:rsidRPr="00B108FD">
        <w:rPr>
          <w:lang w:bidi="ar"/>
        </w:rPr>
        <w:t>1</w:t>
      </w:r>
      <w:r w:rsidR="00C05C7C">
        <w:rPr>
          <w:lang w:bidi="ar"/>
        </w:rPr>
        <w:noBreakHyphen/>
      </w:r>
      <w:r w:rsidRPr="00B108FD">
        <w:rPr>
          <w:lang w:bidi="ar"/>
        </w:rPr>
        <w:t>7</w:t>
      </w:r>
      <w:r w:rsidRPr="00B108FD">
        <w:rPr>
          <w:rFonts w:hint="cs"/>
          <w:rtl/>
          <w:lang w:bidi="ar-EG"/>
        </w:rPr>
        <w:t>، و</w:t>
      </w:r>
      <w:r w:rsidRPr="00B108FD">
        <w:rPr>
          <w:rFonts w:hint="cs"/>
          <w:rtl/>
          <w:lang w:bidi="ar"/>
        </w:rPr>
        <w:t xml:space="preserve">اقتضت اختصار مدة اجتماعات الفريق الاستشاري للاتصالات الراديوية </w:t>
      </w:r>
      <w:r w:rsidR="00466C73">
        <w:rPr>
          <w:rFonts w:hint="cs"/>
          <w:rtl/>
          <w:lang w:bidi="ar"/>
        </w:rPr>
        <w:t>إلى ثلاثة</w:t>
      </w:r>
      <w:r w:rsidRPr="00B108FD">
        <w:rPr>
          <w:rFonts w:hint="cs"/>
          <w:rtl/>
          <w:lang w:bidi="ar"/>
        </w:rPr>
        <w:t xml:space="preserve"> أيام، وفي الحين نفسه تُمنح فترات أطول بكثير من الوقت لاجتماعات </w:t>
      </w:r>
      <w:r w:rsidR="00466C73">
        <w:rPr>
          <w:rFonts w:hint="cs"/>
          <w:rtl/>
          <w:lang w:bidi="ar"/>
        </w:rPr>
        <w:t>الأفرقة</w:t>
      </w:r>
      <w:r w:rsidRPr="00B108FD">
        <w:rPr>
          <w:rFonts w:hint="cs"/>
          <w:rtl/>
          <w:lang w:bidi="ar"/>
        </w:rPr>
        <w:t xml:space="preserve"> المكافئة في القطاعين الآخرين، وكذلك الاجتماعات المباشرة لأفرقة </w:t>
      </w:r>
      <w:r w:rsidR="00466C73">
        <w:rPr>
          <w:rFonts w:hint="cs"/>
          <w:rtl/>
          <w:lang w:bidi="ar"/>
        </w:rPr>
        <w:t xml:space="preserve">العمل بالمراسلة </w:t>
      </w:r>
      <w:r w:rsidRPr="00B108FD">
        <w:rPr>
          <w:rFonts w:hint="cs"/>
          <w:rtl/>
          <w:lang w:bidi="ar"/>
        </w:rPr>
        <w:t>والأفرقة القيادية لدى الفريق الاستشاري لتقييس الاتصالات والفريق الاستشاري لتنمية الاتصالات، (مع عقد هذه الاجتماعات مرتين في غضون سنة واحدة في بعض الحالات)، وهلم جر</w:t>
      </w:r>
      <w:r w:rsidR="00E21F7E">
        <w:rPr>
          <w:rFonts w:hint="cs"/>
          <w:rtl/>
          <w:lang w:bidi="ar"/>
        </w:rPr>
        <w:t>ا</w:t>
      </w:r>
      <w:r w:rsidRPr="00B108FD">
        <w:rPr>
          <w:rFonts w:hint="cs"/>
          <w:rtl/>
          <w:lang w:bidi="ar"/>
        </w:rPr>
        <w:t>.</w:t>
      </w:r>
    </w:p>
    <w:p w:rsidR="00B108FD" w:rsidRPr="00B108FD" w:rsidRDefault="00B108FD" w:rsidP="00B108FD">
      <w:pPr>
        <w:rPr>
          <w:rtl/>
          <w:lang w:bidi="ar"/>
        </w:rPr>
      </w:pPr>
      <w:r w:rsidRPr="00B108FD">
        <w:rPr>
          <w:rFonts w:hint="cs"/>
          <w:rtl/>
          <w:lang w:bidi="ar"/>
        </w:rPr>
        <w:t>ومن التحليل السابق، علينا أن نستنتج أن مكتب الاتصالات الراديوية لا يملك موارد بشرية كافية لتحقيق أهدافه.</w:t>
      </w:r>
    </w:p>
    <w:p w:rsidR="00B108FD" w:rsidRPr="00B108FD" w:rsidRDefault="00B108FD" w:rsidP="00C05C7C">
      <w:pPr>
        <w:pStyle w:val="FigureNo"/>
        <w:rPr>
          <w:rtl/>
        </w:rPr>
      </w:pPr>
      <w:r w:rsidRPr="00B108FD">
        <w:rPr>
          <w:rFonts w:hint="cs"/>
          <w:rtl/>
        </w:rPr>
        <w:t xml:space="preserve">الشكل </w:t>
      </w:r>
      <w:r w:rsidRPr="00B108FD">
        <w:rPr>
          <w:lang w:bidi="ar"/>
        </w:rPr>
        <w:t>4</w:t>
      </w:r>
    </w:p>
    <w:p w:rsidR="00B108FD" w:rsidRDefault="00B108FD" w:rsidP="00466C73">
      <w:pPr>
        <w:pStyle w:val="Figuretitle"/>
        <w:rPr>
          <w:rtl/>
        </w:rPr>
      </w:pPr>
      <w:r w:rsidRPr="00B108FD">
        <w:rPr>
          <w:rFonts w:hint="cs"/>
          <w:rtl/>
        </w:rPr>
        <w:t xml:space="preserve">بيانات إحصائية عن معالجة </w:t>
      </w:r>
      <w:r w:rsidR="00466C73">
        <w:rPr>
          <w:rFonts w:hint="cs"/>
          <w:rtl/>
        </w:rPr>
        <w:t>بطاقات التبليغ</w:t>
      </w:r>
      <w:r w:rsidRPr="00B108FD">
        <w:rPr>
          <w:rFonts w:hint="cs"/>
          <w:rtl/>
        </w:rPr>
        <w:t xml:space="preserve"> عن تخصيصات </w:t>
      </w:r>
      <w:r w:rsidR="00466C73">
        <w:rPr>
          <w:rFonts w:hint="cs"/>
          <w:rtl/>
        </w:rPr>
        <w:t xml:space="preserve">ترددات </w:t>
      </w:r>
      <w:r w:rsidRPr="00B108FD">
        <w:rPr>
          <w:rFonts w:hint="cs"/>
          <w:rtl/>
        </w:rPr>
        <w:t>للخدمات الفضائية خلال الفترة</w:t>
      </w:r>
      <w:r w:rsidR="00C05C7C">
        <w:rPr>
          <w:rFonts w:hint="eastAsia"/>
          <w:rtl/>
        </w:rPr>
        <w:t> </w:t>
      </w:r>
      <w:r w:rsidR="00C05C7C">
        <w:t>2016-2015</w:t>
      </w:r>
    </w:p>
    <w:p w:rsidR="009F44CF" w:rsidRPr="009B1E20" w:rsidRDefault="009F44CF" w:rsidP="009F44CF">
      <w:pPr>
        <w:jc w:val="right"/>
        <w:rPr>
          <w:b/>
          <w:bCs/>
          <w:sz w:val="20"/>
          <w:rtl/>
        </w:rPr>
      </w:pPr>
      <w:r w:rsidRPr="009B1E20">
        <w:rPr>
          <w:rFonts w:hint="cs"/>
          <w:b/>
          <w:bCs/>
          <w:sz w:val="20"/>
          <w:szCs w:val="26"/>
          <w:rtl/>
        </w:rPr>
        <w:t>بالأشهر</w:t>
      </w:r>
    </w:p>
    <w:p w:rsidR="00B108FD" w:rsidRPr="00B108FD" w:rsidRDefault="00466C73" w:rsidP="00B13C64">
      <w:pPr>
        <w:jc w:val="center"/>
        <w:rPr>
          <w:rtl/>
        </w:rPr>
      </w:pPr>
      <w:r>
        <w:rPr>
          <w:rFonts w:hint="cs"/>
          <w:noProof/>
          <w:rtl/>
          <w:lang w:eastAsia="zh-CN"/>
        </w:rPr>
        <mc:AlternateContent>
          <mc:Choice Requires="wpg">
            <w:drawing>
              <wp:anchor distT="0" distB="0" distL="114300" distR="114300" simplePos="0" relativeHeight="251673600" behindDoc="0" locked="0" layoutInCell="1" allowOverlap="1">
                <wp:simplePos x="0" y="0"/>
                <wp:positionH relativeFrom="column">
                  <wp:posOffset>490736</wp:posOffset>
                </wp:positionH>
                <wp:positionV relativeFrom="paragraph">
                  <wp:posOffset>36774</wp:posOffset>
                </wp:positionV>
                <wp:extent cx="1061720" cy="959599"/>
                <wp:effectExtent l="0" t="0" r="5080" b="12065"/>
                <wp:wrapNone/>
                <wp:docPr id="17" name="Group 17"/>
                <wp:cNvGraphicFramePr/>
                <a:graphic xmlns:a="http://schemas.openxmlformats.org/drawingml/2006/main">
                  <a:graphicData uri="http://schemas.microsoft.com/office/word/2010/wordprocessingGroup">
                    <wpg:wgp>
                      <wpg:cNvGrpSpPr/>
                      <wpg:grpSpPr>
                        <a:xfrm>
                          <a:off x="0" y="0"/>
                          <a:ext cx="1061720" cy="959599"/>
                          <a:chOff x="0" y="0"/>
                          <a:chExt cx="1061720" cy="959599"/>
                        </a:xfrm>
                      </wpg:grpSpPr>
                      <wps:wsp>
                        <wps:cNvPr id="9" name="Text Box 9"/>
                        <wps:cNvSpPr txBox="1"/>
                        <wps:spPr>
                          <a:xfrm>
                            <a:off x="0" y="0"/>
                            <a:ext cx="10617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6C73" w:rsidRPr="005A251E" w:rsidRDefault="005A251E" w:rsidP="009B1E20">
                              <w:pPr>
                                <w:rPr>
                                  <w:sz w:val="16"/>
                                  <w:szCs w:val="20"/>
                                  <w:rtl/>
                                  <w:lang w:bidi="ar-EG"/>
                                </w:rPr>
                              </w:pPr>
                              <w:r>
                                <w:rPr>
                                  <w:rFonts w:hint="cs"/>
                                  <w:sz w:val="16"/>
                                  <w:szCs w:val="20"/>
                                  <w:rtl/>
                                  <w:lang w:bidi="ar-EG"/>
                                </w:rPr>
                                <w:t>المادة </w:t>
                              </w:r>
                              <w:r>
                                <w:rPr>
                                  <w:sz w:val="16"/>
                                  <w:szCs w:val="20"/>
                                  <w:lang w:bidi="ar-EG"/>
                                </w:rPr>
                                <w:t>9</w:t>
                              </w:r>
                              <w:r>
                                <w:rPr>
                                  <w:rFonts w:hint="cs"/>
                                  <w:sz w:val="16"/>
                                  <w:szCs w:val="20"/>
                                  <w:rtl/>
                                  <w:lang w:bidi="ar-EG"/>
                                </w:rPr>
                                <w:t xml:space="preserve"> </w:t>
                              </w:r>
                              <w:r w:rsidR="009B1E20">
                                <w:rPr>
                                  <w:sz w:val="16"/>
                                  <w:szCs w:val="20"/>
                                  <w:lang w:bidi="ar-EG"/>
                                </w:rPr>
                                <w:t>CR/C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Text Box 14"/>
                        <wps:cNvSpPr txBox="1"/>
                        <wps:spPr>
                          <a:xfrm>
                            <a:off x="0" y="231112"/>
                            <a:ext cx="10617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6C73" w:rsidRPr="005A251E" w:rsidRDefault="005A251E" w:rsidP="005A251E">
                              <w:pPr>
                                <w:rPr>
                                  <w:sz w:val="16"/>
                                  <w:szCs w:val="20"/>
                                  <w:rtl/>
                                  <w:lang w:bidi="ar-EG"/>
                                </w:rPr>
                              </w:pPr>
                              <w:r w:rsidRPr="005A251E">
                                <w:rPr>
                                  <w:rFonts w:hint="cs"/>
                                  <w:sz w:val="16"/>
                                  <w:szCs w:val="20"/>
                                  <w:rtl/>
                                  <w:lang w:bidi="ar"/>
                                </w:rPr>
                                <w:t>التذييل</w:t>
                              </w:r>
                              <w:r>
                                <w:rPr>
                                  <w:rFonts w:hint="cs"/>
                                  <w:sz w:val="16"/>
                                  <w:szCs w:val="20"/>
                                  <w:rtl/>
                                  <w:lang w:bidi="ar"/>
                                </w:rPr>
                                <w:t>ا</w:t>
                              </w:r>
                              <w:r w:rsidRPr="005A251E">
                                <w:rPr>
                                  <w:rFonts w:hint="cs"/>
                                  <w:sz w:val="16"/>
                                  <w:szCs w:val="20"/>
                                  <w:rtl/>
                                  <w:lang w:bidi="ar"/>
                                </w:rPr>
                                <w:t xml:space="preserve">ن </w:t>
                              </w:r>
                              <w:r w:rsidRPr="005A251E">
                                <w:rPr>
                                  <w:sz w:val="16"/>
                                  <w:szCs w:val="20"/>
                                  <w:lang w:bidi="ar-EG"/>
                                </w:rPr>
                                <w:t>30A/30</w:t>
                              </w:r>
                              <w:r w:rsidRPr="005A251E">
                                <w:rPr>
                                  <w:rFonts w:hint="cs"/>
                                  <w:sz w:val="16"/>
                                  <w:szCs w:val="20"/>
                                  <w:rtl/>
                                  <w:lang w:bidi="ar-EG"/>
                                </w:rPr>
                                <w:t xml:space="preserve"> المادة </w:t>
                              </w:r>
                              <w:r w:rsidRPr="005A251E">
                                <w:rPr>
                                  <w:sz w:val="16"/>
                                  <w:szCs w:val="20"/>
                                  <w:lang w:bidi="ar-EG"/>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0" y="467249"/>
                            <a:ext cx="10617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6C73" w:rsidRPr="005A251E" w:rsidRDefault="005A251E" w:rsidP="00466C73">
                              <w:pPr>
                                <w:rPr>
                                  <w:sz w:val="16"/>
                                  <w:szCs w:val="20"/>
                                  <w:rtl/>
                                  <w:lang w:bidi="ar-EG"/>
                                </w:rPr>
                              </w:pPr>
                              <w:r>
                                <w:rPr>
                                  <w:rFonts w:hint="cs"/>
                                  <w:sz w:val="16"/>
                                  <w:szCs w:val="20"/>
                                  <w:rtl/>
                                  <w:lang w:bidi="ar-EG"/>
                                </w:rPr>
                                <w:t>التذييل </w:t>
                              </w:r>
                              <w:r>
                                <w:rPr>
                                  <w:sz w:val="16"/>
                                  <w:szCs w:val="20"/>
                                  <w:lang w:bidi="ar-EG"/>
                                </w:rPr>
                                <w:t>30B</w:t>
                              </w:r>
                              <w:r>
                                <w:rPr>
                                  <w:rFonts w:hint="cs"/>
                                  <w:sz w:val="16"/>
                                  <w:szCs w:val="20"/>
                                  <w:rtl/>
                                  <w:lang w:bidi="ar-EG"/>
                                </w:rPr>
                                <w:t xml:space="preserve"> المادتين </w:t>
                              </w:r>
                              <w:r>
                                <w:rPr>
                                  <w:sz w:val="16"/>
                                  <w:szCs w:val="20"/>
                                  <w:lang w:bidi="ar-EG"/>
                                </w:rPr>
                                <w:t>6</w:t>
                              </w:r>
                              <w:r>
                                <w:rPr>
                                  <w:rFonts w:hint="cs"/>
                                  <w:sz w:val="16"/>
                                  <w:szCs w:val="20"/>
                                  <w:rtl/>
                                  <w:lang w:bidi="ar-EG"/>
                                </w:rPr>
                                <w:t xml:space="preserve"> و</w:t>
                              </w:r>
                              <w:r>
                                <w:rPr>
                                  <w:sz w:val="16"/>
                                  <w:szCs w:val="20"/>
                                  <w:lang w:bidi="ar-EG"/>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Text Box 16"/>
                        <wps:cNvSpPr txBox="1"/>
                        <wps:spPr>
                          <a:xfrm>
                            <a:off x="0" y="718457"/>
                            <a:ext cx="1061720" cy="2411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51E" w:rsidRPr="005A251E" w:rsidRDefault="005A251E" w:rsidP="005A251E">
                              <w:pPr>
                                <w:rPr>
                                  <w:sz w:val="16"/>
                                  <w:szCs w:val="20"/>
                                  <w:rtl/>
                                  <w:lang w:bidi="ar-EG"/>
                                </w:rPr>
                              </w:pPr>
                              <w:r w:rsidRPr="005A251E">
                                <w:rPr>
                                  <w:rFonts w:hint="cs"/>
                                  <w:sz w:val="16"/>
                                  <w:szCs w:val="20"/>
                                  <w:rtl/>
                                  <w:lang w:bidi="ar-EG"/>
                                </w:rPr>
                                <w:t xml:space="preserve">حد الرقم </w:t>
                              </w:r>
                              <w:r w:rsidRPr="005A251E">
                                <w:rPr>
                                  <w:sz w:val="16"/>
                                  <w:szCs w:val="20"/>
                                  <w:lang w:bidi="ar-EG"/>
                                </w:rPr>
                                <w:t>38.9</w:t>
                              </w:r>
                              <w:r>
                                <w:rPr>
                                  <w:rFonts w:hint="cs"/>
                                  <w:sz w:val="16"/>
                                  <w:szCs w:val="20"/>
                                  <w:rtl/>
                                  <w:lang w:bidi="ar-EG"/>
                                </w:rPr>
                                <w:t xml:space="preserve"> </w:t>
                              </w:r>
                              <w:r w:rsidRPr="005A251E">
                                <w:rPr>
                                  <w:rFonts w:hint="cs"/>
                                  <w:sz w:val="16"/>
                                  <w:szCs w:val="20"/>
                                  <w:rtl/>
                                  <w:lang w:bidi="ar-EG"/>
                                </w:rPr>
                                <w:t>من لوائح الراديو</w:t>
                              </w:r>
                            </w:p>
                            <w:p w:rsidR="005A251E" w:rsidRPr="005A251E" w:rsidRDefault="005A251E" w:rsidP="005A251E">
                              <w:pPr>
                                <w:rPr>
                                  <w:sz w:val="16"/>
                                  <w:szCs w:val="20"/>
                                  <w:lang w:bidi="ar-EG"/>
                                </w:rPr>
                              </w:pPr>
                            </w:p>
                            <w:p w:rsidR="00466C73" w:rsidRPr="005A251E" w:rsidRDefault="00466C73" w:rsidP="00466C73">
                              <w:pPr>
                                <w:rPr>
                                  <w:sz w:val="16"/>
                                  <w:szCs w:val="20"/>
                                  <w:lang w:bidi="ar-EG"/>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17" o:spid="_x0000_s1035" style="position:absolute;left:0;text-align:left;margin-left:38.65pt;margin-top:2.9pt;width:83.6pt;height:75.55pt;z-index:251673600" coordsize="10617,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">
                <v:shape id="Text Box 9" o:spid="_x0000_s1036" type="#_x0000_t202" style="position:absolute;width:10617;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466C73" w:rsidRPr="005A251E" w:rsidRDefault="005A251E" w:rsidP="009B1E20">
                        <w:pPr>
                          <w:rPr>
                            <w:rFonts w:hint="cs"/>
                            <w:sz w:val="16"/>
                            <w:szCs w:val="20"/>
                            <w:rtl/>
                            <w:lang w:bidi="ar-EG"/>
                          </w:rPr>
                        </w:pPr>
                        <w:r>
                          <w:rPr>
                            <w:rFonts w:hint="cs"/>
                            <w:sz w:val="16"/>
                            <w:szCs w:val="20"/>
                            <w:rtl/>
                            <w:lang w:bidi="ar-EG"/>
                          </w:rPr>
                          <w:t>المادة </w:t>
                        </w:r>
                        <w:r>
                          <w:rPr>
                            <w:sz w:val="16"/>
                            <w:szCs w:val="20"/>
                            <w:lang w:bidi="ar-EG"/>
                          </w:rPr>
                          <w:t>9</w:t>
                        </w:r>
                        <w:r>
                          <w:rPr>
                            <w:rFonts w:hint="cs"/>
                            <w:sz w:val="16"/>
                            <w:szCs w:val="20"/>
                            <w:rtl/>
                            <w:lang w:bidi="ar-EG"/>
                          </w:rPr>
                          <w:t xml:space="preserve"> </w:t>
                        </w:r>
                        <w:r w:rsidR="009B1E20">
                          <w:rPr>
                            <w:sz w:val="16"/>
                            <w:szCs w:val="20"/>
                            <w:lang w:bidi="ar-EG"/>
                          </w:rPr>
                          <w:t>CR/C</w:t>
                        </w:r>
                      </w:p>
                    </w:txbxContent>
                  </v:textbox>
                </v:shape>
                <v:shape id="Text Box 14" o:spid="_x0000_s1037" type="#_x0000_t202" style="position:absolute;top:2311;width:10617;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tRScMA&#10;AADbAAAADwAAAGRycy9kb3ducmV2LnhtbERPS2vCQBC+F/oflin0VjdKK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tRScMAAADbAAAADwAAAAAAAAAAAAAAAACYAgAAZHJzL2Rv&#10;d25yZXYueG1sUEsFBgAAAAAEAAQA9QAAAIgDAAAAAA==&#10;" filled="f" stroked="f" strokeweight=".5pt">
                  <v:textbox inset="0,0,0,0">
                    <w:txbxContent>
                      <w:p w:rsidR="00466C73" w:rsidRPr="005A251E" w:rsidRDefault="005A251E" w:rsidP="005A251E">
                        <w:pPr>
                          <w:rPr>
                            <w:sz w:val="16"/>
                            <w:szCs w:val="20"/>
                            <w:rtl/>
                            <w:lang w:bidi="ar-EG"/>
                          </w:rPr>
                        </w:pPr>
                        <w:r w:rsidRPr="005A251E">
                          <w:rPr>
                            <w:rFonts w:hint="cs"/>
                            <w:sz w:val="16"/>
                            <w:szCs w:val="20"/>
                            <w:rtl/>
                            <w:lang w:bidi="ar"/>
                          </w:rPr>
                          <w:t>التذييل</w:t>
                        </w:r>
                        <w:r>
                          <w:rPr>
                            <w:rFonts w:hint="cs"/>
                            <w:sz w:val="16"/>
                            <w:szCs w:val="20"/>
                            <w:rtl/>
                            <w:lang w:bidi="ar"/>
                          </w:rPr>
                          <w:t>ا</w:t>
                        </w:r>
                        <w:r w:rsidRPr="005A251E">
                          <w:rPr>
                            <w:rFonts w:hint="cs"/>
                            <w:sz w:val="16"/>
                            <w:szCs w:val="20"/>
                            <w:rtl/>
                            <w:lang w:bidi="ar"/>
                          </w:rPr>
                          <w:t xml:space="preserve">ن </w:t>
                        </w:r>
                        <w:r w:rsidRPr="005A251E">
                          <w:rPr>
                            <w:sz w:val="16"/>
                            <w:szCs w:val="20"/>
                            <w:lang w:bidi="ar-EG"/>
                          </w:rPr>
                          <w:t>30A/30</w:t>
                        </w:r>
                        <w:r w:rsidRPr="005A251E">
                          <w:rPr>
                            <w:rFonts w:hint="cs"/>
                            <w:sz w:val="16"/>
                            <w:szCs w:val="20"/>
                            <w:rtl/>
                            <w:lang w:bidi="ar-EG"/>
                          </w:rPr>
                          <w:t xml:space="preserve"> المادة </w:t>
                        </w:r>
                        <w:r w:rsidRPr="005A251E">
                          <w:rPr>
                            <w:sz w:val="16"/>
                            <w:szCs w:val="20"/>
                            <w:lang w:bidi="ar-EG"/>
                          </w:rPr>
                          <w:t>4</w:t>
                        </w:r>
                      </w:p>
                    </w:txbxContent>
                  </v:textbox>
                </v:shape>
                <v:shape id="Text Box 15" o:spid="_x0000_s1038" type="#_x0000_t202" style="position:absolute;top:4672;width:10617;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466C73" w:rsidRPr="005A251E" w:rsidRDefault="005A251E" w:rsidP="00466C73">
                        <w:pPr>
                          <w:rPr>
                            <w:sz w:val="16"/>
                            <w:szCs w:val="20"/>
                            <w:rtl/>
                            <w:lang w:bidi="ar-EG"/>
                          </w:rPr>
                        </w:pPr>
                        <w:r>
                          <w:rPr>
                            <w:rFonts w:hint="cs"/>
                            <w:sz w:val="16"/>
                            <w:szCs w:val="20"/>
                            <w:rtl/>
                            <w:lang w:bidi="ar-EG"/>
                          </w:rPr>
                          <w:t>التذييل </w:t>
                        </w:r>
                        <w:r>
                          <w:rPr>
                            <w:sz w:val="16"/>
                            <w:szCs w:val="20"/>
                            <w:lang w:bidi="ar-EG"/>
                          </w:rPr>
                          <w:t>30B</w:t>
                        </w:r>
                        <w:r>
                          <w:rPr>
                            <w:rFonts w:hint="cs"/>
                            <w:sz w:val="16"/>
                            <w:szCs w:val="20"/>
                            <w:rtl/>
                            <w:lang w:bidi="ar-EG"/>
                          </w:rPr>
                          <w:t xml:space="preserve"> المادتين </w:t>
                        </w:r>
                        <w:r>
                          <w:rPr>
                            <w:sz w:val="16"/>
                            <w:szCs w:val="20"/>
                            <w:lang w:bidi="ar-EG"/>
                          </w:rPr>
                          <w:t>6</w:t>
                        </w:r>
                        <w:r>
                          <w:rPr>
                            <w:rFonts w:hint="cs"/>
                            <w:sz w:val="16"/>
                            <w:szCs w:val="20"/>
                            <w:rtl/>
                            <w:lang w:bidi="ar-EG"/>
                          </w:rPr>
                          <w:t xml:space="preserve"> و</w:t>
                        </w:r>
                        <w:r>
                          <w:rPr>
                            <w:sz w:val="16"/>
                            <w:szCs w:val="20"/>
                            <w:lang w:bidi="ar-EG"/>
                          </w:rPr>
                          <w:t>7</w:t>
                        </w:r>
                      </w:p>
                    </w:txbxContent>
                  </v:textbox>
                </v:shape>
                <v:shape id="Text Box 16" o:spid="_x0000_s1039" type="#_x0000_t202" style="position:absolute;top:7184;width:10617;height:2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5A251E" w:rsidRPr="005A251E" w:rsidRDefault="005A251E" w:rsidP="005A251E">
                        <w:pPr>
                          <w:rPr>
                            <w:sz w:val="16"/>
                            <w:szCs w:val="20"/>
                            <w:rtl/>
                            <w:lang w:bidi="ar-EG"/>
                          </w:rPr>
                        </w:pPr>
                        <w:r w:rsidRPr="005A251E">
                          <w:rPr>
                            <w:rFonts w:hint="cs"/>
                            <w:sz w:val="16"/>
                            <w:szCs w:val="20"/>
                            <w:rtl/>
                            <w:lang w:bidi="ar-EG"/>
                          </w:rPr>
                          <w:t xml:space="preserve">حد الرقم </w:t>
                        </w:r>
                        <w:r w:rsidRPr="005A251E">
                          <w:rPr>
                            <w:sz w:val="16"/>
                            <w:szCs w:val="20"/>
                            <w:lang w:bidi="ar-EG"/>
                          </w:rPr>
                          <w:t>38.9</w:t>
                        </w:r>
                        <w:r>
                          <w:rPr>
                            <w:rFonts w:hint="cs"/>
                            <w:sz w:val="16"/>
                            <w:szCs w:val="20"/>
                            <w:rtl/>
                            <w:lang w:bidi="ar-EG"/>
                          </w:rPr>
                          <w:t xml:space="preserve"> </w:t>
                        </w:r>
                        <w:r w:rsidRPr="005A251E">
                          <w:rPr>
                            <w:rFonts w:hint="cs"/>
                            <w:sz w:val="16"/>
                            <w:szCs w:val="20"/>
                            <w:rtl/>
                            <w:lang w:bidi="ar-EG"/>
                          </w:rPr>
                          <w:t>من لوائح الراديو</w:t>
                        </w:r>
                      </w:p>
                      <w:p w:rsidR="005A251E" w:rsidRPr="005A251E" w:rsidRDefault="005A251E" w:rsidP="005A251E">
                        <w:pPr>
                          <w:rPr>
                            <w:sz w:val="16"/>
                            <w:szCs w:val="20"/>
                            <w:lang w:bidi="ar-EG"/>
                          </w:rPr>
                        </w:pPr>
                      </w:p>
                      <w:p w:rsidR="00466C73" w:rsidRPr="005A251E" w:rsidRDefault="00466C73" w:rsidP="00466C73">
                        <w:pPr>
                          <w:rPr>
                            <w:sz w:val="16"/>
                            <w:szCs w:val="20"/>
                            <w:lang w:bidi="ar-EG"/>
                          </w:rPr>
                        </w:pPr>
                      </w:p>
                    </w:txbxContent>
                  </v:textbox>
                </v:shape>
              </v:group>
            </w:pict>
          </mc:Fallback>
        </mc:AlternateContent>
      </w:r>
      <w:r>
        <w:rPr>
          <w:rFonts w:hint="cs"/>
          <w:noProof/>
          <w:rtl/>
          <w:lang w:eastAsia="zh-CN"/>
        </w:rPr>
        <w:drawing>
          <wp:anchor distT="0" distB="0" distL="114300" distR="114300" simplePos="0" relativeHeight="251664384" behindDoc="0" locked="0" layoutInCell="1" allowOverlap="1" wp14:anchorId="1E0239D2" wp14:editId="5670FFDC">
            <wp:simplePos x="0" y="0"/>
            <wp:positionH relativeFrom="column">
              <wp:posOffset>451168</wp:posOffset>
            </wp:positionH>
            <wp:positionV relativeFrom="paragraph">
              <wp:posOffset>60325</wp:posOffset>
            </wp:positionV>
            <wp:extent cx="1676400" cy="971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80A.png"/>
                    <pic:cNvPicPr/>
                  </pic:nvPicPr>
                  <pic:blipFill>
                    <a:blip r:embed="rId63">
                      <a:extLst>
                        <a:ext uri="{28A0092B-C50C-407E-A947-70E740481C1C}">
                          <a14:useLocalDpi xmlns:a14="http://schemas.microsoft.com/office/drawing/2010/main" val="0"/>
                        </a:ext>
                      </a:extLst>
                    </a:blip>
                    <a:stretch>
                      <a:fillRect/>
                    </a:stretch>
                  </pic:blipFill>
                  <pic:spPr>
                    <a:xfrm>
                      <a:off x="0" y="0"/>
                      <a:ext cx="1676400" cy="971550"/>
                    </a:xfrm>
                    <a:prstGeom prst="rect">
                      <a:avLst/>
                    </a:prstGeom>
                  </pic:spPr>
                </pic:pic>
              </a:graphicData>
            </a:graphic>
          </wp:anchor>
        </w:drawing>
      </w:r>
      <w:r w:rsidR="00B108FD" w:rsidRPr="00B108FD">
        <w:rPr>
          <w:noProof/>
          <w:lang w:eastAsia="zh-CN"/>
        </w:rPr>
        <w:drawing>
          <wp:inline distT="0" distB="0" distL="0" distR="0" wp14:anchorId="2E07DC89" wp14:editId="7EA43866">
            <wp:extent cx="6096000" cy="32194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108FD" w:rsidRPr="00B108FD" w:rsidRDefault="00B108FD" w:rsidP="00466C73">
      <w:pPr>
        <w:jc w:val="center"/>
        <w:rPr>
          <w:rtl/>
          <w:lang w:bidi="ar"/>
        </w:rPr>
      </w:pPr>
      <w:r w:rsidRPr="00466C73">
        <w:rPr>
          <w:rFonts w:hint="cs"/>
          <w:sz w:val="18"/>
          <w:szCs w:val="26"/>
          <w:rtl/>
          <w:lang w:bidi="ar"/>
        </w:rPr>
        <w:t xml:space="preserve">المهلة التنظيمية بموجب الرقم </w:t>
      </w:r>
      <w:r w:rsidR="00466C73" w:rsidRPr="00466C73">
        <w:rPr>
          <w:b/>
          <w:bCs/>
          <w:sz w:val="18"/>
          <w:szCs w:val="26"/>
          <w:lang w:bidi="ar"/>
        </w:rPr>
        <w:t>38.9</w:t>
      </w:r>
      <w:r w:rsidRPr="00466C73">
        <w:rPr>
          <w:rFonts w:hint="cs"/>
          <w:sz w:val="18"/>
          <w:szCs w:val="26"/>
          <w:rtl/>
          <w:lang w:bidi="ar"/>
        </w:rPr>
        <w:t xml:space="preserve"> من لوائح الراديو: أربعة أشهر</w:t>
      </w:r>
    </w:p>
    <w:p w:rsidR="00B108FD" w:rsidRPr="00B108FD" w:rsidRDefault="00B108FD" w:rsidP="00466C73">
      <w:pPr>
        <w:pStyle w:val="FigureNo"/>
        <w:rPr>
          <w:rtl/>
        </w:rPr>
      </w:pPr>
      <w:r w:rsidRPr="00B108FD">
        <w:rPr>
          <w:rFonts w:hint="cs"/>
          <w:rtl/>
        </w:rPr>
        <w:lastRenderedPageBreak/>
        <w:t xml:space="preserve">الشكل </w:t>
      </w:r>
      <w:r w:rsidRPr="00B108FD">
        <w:rPr>
          <w:lang w:bidi="ar"/>
        </w:rPr>
        <w:t>5</w:t>
      </w:r>
    </w:p>
    <w:p w:rsidR="00B108FD" w:rsidRDefault="00B108FD" w:rsidP="00D91EF3">
      <w:pPr>
        <w:pStyle w:val="Figuretitle"/>
        <w:rPr>
          <w:rtl/>
        </w:rPr>
      </w:pPr>
      <w:r w:rsidRPr="00B108FD">
        <w:rPr>
          <w:rFonts w:hint="cs"/>
          <w:rtl/>
        </w:rPr>
        <w:t>بيانات إحصائية عن معالجة تبليغات عن تخصيصات ترددية للخدمات الفضائية خلال الفترة</w:t>
      </w:r>
      <w:r w:rsidR="00D91EF3">
        <w:rPr>
          <w:rFonts w:hint="eastAsia"/>
          <w:rtl/>
        </w:rPr>
        <w:t> </w:t>
      </w:r>
      <w:r w:rsidR="00D91EF3">
        <w:t>2008-2007</w:t>
      </w:r>
    </w:p>
    <w:p w:rsidR="00B76AD3" w:rsidRPr="009B1E20" w:rsidRDefault="00B76AD3" w:rsidP="00B76AD3">
      <w:pPr>
        <w:jc w:val="right"/>
        <w:rPr>
          <w:b/>
          <w:bCs/>
          <w:sz w:val="20"/>
          <w:szCs w:val="26"/>
          <w:rtl/>
        </w:rPr>
      </w:pPr>
      <w:r w:rsidRPr="009B1E20">
        <w:rPr>
          <w:rFonts w:hint="cs"/>
          <w:b/>
          <w:bCs/>
          <w:sz w:val="20"/>
          <w:szCs w:val="26"/>
          <w:rtl/>
        </w:rPr>
        <w:t>بالأشهر</w:t>
      </w:r>
      <w:r w:rsidR="009B1E20" w:rsidRPr="009B1E20">
        <w:rPr>
          <w:b/>
          <w:bCs/>
          <w:sz w:val="20"/>
          <w:szCs w:val="26"/>
          <w:rtl/>
        </w:rPr>
        <w:tab/>
      </w:r>
    </w:p>
    <w:p w:rsidR="00B108FD" w:rsidRPr="00B108FD" w:rsidRDefault="009F44CF" w:rsidP="00B13C64">
      <w:pPr>
        <w:jc w:val="center"/>
        <w:rPr>
          <w:rtl/>
        </w:rPr>
      </w:pPr>
      <w:r>
        <w:rPr>
          <w:rFonts w:hint="cs"/>
          <w:noProof/>
          <w:rtl/>
          <w:lang w:eastAsia="zh-CN"/>
        </w:rPr>
        <mc:AlternateContent>
          <mc:Choice Requires="wpg">
            <w:drawing>
              <wp:anchor distT="0" distB="0" distL="114300" distR="114300" simplePos="0" relativeHeight="251676672" behindDoc="0" locked="0" layoutInCell="1" allowOverlap="1" wp14:anchorId="1A81ECBF" wp14:editId="05642858">
                <wp:simplePos x="0" y="0"/>
                <wp:positionH relativeFrom="column">
                  <wp:posOffset>882622</wp:posOffset>
                </wp:positionH>
                <wp:positionV relativeFrom="paragraph">
                  <wp:posOffset>100707</wp:posOffset>
                </wp:positionV>
                <wp:extent cx="1061720" cy="928978"/>
                <wp:effectExtent l="0" t="0" r="5080" b="5080"/>
                <wp:wrapNone/>
                <wp:docPr id="25" name="Group 25"/>
                <wp:cNvGraphicFramePr/>
                <a:graphic xmlns:a="http://schemas.openxmlformats.org/drawingml/2006/main">
                  <a:graphicData uri="http://schemas.microsoft.com/office/word/2010/wordprocessingGroup">
                    <wpg:wgp>
                      <wpg:cNvGrpSpPr/>
                      <wpg:grpSpPr>
                        <a:xfrm>
                          <a:off x="0" y="0"/>
                          <a:ext cx="1061720" cy="928978"/>
                          <a:chOff x="0" y="-40193"/>
                          <a:chExt cx="1061720" cy="928978"/>
                        </a:xfrm>
                      </wpg:grpSpPr>
                      <wps:wsp>
                        <wps:cNvPr id="26" name="Text Box 26"/>
                        <wps:cNvSpPr txBox="1"/>
                        <wps:spPr>
                          <a:xfrm>
                            <a:off x="0" y="-40193"/>
                            <a:ext cx="10617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44CF" w:rsidRPr="005A251E" w:rsidRDefault="005A251E" w:rsidP="009B1E20">
                              <w:pPr>
                                <w:rPr>
                                  <w:sz w:val="16"/>
                                  <w:szCs w:val="20"/>
                                  <w:rtl/>
                                  <w:lang w:bidi="ar-EG"/>
                                </w:rPr>
                              </w:pPr>
                              <w:r w:rsidRPr="005A251E">
                                <w:rPr>
                                  <w:rFonts w:hint="cs"/>
                                  <w:sz w:val="16"/>
                                  <w:szCs w:val="20"/>
                                  <w:rtl/>
                                  <w:lang w:bidi="ar-EG"/>
                                </w:rPr>
                                <w:t>المادة </w:t>
                              </w:r>
                              <w:r w:rsidRPr="005A251E">
                                <w:rPr>
                                  <w:sz w:val="16"/>
                                  <w:szCs w:val="20"/>
                                  <w:lang w:bidi="ar-EG"/>
                                </w:rPr>
                                <w:t>9</w:t>
                              </w:r>
                              <w:r w:rsidRPr="005A251E">
                                <w:rPr>
                                  <w:rFonts w:hint="cs"/>
                                  <w:sz w:val="16"/>
                                  <w:szCs w:val="20"/>
                                  <w:rtl/>
                                  <w:lang w:bidi="ar-EG"/>
                                </w:rPr>
                                <w:t xml:space="preserve"> </w:t>
                              </w:r>
                              <w:r w:rsidR="009B1E20">
                                <w:rPr>
                                  <w:sz w:val="16"/>
                                  <w:szCs w:val="20"/>
                                  <w:lang w:bidi="ar-EG"/>
                                </w:rPr>
                                <w:t>CR/C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0" y="301450"/>
                            <a:ext cx="10617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44CF" w:rsidRPr="005A251E" w:rsidRDefault="005A251E" w:rsidP="009F44CF">
                              <w:pPr>
                                <w:rPr>
                                  <w:sz w:val="16"/>
                                  <w:szCs w:val="20"/>
                                  <w:rtl/>
                                  <w:lang w:bidi="ar-EG"/>
                                </w:rPr>
                              </w:pPr>
                              <w:r w:rsidRPr="005A251E">
                                <w:rPr>
                                  <w:rFonts w:hint="cs"/>
                                  <w:sz w:val="16"/>
                                  <w:szCs w:val="20"/>
                                  <w:rtl/>
                                  <w:lang w:bidi="ar-EG"/>
                                </w:rPr>
                                <w:t xml:space="preserve">التذييلان </w:t>
                              </w:r>
                              <w:r w:rsidRPr="005A251E">
                                <w:rPr>
                                  <w:sz w:val="16"/>
                                  <w:szCs w:val="20"/>
                                  <w:lang w:bidi="ar-EG"/>
                                </w:rPr>
                                <w:t>30A/30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0" y="648120"/>
                            <a:ext cx="106172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51E" w:rsidRPr="005A251E" w:rsidRDefault="005A251E" w:rsidP="005A251E">
                              <w:pPr>
                                <w:rPr>
                                  <w:sz w:val="16"/>
                                  <w:szCs w:val="20"/>
                                  <w:rtl/>
                                  <w:lang w:bidi="ar-EG"/>
                                </w:rPr>
                              </w:pPr>
                              <w:r w:rsidRPr="005A251E">
                                <w:rPr>
                                  <w:rFonts w:hint="cs"/>
                                  <w:sz w:val="16"/>
                                  <w:szCs w:val="20"/>
                                  <w:rtl/>
                                  <w:lang w:bidi="ar-EG"/>
                                </w:rPr>
                                <w:t xml:space="preserve">حد الرقم </w:t>
                              </w:r>
                              <w:r w:rsidRPr="005A251E">
                                <w:rPr>
                                  <w:sz w:val="16"/>
                                  <w:szCs w:val="20"/>
                                  <w:lang w:bidi="ar-EG"/>
                                </w:rPr>
                                <w:t>38.9</w:t>
                              </w:r>
                              <w:r w:rsidRPr="005A251E">
                                <w:rPr>
                                  <w:rFonts w:hint="cs"/>
                                  <w:sz w:val="16"/>
                                  <w:szCs w:val="20"/>
                                  <w:rtl/>
                                  <w:lang w:bidi="ar-EG"/>
                                </w:rPr>
                                <w:t xml:space="preserve"> من لوائح الراديو</w:t>
                              </w:r>
                            </w:p>
                            <w:p w:rsidR="005A251E" w:rsidRPr="005A251E" w:rsidRDefault="005A251E" w:rsidP="005A251E">
                              <w:pPr>
                                <w:rPr>
                                  <w:sz w:val="16"/>
                                  <w:szCs w:val="20"/>
                                  <w:lang w:bidi="ar-EG"/>
                                </w:rPr>
                              </w:pPr>
                            </w:p>
                            <w:p w:rsidR="009F44CF" w:rsidRPr="005A251E" w:rsidRDefault="009F44CF" w:rsidP="009F44CF">
                              <w:pPr>
                                <w:rPr>
                                  <w:sz w:val="16"/>
                                  <w:szCs w:val="20"/>
                                  <w:lang w:bidi="ar-EG"/>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A81ECBF" id="Group 25" o:spid="_x0000_s1040" style="position:absolute;left:0;text-align:left;margin-left:69.5pt;margin-top:7.95pt;width:83.6pt;height:73.15pt;z-index:251676672;mso-height-relative:margin" coordorigin=",-401" coordsize="10617,9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">
                <v:shape id="Text Box 26" o:spid="_x0000_s1041" type="#_x0000_t202" style="position:absolute;top:-401;width:10617;height:2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mgGMUA&#10;AADbAAAADwAAAGRycy9kb3ducmV2LnhtbESPQWvCQBSE7wX/w/KE3upGD1JSVylVoYe2VttCe3vN&#10;vibB7Nuw+4zx37tCweMwM98ws0XvGtVRiLVnA+NRBoq48Lbm0sDnx/ruHlQUZIuNZzJwogiL+eBm&#10;hrn1R95St5NSJQjHHA1UIm2udSwqchhHviVO3p8PDiXJUGob8JjgrtGTLJtqhzWnhQpbeqqo2O8O&#10;zkDzHcPLbyY/3bJ8lfeNPnytxm/G3A77xwdQQr1cw//tZ2tgMoXLl/QD9Pw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WaAYxQAAANsAAAAPAAAAAAAAAAAAAAAAAJgCAABkcnMv&#10;ZG93bnJldi54bWxQSwUGAAAAAAQABAD1AAAAigMAAAAA&#10;" filled="f" stroked="f" strokeweight=".5pt">
                  <v:textbox inset="0,0,0,0">
                    <w:txbxContent>
                      <w:p w:rsidR="009F44CF" w:rsidRPr="005A251E" w:rsidRDefault="005A251E" w:rsidP="009B1E20">
                        <w:pPr>
                          <w:rPr>
                            <w:rFonts w:hint="cs"/>
                            <w:sz w:val="16"/>
                            <w:szCs w:val="20"/>
                            <w:rtl/>
                            <w:lang w:bidi="ar-EG"/>
                          </w:rPr>
                        </w:pPr>
                        <w:r w:rsidRPr="005A251E">
                          <w:rPr>
                            <w:rFonts w:hint="cs"/>
                            <w:sz w:val="16"/>
                            <w:szCs w:val="20"/>
                            <w:rtl/>
                            <w:lang w:bidi="ar-EG"/>
                          </w:rPr>
                          <w:t>المادة </w:t>
                        </w:r>
                        <w:r w:rsidRPr="005A251E">
                          <w:rPr>
                            <w:sz w:val="16"/>
                            <w:szCs w:val="20"/>
                            <w:lang w:bidi="ar-EG"/>
                          </w:rPr>
                          <w:t>9</w:t>
                        </w:r>
                        <w:r w:rsidRPr="005A251E">
                          <w:rPr>
                            <w:rFonts w:hint="cs"/>
                            <w:sz w:val="16"/>
                            <w:szCs w:val="20"/>
                            <w:rtl/>
                            <w:lang w:bidi="ar-EG"/>
                          </w:rPr>
                          <w:t xml:space="preserve"> </w:t>
                        </w:r>
                        <w:r w:rsidR="009B1E20">
                          <w:rPr>
                            <w:sz w:val="16"/>
                            <w:szCs w:val="20"/>
                            <w:lang w:bidi="ar-EG"/>
                          </w:rPr>
                          <w:t>CR/C</w:t>
                        </w:r>
                      </w:p>
                    </w:txbxContent>
                  </v:textbox>
                </v:shape>
                <v:shape id="Text Box 27" o:spid="_x0000_s1042" type="#_x0000_t202" style="position:absolute;top:3014;width:10617;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Fg8YA&#10;AADbAAAADwAAAGRycy9kb3ducmV2LnhtbESPT2vCQBTE7wW/w/IEb3WjB1tSVxHbQg/9p7ZQb8/s&#10;Mwlm34bdZ0y/fbdQ6HGYmd8w82XvGtVRiLVnA5NxBoq48Lbm0sDH7vH6FlQUZIuNZzLwTRGWi8HV&#10;HHPrL7yhbiulShCOORqoRNpc61hU5DCOfUucvKMPDiXJUGob8JLgrtHTLJtphzWnhQpbWldUnLZn&#10;Z6D5iuH5kMm+uy9f5P1Nnz8fJq/GjIb96g6UUC//4b/2kzUwvYHfL+kH6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UFg8YAAADbAAAADwAAAAAAAAAAAAAAAACYAgAAZHJz&#10;L2Rvd25yZXYueG1sUEsFBgAAAAAEAAQA9QAAAIsDAAAAAA==&#10;" filled="f" stroked="f" strokeweight=".5pt">
                  <v:textbox inset="0,0,0,0">
                    <w:txbxContent>
                      <w:p w:rsidR="009F44CF" w:rsidRPr="005A251E" w:rsidRDefault="005A251E" w:rsidP="009F44CF">
                        <w:pPr>
                          <w:rPr>
                            <w:sz w:val="16"/>
                            <w:szCs w:val="20"/>
                            <w:rtl/>
                            <w:lang w:bidi="ar-EG"/>
                          </w:rPr>
                        </w:pPr>
                        <w:r w:rsidRPr="005A251E">
                          <w:rPr>
                            <w:rFonts w:hint="cs"/>
                            <w:sz w:val="16"/>
                            <w:szCs w:val="20"/>
                            <w:rtl/>
                            <w:lang w:bidi="ar-EG"/>
                          </w:rPr>
                          <w:t xml:space="preserve">التذييلان </w:t>
                        </w:r>
                        <w:r w:rsidRPr="005A251E">
                          <w:rPr>
                            <w:sz w:val="16"/>
                            <w:szCs w:val="20"/>
                            <w:lang w:bidi="ar-EG"/>
                          </w:rPr>
                          <w:t>30A/30</w:t>
                        </w:r>
                      </w:p>
                    </w:txbxContent>
                  </v:textbox>
                </v:shape>
                <v:shape id="Text Box 28" o:spid="_x0000_s1043" type="#_x0000_t202" style="position:absolute;top:6481;width:10617;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5A251E" w:rsidRPr="005A251E" w:rsidRDefault="005A251E" w:rsidP="005A251E">
                        <w:pPr>
                          <w:rPr>
                            <w:sz w:val="16"/>
                            <w:szCs w:val="20"/>
                            <w:rtl/>
                            <w:lang w:bidi="ar-EG"/>
                          </w:rPr>
                        </w:pPr>
                        <w:r w:rsidRPr="005A251E">
                          <w:rPr>
                            <w:rFonts w:hint="cs"/>
                            <w:sz w:val="16"/>
                            <w:szCs w:val="20"/>
                            <w:rtl/>
                            <w:lang w:bidi="ar-EG"/>
                          </w:rPr>
                          <w:t xml:space="preserve">حد الرقم </w:t>
                        </w:r>
                        <w:r w:rsidRPr="005A251E">
                          <w:rPr>
                            <w:sz w:val="16"/>
                            <w:szCs w:val="20"/>
                            <w:lang w:bidi="ar-EG"/>
                          </w:rPr>
                          <w:t>38.9</w:t>
                        </w:r>
                        <w:r w:rsidRPr="005A251E">
                          <w:rPr>
                            <w:rFonts w:hint="cs"/>
                            <w:sz w:val="16"/>
                            <w:szCs w:val="20"/>
                            <w:rtl/>
                            <w:lang w:bidi="ar-EG"/>
                          </w:rPr>
                          <w:t xml:space="preserve"> من لوائح الراديو</w:t>
                        </w:r>
                      </w:p>
                      <w:p w:rsidR="005A251E" w:rsidRPr="005A251E" w:rsidRDefault="005A251E" w:rsidP="005A251E">
                        <w:pPr>
                          <w:rPr>
                            <w:sz w:val="16"/>
                            <w:szCs w:val="20"/>
                            <w:lang w:bidi="ar-EG"/>
                          </w:rPr>
                        </w:pPr>
                      </w:p>
                      <w:p w:rsidR="009F44CF" w:rsidRPr="005A251E" w:rsidRDefault="009F44CF" w:rsidP="009F44CF">
                        <w:pPr>
                          <w:rPr>
                            <w:sz w:val="16"/>
                            <w:szCs w:val="20"/>
                            <w:lang w:bidi="ar-EG"/>
                          </w:rPr>
                        </w:pPr>
                      </w:p>
                    </w:txbxContent>
                  </v:textbox>
                </v:shape>
              </v:group>
            </w:pict>
          </mc:Fallback>
        </mc:AlternateContent>
      </w:r>
      <w:r w:rsidR="00466C73">
        <w:rPr>
          <w:rFonts w:hint="cs"/>
          <w:noProof/>
          <w:rtl/>
          <w:lang w:eastAsia="zh-CN"/>
        </w:rPr>
        <w:drawing>
          <wp:anchor distT="0" distB="0" distL="114300" distR="114300" simplePos="0" relativeHeight="251674624" behindDoc="0" locked="0" layoutInCell="1" allowOverlap="1" wp14:anchorId="0D9AC354" wp14:editId="05441FF2">
            <wp:simplePos x="0" y="0"/>
            <wp:positionH relativeFrom="column">
              <wp:posOffset>882015</wp:posOffset>
            </wp:positionH>
            <wp:positionV relativeFrom="paragraph">
              <wp:posOffset>100700</wp:posOffset>
            </wp:positionV>
            <wp:extent cx="1638300" cy="100012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080A2.png"/>
                    <pic:cNvPicPr/>
                  </pic:nvPicPr>
                  <pic:blipFill>
                    <a:blip r:embed="rId65">
                      <a:extLst>
                        <a:ext uri="{28A0092B-C50C-407E-A947-70E740481C1C}">
                          <a14:useLocalDpi xmlns:a14="http://schemas.microsoft.com/office/drawing/2010/main" val="0"/>
                        </a:ext>
                      </a:extLst>
                    </a:blip>
                    <a:stretch>
                      <a:fillRect/>
                    </a:stretch>
                  </pic:blipFill>
                  <pic:spPr>
                    <a:xfrm>
                      <a:off x="0" y="0"/>
                      <a:ext cx="1638300" cy="1000125"/>
                    </a:xfrm>
                    <a:prstGeom prst="rect">
                      <a:avLst/>
                    </a:prstGeom>
                  </pic:spPr>
                </pic:pic>
              </a:graphicData>
            </a:graphic>
          </wp:anchor>
        </w:drawing>
      </w:r>
      <w:r w:rsidR="00B108FD" w:rsidRPr="00B108FD">
        <w:rPr>
          <w:noProof/>
          <w:lang w:eastAsia="zh-CN"/>
        </w:rPr>
        <w:drawing>
          <wp:inline distT="0" distB="0" distL="0" distR="0" wp14:anchorId="7D14AFF1" wp14:editId="1DAE9961">
            <wp:extent cx="5734050" cy="311467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B108FD" w:rsidRPr="00B108FD" w:rsidRDefault="00466C73" w:rsidP="00466C73">
      <w:pPr>
        <w:jc w:val="center"/>
        <w:rPr>
          <w:rtl/>
          <w:lang w:bidi="ar"/>
        </w:rPr>
      </w:pPr>
      <w:r w:rsidRPr="00466C73">
        <w:rPr>
          <w:rFonts w:hint="cs"/>
          <w:sz w:val="18"/>
          <w:szCs w:val="26"/>
          <w:rtl/>
          <w:lang w:bidi="ar"/>
        </w:rPr>
        <w:t xml:space="preserve">المهلة التنظيمية بموجب الرقم </w:t>
      </w:r>
      <w:r w:rsidRPr="00466C73">
        <w:rPr>
          <w:b/>
          <w:bCs/>
          <w:sz w:val="18"/>
          <w:szCs w:val="26"/>
          <w:lang w:bidi="ar"/>
        </w:rPr>
        <w:t>38.9</w:t>
      </w:r>
      <w:r w:rsidRPr="00466C73">
        <w:rPr>
          <w:rFonts w:hint="cs"/>
          <w:sz w:val="18"/>
          <w:szCs w:val="26"/>
          <w:rtl/>
          <w:lang w:bidi="ar"/>
        </w:rPr>
        <w:t xml:space="preserve"> من لوائح الراديو: أربعة أشهر</w:t>
      </w:r>
    </w:p>
    <w:p w:rsidR="00B108FD" w:rsidRPr="00B108FD" w:rsidRDefault="00B108FD" w:rsidP="00466C73">
      <w:pPr>
        <w:pStyle w:val="Heading1"/>
        <w:rPr>
          <w:rtl/>
        </w:rPr>
      </w:pPr>
      <w:r w:rsidRPr="00B108FD">
        <w:t>3</w:t>
      </w:r>
      <w:r w:rsidRPr="00B108FD">
        <w:rPr>
          <w:rtl/>
        </w:rPr>
        <w:tab/>
      </w:r>
      <w:r w:rsidRPr="00B108FD">
        <w:rPr>
          <w:rFonts w:hint="cs"/>
          <w:rtl/>
        </w:rPr>
        <w:t>الاستنتاجات</w:t>
      </w:r>
    </w:p>
    <w:p w:rsidR="00B108FD" w:rsidRPr="00B108FD" w:rsidRDefault="00B108FD" w:rsidP="00D91EF3">
      <w:pPr>
        <w:rPr>
          <w:rtl/>
          <w:lang w:bidi="ar"/>
        </w:rPr>
      </w:pPr>
      <w:r w:rsidRPr="00B108FD">
        <w:rPr>
          <w:rFonts w:hint="cs"/>
          <w:rtl/>
          <w:lang w:bidi="ar"/>
        </w:rPr>
        <w:t xml:space="preserve">يمكن أن يلاحَظ من خلال التحليل الذي أجري أن المشاكل المحددة أعلاه ترجع بقدر كبير إلى خفض الموارد المالية والبشرية المتاحة لقطاع الاتصالات الراديوية في السنوات الأخيرة (بما في ذلك الخفض الحاد في </w:t>
      </w:r>
      <w:r w:rsidR="00D91EF3">
        <w:rPr>
          <w:rFonts w:hint="cs"/>
          <w:rtl/>
          <w:lang w:bidi="ar"/>
        </w:rPr>
        <w:t>القوة</w:t>
      </w:r>
      <w:r w:rsidRPr="00B108FD">
        <w:rPr>
          <w:rFonts w:hint="cs"/>
          <w:rtl/>
          <w:lang w:bidi="ar"/>
        </w:rPr>
        <w:t xml:space="preserve"> العاملة في مكتب الاتصالات الراديوية)، بحيث تدعو الحاجة لاتخاذ تدابير سريعة لضمان تحقيق الأهداف المتزايدة التعقيد.</w:t>
      </w:r>
    </w:p>
    <w:p w:rsidR="00B108FD" w:rsidRPr="00BF6589" w:rsidRDefault="00B108FD" w:rsidP="00BF6589">
      <w:pPr>
        <w:rPr>
          <w:spacing w:val="6"/>
          <w:rtl/>
          <w:lang w:bidi="ar"/>
        </w:rPr>
      </w:pPr>
      <w:r w:rsidRPr="00BF6589">
        <w:rPr>
          <w:rFonts w:hint="cs"/>
          <w:spacing w:val="6"/>
          <w:rtl/>
          <w:lang w:bidi="ar"/>
        </w:rPr>
        <w:t>ونرى أننا ينبغي أن نسترشد بميزانية الفترة</w:t>
      </w:r>
      <w:r w:rsidR="00466C73" w:rsidRPr="00BF6589">
        <w:rPr>
          <w:rFonts w:hint="eastAsia"/>
          <w:spacing w:val="6"/>
          <w:rtl/>
          <w:lang w:bidi="ar"/>
        </w:rPr>
        <w:t> </w:t>
      </w:r>
      <w:r w:rsidR="00466C73" w:rsidRPr="00BF6589">
        <w:rPr>
          <w:spacing w:val="6"/>
          <w:lang w:bidi="ar"/>
        </w:rPr>
        <w:t>2015-2014</w:t>
      </w:r>
      <w:r w:rsidR="00466C73" w:rsidRPr="00BF6589">
        <w:rPr>
          <w:rFonts w:hint="cs"/>
          <w:spacing w:val="6"/>
          <w:rtl/>
          <w:lang w:bidi="ar"/>
        </w:rPr>
        <w:t xml:space="preserve"> </w:t>
      </w:r>
      <w:r w:rsidRPr="00BF6589">
        <w:rPr>
          <w:rFonts w:hint="cs"/>
          <w:spacing w:val="6"/>
          <w:rtl/>
          <w:lang w:bidi="ar"/>
        </w:rPr>
        <w:t>عند وضع ميزانية الفترة</w:t>
      </w:r>
      <w:r w:rsidR="00466C73" w:rsidRPr="00BF6589">
        <w:rPr>
          <w:rFonts w:hint="eastAsia"/>
          <w:spacing w:val="6"/>
          <w:rtl/>
          <w:lang w:bidi="ar"/>
        </w:rPr>
        <w:t> </w:t>
      </w:r>
      <w:r w:rsidR="00466C73" w:rsidRPr="00BF6589">
        <w:rPr>
          <w:spacing w:val="6"/>
          <w:lang w:bidi="ar"/>
        </w:rPr>
        <w:t>2019-2018</w:t>
      </w:r>
      <w:r w:rsidR="00466C73" w:rsidRPr="00BF6589">
        <w:rPr>
          <w:rFonts w:hint="cs"/>
          <w:spacing w:val="6"/>
          <w:rtl/>
          <w:lang w:bidi="ar"/>
        </w:rPr>
        <w:t xml:space="preserve"> </w:t>
      </w:r>
      <w:r w:rsidRPr="00BF6589">
        <w:rPr>
          <w:rFonts w:hint="cs"/>
          <w:spacing w:val="6"/>
          <w:rtl/>
          <w:lang w:bidi="ar"/>
        </w:rPr>
        <w:t>لقطاع الاتصالات الراديوية من أجل ضمان استقرار عمل هذا القطاع؛ وقد بلغت ميزانية قطاع الاتصالات الراديوية خلال الفترة</w:t>
      </w:r>
      <w:r w:rsidR="00466C73" w:rsidRPr="00BF6589">
        <w:rPr>
          <w:rFonts w:hint="eastAsia"/>
          <w:spacing w:val="6"/>
          <w:rtl/>
          <w:lang w:bidi="ar"/>
        </w:rPr>
        <w:t> </w:t>
      </w:r>
      <w:r w:rsidR="00466C73" w:rsidRPr="00BF6589">
        <w:rPr>
          <w:spacing w:val="6"/>
          <w:lang w:bidi="ar"/>
        </w:rPr>
        <w:t>2015</w:t>
      </w:r>
      <w:r w:rsidR="00BF6589">
        <w:rPr>
          <w:spacing w:val="6"/>
          <w:lang w:bidi="ar"/>
        </w:rPr>
        <w:noBreakHyphen/>
      </w:r>
      <w:r w:rsidR="00466C73" w:rsidRPr="00BF6589">
        <w:rPr>
          <w:spacing w:val="6"/>
          <w:lang w:bidi="ar"/>
        </w:rPr>
        <w:t>2014</w:t>
      </w:r>
      <w:r w:rsidRPr="00BF6589">
        <w:rPr>
          <w:rFonts w:hint="cs"/>
          <w:spacing w:val="6"/>
          <w:rtl/>
          <w:lang w:bidi="ar"/>
        </w:rPr>
        <w:t xml:space="preserve">، </w:t>
      </w:r>
      <w:r w:rsidR="00466C73" w:rsidRPr="00BF6589">
        <w:rPr>
          <w:spacing w:val="6"/>
          <w:lang w:bidi="ar"/>
        </w:rPr>
        <w:t>62 202 000</w:t>
      </w:r>
      <w:r w:rsidR="00466C73" w:rsidRPr="00BF6589">
        <w:rPr>
          <w:rFonts w:hint="eastAsia"/>
          <w:spacing w:val="6"/>
          <w:rtl/>
          <w:lang w:bidi="ar-EG"/>
        </w:rPr>
        <w:t> </w:t>
      </w:r>
      <w:r w:rsidRPr="00BF6589">
        <w:rPr>
          <w:rFonts w:hint="cs"/>
          <w:spacing w:val="6"/>
          <w:rtl/>
          <w:lang w:bidi="ar"/>
        </w:rPr>
        <w:t>فرنك سويسري.</w:t>
      </w:r>
    </w:p>
    <w:p w:rsidR="00B108FD" w:rsidRPr="00B108FD" w:rsidRDefault="00466C73" w:rsidP="00466C73">
      <w:pPr>
        <w:pStyle w:val="Heading1"/>
        <w:rPr>
          <w:rtl/>
        </w:rPr>
      </w:pPr>
      <w:r>
        <w:t>4</w:t>
      </w:r>
      <w:r w:rsidR="00B108FD" w:rsidRPr="00B108FD">
        <w:rPr>
          <w:rFonts w:hint="cs"/>
          <w:rtl/>
        </w:rPr>
        <w:tab/>
        <w:t>مقترحات للمجلس</w:t>
      </w:r>
    </w:p>
    <w:p w:rsidR="00B108FD" w:rsidRPr="00B108FD" w:rsidRDefault="00B108FD" w:rsidP="009B1E20">
      <w:pPr>
        <w:rPr>
          <w:rtl/>
          <w:lang w:bidi="ar"/>
        </w:rPr>
      </w:pPr>
      <w:r w:rsidRPr="00B108FD">
        <w:rPr>
          <w:rFonts w:hint="cs"/>
          <w:rtl/>
          <w:lang w:bidi="ar"/>
        </w:rPr>
        <w:t xml:space="preserve">إذ توضع في الاعتبار الأهمية الكبرى لأنشطة قطاع الاتصالات الراديوية بالنسبة لجميع الدول الأعضاء في الاتحاد (النامية والمتقدمة </w:t>
      </w:r>
      <w:r w:rsidR="00D91EF3">
        <w:rPr>
          <w:rFonts w:hint="cs"/>
          <w:rtl/>
          <w:lang w:bidi="ar"/>
        </w:rPr>
        <w:t>على السواء</w:t>
      </w:r>
      <w:r w:rsidR="009B1E20">
        <w:rPr>
          <w:rFonts w:hint="cs"/>
          <w:rtl/>
          <w:lang w:bidi="ar"/>
        </w:rPr>
        <w:t>)</w:t>
      </w:r>
      <w:r w:rsidR="00D91EF3">
        <w:rPr>
          <w:rFonts w:hint="cs"/>
          <w:rtl/>
          <w:lang w:bidi="ar"/>
        </w:rPr>
        <w:t xml:space="preserve"> </w:t>
      </w:r>
      <w:r w:rsidRPr="00B108FD">
        <w:rPr>
          <w:rFonts w:hint="cs"/>
          <w:rtl/>
          <w:lang w:bidi="ar"/>
        </w:rPr>
        <w:t>ولأعضاء القطاع ومشغلي الاتصالات ومصنعي معدات الاتصالات الراديوية، ودورها الحاسم في تعزيز كفاءة استخدام الطيف والمدارات الساتلية، ودورها في تنفيذ برنامج</w:t>
      </w:r>
      <w:r w:rsidRPr="00B108FD">
        <w:rPr>
          <w:rtl/>
          <w:lang w:bidi="ar"/>
        </w:rPr>
        <w:t xml:space="preserve"> </w:t>
      </w:r>
      <w:r w:rsidRPr="00B108FD">
        <w:rPr>
          <w:rFonts w:hint="cs"/>
          <w:rtl/>
          <w:lang w:bidi="ar"/>
        </w:rPr>
        <w:t>"التوصيل</w:t>
      </w:r>
      <w:r w:rsidR="006F1083">
        <w:rPr>
          <w:rFonts w:hint="eastAsia"/>
          <w:rtl/>
          <w:lang w:bidi="ar"/>
        </w:rPr>
        <w:t xml:space="preserve"> في عام </w:t>
      </w:r>
      <w:r w:rsidR="00466C73">
        <w:rPr>
          <w:lang w:bidi="ar"/>
        </w:rPr>
        <w:t>2020</w:t>
      </w:r>
      <w:r w:rsidRPr="00B108FD">
        <w:rPr>
          <w:rFonts w:hint="cs"/>
          <w:rtl/>
          <w:lang w:bidi="ar"/>
        </w:rPr>
        <w:t xml:space="preserve">" من أجل </w:t>
      </w:r>
      <w:r w:rsidR="00D91EF3">
        <w:rPr>
          <w:rFonts w:hint="cs"/>
          <w:rtl/>
          <w:lang w:bidi="ar"/>
        </w:rPr>
        <w:t>ال</w:t>
      </w:r>
      <w:r w:rsidRPr="00B108FD">
        <w:rPr>
          <w:rFonts w:hint="cs"/>
          <w:rtl/>
          <w:lang w:bidi="ar"/>
        </w:rPr>
        <w:t xml:space="preserve">تنمية </w:t>
      </w:r>
      <w:r w:rsidR="00D91EF3">
        <w:rPr>
          <w:rFonts w:hint="cs"/>
          <w:rtl/>
          <w:lang w:bidi="ar"/>
        </w:rPr>
        <w:t>العالمية ل</w:t>
      </w:r>
      <w:r w:rsidRPr="00B108FD">
        <w:rPr>
          <w:rFonts w:hint="cs"/>
          <w:rtl/>
          <w:lang w:bidi="ar"/>
        </w:rPr>
        <w:t xml:space="preserve">لاتصالات/تكنولوجيا المعلومات والاتصالات، وفي وضع معايير الجيل الخامس للاتصالات المتنقلة من أجل تعزيز تطوير أنظمة الاتصالات الراديوية المتنقلة واستخدامها في المستقبل، وما إلى ذلك، </w:t>
      </w:r>
      <w:r w:rsidR="00D91EF3">
        <w:rPr>
          <w:rFonts w:hint="cs"/>
          <w:rtl/>
          <w:lang w:bidi="ar"/>
        </w:rPr>
        <w:t xml:space="preserve">يُرجى من </w:t>
      </w:r>
      <w:r w:rsidRPr="00B108FD">
        <w:rPr>
          <w:rFonts w:hint="cs"/>
          <w:rtl/>
          <w:lang w:bidi="ar"/>
        </w:rPr>
        <w:t xml:space="preserve">المجلس </w:t>
      </w:r>
      <w:r w:rsidR="00D91EF3">
        <w:rPr>
          <w:rFonts w:hint="cs"/>
          <w:rtl/>
          <w:lang w:bidi="ar"/>
        </w:rPr>
        <w:t>القيام ب</w:t>
      </w:r>
      <w:r w:rsidRPr="00B108FD">
        <w:rPr>
          <w:rFonts w:hint="cs"/>
          <w:rtl/>
          <w:lang w:bidi="ar"/>
        </w:rPr>
        <w:t>ما يلي:</w:t>
      </w:r>
    </w:p>
    <w:p w:rsidR="00B108FD" w:rsidRPr="00B108FD" w:rsidRDefault="00466C73" w:rsidP="009B1E20">
      <w:pPr>
        <w:pStyle w:val="enumlev1"/>
        <w:keepNext/>
        <w:rPr>
          <w:rtl/>
          <w:lang w:bidi="ar"/>
        </w:rPr>
      </w:pPr>
      <w:r>
        <w:rPr>
          <w:lang w:bidi="ar"/>
        </w:rPr>
        <w:lastRenderedPageBreak/>
        <w:t>(1</w:t>
      </w:r>
      <w:r>
        <w:rPr>
          <w:lang w:bidi="ar"/>
        </w:rPr>
        <w:tab/>
      </w:r>
      <w:r w:rsidR="00B108FD" w:rsidRPr="00B108FD">
        <w:rPr>
          <w:rFonts w:hint="cs"/>
          <w:rtl/>
          <w:lang w:bidi="ar"/>
        </w:rPr>
        <w:t>تعديل مشروع ميزانية الفترة</w:t>
      </w:r>
      <w:r>
        <w:rPr>
          <w:rFonts w:hint="eastAsia"/>
          <w:rtl/>
          <w:lang w:bidi="ar"/>
        </w:rPr>
        <w:t> </w:t>
      </w:r>
      <w:r>
        <w:rPr>
          <w:lang w:bidi="ar"/>
        </w:rPr>
        <w:t>2019-2018</w:t>
      </w:r>
      <w:r>
        <w:rPr>
          <w:rFonts w:hint="cs"/>
          <w:rtl/>
          <w:lang w:bidi="ar"/>
        </w:rPr>
        <w:t xml:space="preserve"> </w:t>
      </w:r>
      <w:r w:rsidR="00B108FD" w:rsidRPr="00B108FD">
        <w:rPr>
          <w:rFonts w:hint="cs"/>
          <w:rtl/>
          <w:lang w:bidi="ar"/>
        </w:rPr>
        <w:t xml:space="preserve">بهدف زيادة ميزانية قطاع الاتصالات الراديوية </w:t>
      </w:r>
      <w:r w:rsidR="00D91EF3">
        <w:rPr>
          <w:rFonts w:hint="cs"/>
          <w:rtl/>
          <w:lang w:bidi="ar"/>
        </w:rPr>
        <w:t>لإزالة</w:t>
      </w:r>
      <w:r w:rsidR="00B108FD" w:rsidRPr="00B108FD">
        <w:rPr>
          <w:rFonts w:hint="cs"/>
          <w:rtl/>
          <w:lang w:bidi="ar"/>
        </w:rPr>
        <w:t xml:space="preserve"> الاختلال القائم بين حجم المهام الملقاة على عاتق قطاع الاتصالات الراديوية والموارد المتاحة للتعامل مع تلك المهام.</w:t>
      </w:r>
    </w:p>
    <w:p w:rsidR="00B108FD" w:rsidRPr="00B108FD" w:rsidRDefault="00466C73" w:rsidP="00D91EF3">
      <w:pPr>
        <w:pStyle w:val="enumlev1"/>
        <w:rPr>
          <w:rtl/>
          <w:lang w:bidi="ar"/>
        </w:rPr>
      </w:pPr>
      <w:r>
        <w:rPr>
          <w:lang w:bidi="ar"/>
        </w:rPr>
        <w:t>(2</w:t>
      </w:r>
      <w:r>
        <w:rPr>
          <w:lang w:bidi="ar"/>
        </w:rPr>
        <w:tab/>
      </w:r>
      <w:r w:rsidR="00B108FD" w:rsidRPr="00B108FD">
        <w:rPr>
          <w:rFonts w:hint="cs"/>
          <w:rtl/>
          <w:lang w:bidi="ar"/>
        </w:rPr>
        <w:t xml:space="preserve">تكليف مدير مكتب الاتصالات الراديوية باعتماد تدابير عاجلة لاستعادة مستويات التوظيف في مكتب الاتصالات الراديوية إلى المستوى اللازم لمكتب الاتصالات الراديوية للقيام </w:t>
      </w:r>
      <w:r w:rsidR="00D91EF3">
        <w:rPr>
          <w:rFonts w:hint="cs"/>
          <w:rtl/>
          <w:lang w:bidi="ar"/>
        </w:rPr>
        <w:t>بولايته</w:t>
      </w:r>
      <w:r w:rsidR="00B108FD" w:rsidRPr="00B108FD">
        <w:rPr>
          <w:rFonts w:hint="cs"/>
          <w:rtl/>
          <w:lang w:bidi="ar"/>
        </w:rPr>
        <w:t xml:space="preserve"> بالكامل.</w:t>
      </w:r>
    </w:p>
    <w:p w:rsidR="00B108FD" w:rsidRPr="00D91EF3" w:rsidRDefault="00466C73" w:rsidP="00D91EF3">
      <w:pPr>
        <w:pStyle w:val="enumlev1"/>
        <w:rPr>
          <w:spacing w:val="2"/>
          <w:rtl/>
          <w:lang w:bidi="ar"/>
        </w:rPr>
      </w:pPr>
      <w:r w:rsidRPr="00D91EF3">
        <w:rPr>
          <w:spacing w:val="2"/>
          <w:lang w:bidi="ar"/>
        </w:rPr>
        <w:t>(3</w:t>
      </w:r>
      <w:r w:rsidRPr="00D91EF3">
        <w:rPr>
          <w:spacing w:val="2"/>
          <w:lang w:bidi="ar"/>
        </w:rPr>
        <w:tab/>
      </w:r>
      <w:r w:rsidR="00B108FD" w:rsidRPr="00D91EF3">
        <w:rPr>
          <w:rFonts w:hint="cs"/>
          <w:spacing w:val="2"/>
          <w:rtl/>
          <w:lang w:bidi="ar"/>
        </w:rPr>
        <w:t xml:space="preserve">تكليف مدير مكتب الاتصالات الراديوية باعتماد تدابير لإنهاء التأخيرات في معالجة بطاقات التبليغ عن تخصيصات </w:t>
      </w:r>
      <w:r w:rsidR="00D91EF3">
        <w:rPr>
          <w:rFonts w:hint="cs"/>
          <w:spacing w:val="2"/>
          <w:rtl/>
          <w:lang w:bidi="ar"/>
        </w:rPr>
        <w:t>الترددات</w:t>
      </w:r>
      <w:r w:rsidR="00B108FD" w:rsidRPr="00D91EF3">
        <w:rPr>
          <w:rFonts w:hint="cs"/>
          <w:spacing w:val="2"/>
          <w:rtl/>
          <w:lang w:bidi="ar"/>
        </w:rPr>
        <w:t>.</w:t>
      </w:r>
    </w:p>
    <w:p w:rsidR="00B108FD" w:rsidRPr="00B108FD" w:rsidRDefault="00466C73" w:rsidP="006F1083">
      <w:pPr>
        <w:pStyle w:val="enumlev1"/>
        <w:rPr>
          <w:rtl/>
          <w:lang w:bidi="ar"/>
        </w:rPr>
      </w:pPr>
      <w:r>
        <w:rPr>
          <w:lang w:bidi="ar"/>
        </w:rPr>
        <w:t>(4</w:t>
      </w:r>
      <w:r>
        <w:rPr>
          <w:lang w:bidi="ar"/>
        </w:rPr>
        <w:tab/>
      </w:r>
      <w:r w:rsidR="00B108FD" w:rsidRPr="00B108FD">
        <w:rPr>
          <w:rFonts w:hint="cs"/>
          <w:rtl/>
          <w:lang w:bidi="ar"/>
        </w:rPr>
        <w:t>تكليف مدير مكتب الاتصالات الراديوية بأن يقدم تقريراً عن التدابير المعتمدة والنتائج في دورة المجلس لعام</w:t>
      </w:r>
      <w:r w:rsidR="006F1083">
        <w:rPr>
          <w:rFonts w:hint="eastAsia"/>
          <w:rtl/>
          <w:lang w:bidi="ar"/>
        </w:rPr>
        <w:t> </w:t>
      </w:r>
      <w:r w:rsidR="00D91EF3">
        <w:rPr>
          <w:lang w:bidi="ar"/>
        </w:rPr>
        <w:t>2018</w:t>
      </w:r>
      <w:r w:rsidR="00B108FD" w:rsidRPr="00B108FD">
        <w:rPr>
          <w:rFonts w:hint="cs"/>
          <w:rtl/>
          <w:lang w:bidi="ar"/>
        </w:rPr>
        <w:t xml:space="preserve"> </w:t>
      </w:r>
      <w:r w:rsidR="00D91EF3">
        <w:rPr>
          <w:rFonts w:hint="cs"/>
          <w:rtl/>
          <w:lang w:bidi="ar"/>
        </w:rPr>
        <w:t xml:space="preserve">بغية </w:t>
      </w:r>
      <w:r w:rsidR="00B108FD" w:rsidRPr="00B108FD">
        <w:rPr>
          <w:rFonts w:hint="cs"/>
          <w:rtl/>
          <w:lang w:bidi="ar"/>
        </w:rPr>
        <w:t xml:space="preserve">رفعه لاحقاً إلى مؤتمر المندوبين المفوضين لعام </w:t>
      </w:r>
      <w:r w:rsidR="00D91EF3">
        <w:rPr>
          <w:lang w:bidi="ar"/>
        </w:rPr>
        <w:t>2018</w:t>
      </w:r>
      <w:r w:rsidR="00B108FD" w:rsidRPr="00B108FD">
        <w:rPr>
          <w:rFonts w:hint="cs"/>
          <w:rtl/>
          <w:lang w:bidi="ar"/>
        </w:rPr>
        <w:t>.</w:t>
      </w:r>
    </w:p>
    <w:p w:rsidR="00FB1C73" w:rsidRPr="00FB1C73" w:rsidRDefault="00FB1C73" w:rsidP="00FB1C73">
      <w:pPr>
        <w:spacing w:before="600"/>
        <w:jc w:val="center"/>
        <w:rPr>
          <w:rtl/>
          <w:lang w:bidi="ar-EG"/>
        </w:rPr>
      </w:pPr>
      <w:r w:rsidRPr="00FB1C73">
        <w:rPr>
          <w:rFonts w:hint="cs"/>
          <w:rtl/>
          <w:lang w:bidi="ar-EG"/>
        </w:rPr>
        <w:t>___________</w:t>
      </w:r>
    </w:p>
    <w:sectPr w:rsidR="00FB1C73" w:rsidRPr="00FB1C73" w:rsidSect="008B5B5D">
      <w:headerReference w:type="default" r:id="rId67"/>
      <w:footerReference w:type="default" r:id="rId68"/>
      <w:footerReference w:type="first" r:id="rId6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36" w:rsidRDefault="008C3F36" w:rsidP="00E07379">
      <w:pPr>
        <w:spacing w:before="0" w:line="240" w:lineRule="auto"/>
      </w:pPr>
      <w:r>
        <w:separator/>
      </w:r>
    </w:p>
  </w:endnote>
  <w:endnote w:type="continuationSeparator" w:id="0">
    <w:p w:rsidR="008C3F36" w:rsidRDefault="008C3F3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36" w:rsidRPr="00FB1C73" w:rsidRDefault="008C3F36" w:rsidP="00CF0188">
    <w:pPr>
      <w:pStyle w:val="Footer"/>
      <w:tabs>
        <w:tab w:val="clear" w:pos="5812"/>
        <w:tab w:val="right" w:pos="5670"/>
      </w:tabs>
      <w:rPr>
        <w:lang w:val="fr-CH"/>
      </w:rPr>
    </w:pPr>
    <w:r>
      <w:fldChar w:fldCharType="begin"/>
    </w:r>
    <w:r w:rsidRPr="00FB1C73">
      <w:rPr>
        <w:lang w:val="fr-CH"/>
      </w:rPr>
      <w:instrText xml:space="preserve"> FILENAME \p \* MERGEFORMAT </w:instrText>
    </w:r>
    <w:r>
      <w:fldChar w:fldCharType="separate"/>
    </w:r>
    <w:r w:rsidR="00CF0188">
      <w:rPr>
        <w:noProof/>
        <w:lang w:val="fr-CH"/>
      </w:rPr>
      <w:t>P:\ARA\SG\CONSEIL\C17\000\080REV2A.docx</w:t>
    </w:r>
    <w:r>
      <w:rPr>
        <w:noProof/>
      </w:rPr>
      <w:fldChar w:fldCharType="end"/>
    </w:r>
    <w:r w:rsidR="00FA6C0F">
      <w:rPr>
        <w:lang w:val="fr-CH"/>
      </w:rPr>
      <w:t>   </w:t>
    </w:r>
    <w:r w:rsidRPr="00FB1C73">
      <w:rPr>
        <w:lang w:val="fr-CH"/>
      </w:rPr>
      <w:t>(</w:t>
    </w:r>
    <w:r w:rsidR="00CF0188">
      <w:rPr>
        <w:lang w:val="fr-CH"/>
      </w:rPr>
      <w:t>419373</w:t>
    </w:r>
    <w:r w:rsidRPr="00FB1C73">
      <w:rPr>
        <w:lang w:val="fr-CH"/>
      </w:rPr>
      <w:t>)</w:t>
    </w:r>
    <w:r w:rsidRPr="00FB1C73">
      <w:rPr>
        <w:lang w:val="fr-CH"/>
      </w:rPr>
      <w:tab/>
    </w:r>
    <w:r w:rsidRPr="00665956">
      <w:fldChar w:fldCharType="begin"/>
    </w:r>
    <w:r w:rsidRPr="00665956">
      <w:instrText xml:space="preserve"> savedate \@ dd.MM.yy </w:instrText>
    </w:r>
    <w:r w:rsidRPr="00665956">
      <w:fldChar w:fldCharType="separate"/>
    </w:r>
    <w:r w:rsidR="00204FDB">
      <w:rPr>
        <w:noProof/>
      </w:rPr>
      <w:t>29.05.17</w:t>
    </w:r>
    <w:r w:rsidRPr="00665956">
      <w:fldChar w:fldCharType="end"/>
    </w:r>
    <w:r w:rsidRPr="00FB1C73">
      <w:rPr>
        <w:lang w:val="fr-CH"/>
      </w:rPr>
      <w:tab/>
    </w:r>
    <w:r w:rsidRPr="00665956">
      <w:fldChar w:fldCharType="begin"/>
    </w:r>
    <w:r w:rsidRPr="00665956">
      <w:instrText xml:space="preserve"> printdate \@ dd.MM.yy </w:instrText>
    </w:r>
    <w:r w:rsidRPr="00665956">
      <w:fldChar w:fldCharType="separate"/>
    </w:r>
    <w:r w:rsidR="005907BF">
      <w:rPr>
        <w:noProof/>
      </w:rPr>
      <w:t>12.05.17</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36" w:rsidRPr="006C3242" w:rsidRDefault="008C3F36" w:rsidP="000E4FF0">
    <w:pPr>
      <w:pStyle w:val="Footer"/>
      <w:spacing w:after="120"/>
      <w:jc w:val="center"/>
      <w:rPr>
        <w:rFonts w:cs="Calibri"/>
        <w:sz w:val="20"/>
        <w:lang w:val="fr-FR"/>
      </w:rPr>
    </w:pPr>
    <w:r w:rsidRPr="006C3242">
      <w:rPr>
        <w:rFonts w:cs="Calibri"/>
        <w:sz w:val="20"/>
        <w:lang w:val="fr-FR"/>
      </w:rPr>
      <w:t xml:space="preserve">• </w:t>
    </w:r>
    <w:hyperlink r:id="rId1" w:history="1">
      <w:r w:rsidRPr="006C3242">
        <w:rPr>
          <w:rStyle w:val="Hyperlink"/>
          <w:rFonts w:cs="Calibri"/>
          <w:sz w:val="20"/>
          <w:lang w:val="fr-FR"/>
        </w:rPr>
        <w:t>http://www.itu.int/council</w:t>
      </w:r>
    </w:hyperlink>
    <w:r w:rsidRPr="006C3242">
      <w:rPr>
        <w:rFonts w:cs="Calibri"/>
        <w:sz w:val="20"/>
        <w:lang w:val="fr-FR"/>
      </w:rPr>
      <w:t xml:space="preserve"> •</w:t>
    </w:r>
  </w:p>
  <w:p w:rsidR="008C3F36" w:rsidRPr="00C66157" w:rsidRDefault="008C3F36" w:rsidP="00CF0188">
    <w:pPr>
      <w:pStyle w:val="Footer"/>
      <w:tabs>
        <w:tab w:val="center" w:pos="5529"/>
      </w:tabs>
      <w:rPr>
        <w:rFonts w:cs="Calibri"/>
        <w:vanish/>
        <w:lang w:val="fr-FR"/>
      </w:rPr>
    </w:pPr>
    <w:r w:rsidRPr="00C66157">
      <w:rPr>
        <w:rFonts w:cs="Calibri"/>
        <w:vanish/>
        <w:lang w:val="fr-FR"/>
      </w:rPr>
      <w:fldChar w:fldCharType="begin"/>
    </w:r>
    <w:r w:rsidRPr="00C66157">
      <w:rPr>
        <w:rFonts w:cs="Calibri"/>
        <w:vanish/>
        <w:lang w:val="fr-FR"/>
      </w:rPr>
      <w:instrText xml:space="preserve"> FILENAME \p \* MERGEFORMAT </w:instrText>
    </w:r>
    <w:r w:rsidRPr="00C66157">
      <w:rPr>
        <w:rFonts w:cs="Calibri"/>
        <w:vanish/>
        <w:lang w:val="fr-FR"/>
      </w:rPr>
      <w:fldChar w:fldCharType="separate"/>
    </w:r>
    <w:r w:rsidR="00CF0188">
      <w:rPr>
        <w:rFonts w:cs="Calibri"/>
        <w:noProof/>
        <w:vanish/>
        <w:lang w:val="fr-FR"/>
      </w:rPr>
      <w:t>P:\ARA\SG\CONSEIL\C17\000\080REV2A.docx</w:t>
    </w:r>
    <w:r w:rsidRPr="00C66157">
      <w:rPr>
        <w:rFonts w:cs="Calibri"/>
        <w:vanish/>
      </w:rPr>
      <w:fldChar w:fldCharType="end"/>
    </w:r>
    <w:r w:rsidR="00FA6C0F">
      <w:rPr>
        <w:rFonts w:cs="Calibri"/>
        <w:vanish/>
        <w:lang w:val="fr-CH"/>
      </w:rPr>
      <w:t>   </w:t>
    </w:r>
    <w:r w:rsidRPr="00C66157">
      <w:rPr>
        <w:rFonts w:cs="Calibri"/>
        <w:vanish/>
        <w:lang w:val="fr-FR"/>
      </w:rPr>
      <w:t>(</w:t>
    </w:r>
    <w:r w:rsidR="00CF0188">
      <w:rPr>
        <w:rFonts w:cs="Calibri"/>
        <w:vanish/>
        <w:lang w:val="fr-FR"/>
      </w:rPr>
      <w:t>419373</w:t>
    </w:r>
    <w:r w:rsidRPr="00C66157">
      <w:rPr>
        <w:rFonts w:cs="Calibri"/>
        <w:vanish/>
        <w:lang w:val="fr-FR"/>
      </w:rPr>
      <w:t>)</w:t>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savedate \@ dd.MM.yy </w:instrText>
    </w:r>
    <w:r w:rsidRPr="00C66157">
      <w:rPr>
        <w:rFonts w:cs="Calibri"/>
        <w:vanish/>
        <w:lang w:val="fr-FR"/>
      </w:rPr>
      <w:fldChar w:fldCharType="separate"/>
    </w:r>
    <w:r w:rsidR="00204FDB">
      <w:rPr>
        <w:rFonts w:cs="Calibri"/>
        <w:noProof/>
        <w:vanish/>
        <w:lang w:val="fr-FR"/>
      </w:rPr>
      <w:t>29.05.17</w:t>
    </w:r>
    <w:r w:rsidRPr="00C66157">
      <w:rPr>
        <w:rFonts w:cs="Calibri"/>
        <w:vanish/>
      </w:rPr>
      <w:fldChar w:fldCharType="end"/>
    </w:r>
    <w:r w:rsidRPr="00C66157">
      <w:rPr>
        <w:rFonts w:cs="Calibri"/>
        <w:vanish/>
        <w:lang w:val="fr-FR"/>
      </w:rPr>
      <w:tab/>
    </w:r>
    <w:r w:rsidRPr="00C66157">
      <w:rPr>
        <w:rFonts w:cs="Calibri"/>
        <w:vanish/>
        <w:lang w:val="fr-FR"/>
      </w:rPr>
      <w:fldChar w:fldCharType="begin"/>
    </w:r>
    <w:r w:rsidRPr="00C66157">
      <w:rPr>
        <w:rFonts w:cs="Calibri"/>
        <w:vanish/>
        <w:lang w:val="fr-FR"/>
      </w:rPr>
      <w:instrText xml:space="preserve"> printdate \@ dd.MM.yy </w:instrText>
    </w:r>
    <w:r w:rsidRPr="00C66157">
      <w:rPr>
        <w:rFonts w:cs="Calibri"/>
        <w:vanish/>
        <w:lang w:val="fr-FR"/>
      </w:rPr>
      <w:fldChar w:fldCharType="separate"/>
    </w:r>
    <w:r w:rsidR="005907BF">
      <w:rPr>
        <w:rFonts w:cs="Calibri"/>
        <w:noProof/>
        <w:vanish/>
        <w:lang w:val="fr-FR"/>
      </w:rPr>
      <w:t>12.05.17</w:t>
    </w:r>
    <w:r w:rsidRPr="00C66157">
      <w:rPr>
        <w:rFonts w:cs="Calibri"/>
        <w:vanish/>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36" w:rsidRDefault="008C3F36" w:rsidP="00E07379">
      <w:pPr>
        <w:spacing w:before="0" w:line="240" w:lineRule="auto"/>
      </w:pPr>
      <w:r>
        <w:separator/>
      </w:r>
    </w:p>
  </w:footnote>
  <w:footnote w:type="continuationSeparator" w:id="0">
    <w:p w:rsidR="008C3F36" w:rsidRDefault="008C3F36" w:rsidP="00E07379">
      <w:pPr>
        <w:spacing w:before="0" w:line="240" w:lineRule="auto"/>
      </w:pPr>
      <w:r>
        <w:continuationSeparator/>
      </w:r>
    </w:p>
  </w:footnote>
  <w:footnote w:id="1">
    <w:p w:rsidR="008C3F36" w:rsidRPr="00C05C7C" w:rsidRDefault="008C3F36" w:rsidP="00C05C7C">
      <w:pPr>
        <w:pStyle w:val="FootnoteText"/>
        <w:rPr>
          <w:spacing w:val="-6"/>
        </w:rPr>
      </w:pPr>
      <w:r w:rsidRPr="00C05C7C">
        <w:rPr>
          <w:rStyle w:val="FootnoteReference"/>
          <w:spacing w:val="-6"/>
        </w:rPr>
        <w:footnoteRef/>
      </w:r>
      <w:r w:rsidR="00C05C7C" w:rsidRPr="00C05C7C">
        <w:rPr>
          <w:spacing w:val="-6"/>
          <w:rtl/>
        </w:rPr>
        <w:tab/>
      </w:r>
      <w:r w:rsidRPr="00C05C7C">
        <w:rPr>
          <w:spacing w:val="-6"/>
        </w:rPr>
        <w:t>CCIR</w:t>
      </w:r>
      <w:r w:rsidRPr="00C05C7C">
        <w:rPr>
          <w:rFonts w:hint="cs"/>
          <w:spacing w:val="-6"/>
          <w:rtl/>
        </w:rPr>
        <w:t xml:space="preserve"> - </w:t>
      </w:r>
      <w:r w:rsidRPr="00C05C7C">
        <w:rPr>
          <w:spacing w:val="-6"/>
          <w:rtl/>
          <w:lang w:bidi="ar"/>
        </w:rPr>
        <w:t>اللجنة الاستشارية الدولية للراديو</w:t>
      </w:r>
      <w:r w:rsidRPr="00C05C7C">
        <w:rPr>
          <w:rFonts w:hint="cs"/>
          <w:spacing w:val="-6"/>
          <w:rtl/>
          <w:lang w:bidi="ar"/>
        </w:rPr>
        <w:t>.</w:t>
      </w:r>
      <w:r w:rsidRPr="00C05C7C">
        <w:rPr>
          <w:rFonts w:hint="cs"/>
          <w:spacing w:val="-6"/>
          <w:sz w:val="22"/>
          <w:szCs w:val="30"/>
          <w:rtl/>
          <w:lang w:bidi="ar"/>
        </w:rPr>
        <w:t xml:space="preserve"> </w:t>
      </w:r>
      <w:r w:rsidRPr="00C05C7C">
        <w:rPr>
          <w:rFonts w:hint="cs"/>
          <w:spacing w:val="-6"/>
          <w:rtl/>
          <w:lang w:bidi="ar"/>
        </w:rPr>
        <w:t xml:space="preserve">أدمجت، في عام </w:t>
      </w:r>
      <w:r w:rsidR="00C05C7C" w:rsidRPr="00C05C7C">
        <w:rPr>
          <w:spacing w:val="-6"/>
          <w:lang w:bidi="ar"/>
        </w:rPr>
        <w:t>1992</w:t>
      </w:r>
      <w:r w:rsidRPr="00C05C7C">
        <w:rPr>
          <w:rFonts w:hint="cs"/>
          <w:spacing w:val="-6"/>
          <w:rtl/>
          <w:lang w:bidi="ar"/>
        </w:rPr>
        <w:t xml:space="preserve">، </w:t>
      </w:r>
      <w:r w:rsidR="00C05C7C">
        <w:rPr>
          <w:rFonts w:hint="cs"/>
          <w:spacing w:val="-6"/>
          <w:rtl/>
          <w:lang w:bidi="ar"/>
        </w:rPr>
        <w:t>إلى</w:t>
      </w:r>
      <w:r w:rsidRPr="00C05C7C">
        <w:rPr>
          <w:rFonts w:hint="cs"/>
          <w:spacing w:val="-6"/>
          <w:rtl/>
          <w:lang w:bidi="ar"/>
        </w:rPr>
        <w:t xml:space="preserve"> قطاع الاتصالات الراديوية، بينما أصبحت أمانُتها مكتب الاتصالات الراديوية.</w:t>
      </w:r>
    </w:p>
  </w:footnote>
  <w:footnote w:id="2">
    <w:p w:rsidR="008C3F36" w:rsidRDefault="008C3F36" w:rsidP="00C05C7C">
      <w:pPr>
        <w:pStyle w:val="FootnoteText"/>
      </w:pPr>
      <w:r>
        <w:rPr>
          <w:rStyle w:val="FootnoteReference"/>
        </w:rPr>
        <w:footnoteRef/>
      </w:r>
      <w:r w:rsidR="00C05C7C">
        <w:rPr>
          <w:rtl/>
        </w:rPr>
        <w:tab/>
      </w:r>
      <w:r w:rsidRPr="009366DE">
        <w:t>CCITT</w:t>
      </w:r>
      <w:r>
        <w:rPr>
          <w:rFonts w:hint="cs"/>
          <w:rtl/>
        </w:rPr>
        <w:t xml:space="preserve"> - </w:t>
      </w:r>
      <w:r w:rsidRPr="006634C3">
        <w:rPr>
          <w:rtl/>
          <w:lang w:bidi="ar"/>
        </w:rPr>
        <w:t>اللجنة الاستشارية الدولية للبرق</w:t>
      </w:r>
      <w:r>
        <w:rPr>
          <w:rFonts w:hint="cs"/>
          <w:rtl/>
          <w:lang w:bidi="ar"/>
        </w:rPr>
        <w:t xml:space="preserve">. </w:t>
      </w:r>
      <w:r w:rsidRPr="006634C3">
        <w:rPr>
          <w:rFonts w:hint="cs"/>
          <w:rtl/>
          <w:lang w:bidi="ar"/>
        </w:rPr>
        <w:t>أصبحت</w:t>
      </w:r>
      <w:r w:rsidRPr="006634C3">
        <w:rPr>
          <w:rFonts w:hint="cs"/>
          <w:sz w:val="22"/>
          <w:szCs w:val="30"/>
          <w:rtl/>
          <w:lang w:bidi="ar"/>
        </w:rPr>
        <w:t xml:space="preserve"> </w:t>
      </w:r>
      <w:r w:rsidRPr="006634C3">
        <w:rPr>
          <w:rFonts w:hint="cs"/>
          <w:rtl/>
          <w:lang w:bidi="ar"/>
        </w:rPr>
        <w:t xml:space="preserve">قطاع تقييس الاتصالات، في عام </w:t>
      </w:r>
      <w:r w:rsidR="00C05C7C">
        <w:rPr>
          <w:lang w:bidi="ar"/>
        </w:rPr>
        <w:t>1992</w:t>
      </w:r>
      <w:r w:rsidRPr="006634C3">
        <w:rPr>
          <w:rFonts w:hint="cs"/>
          <w:rtl/>
          <w:lang w:bidi="ar"/>
        </w:rPr>
        <w:t xml:space="preserve">، </w:t>
      </w:r>
      <w:r w:rsidRPr="009B0407">
        <w:rPr>
          <w:rFonts w:hint="cs"/>
          <w:rtl/>
          <w:lang w:bidi="ar"/>
        </w:rPr>
        <w:t>بما في ذلك مكتب تقييس الاتصالات، الذي أنشئ على أساس أمانة</w:t>
      </w:r>
      <w:r w:rsidRPr="006634C3">
        <w:rPr>
          <w:rtl/>
          <w:lang w:bidi="ar"/>
        </w:rPr>
        <w:t xml:space="preserve"> اللجنة الاستشارية الدولية للبرق</w:t>
      </w:r>
      <w:r>
        <w:rPr>
          <w:rFonts w:hint="cs"/>
          <w:rtl/>
          <w:lang w:bidi="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F36" w:rsidRPr="000E4FF0" w:rsidRDefault="00006031" w:rsidP="00CF0188">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8C3F36" w:rsidRPr="000E4FF0">
          <w:rPr>
            <w:rFonts w:eastAsiaTheme="minorEastAsia" w:cs="Calibri"/>
            <w:sz w:val="20"/>
            <w:szCs w:val="20"/>
            <w:lang w:eastAsia="zh-CN"/>
          </w:rPr>
          <w:fldChar w:fldCharType="begin"/>
        </w:r>
        <w:r w:rsidR="008C3F36" w:rsidRPr="000E4FF0">
          <w:rPr>
            <w:rFonts w:eastAsiaTheme="minorEastAsia" w:cs="Calibri"/>
            <w:sz w:val="20"/>
            <w:szCs w:val="20"/>
            <w:lang w:eastAsia="zh-CN"/>
          </w:rPr>
          <w:instrText xml:space="preserve"> PAGE   \* MERGEFORMAT </w:instrText>
        </w:r>
        <w:r w:rsidR="008C3F36" w:rsidRPr="000E4FF0">
          <w:rPr>
            <w:rFonts w:eastAsiaTheme="minorEastAsia" w:cs="Calibri"/>
            <w:sz w:val="20"/>
            <w:szCs w:val="20"/>
            <w:lang w:eastAsia="zh-CN"/>
          </w:rPr>
          <w:fldChar w:fldCharType="separate"/>
        </w:r>
        <w:r>
          <w:rPr>
            <w:rFonts w:eastAsiaTheme="minorEastAsia" w:cs="Calibri"/>
            <w:noProof/>
            <w:sz w:val="20"/>
            <w:szCs w:val="20"/>
            <w:lang w:eastAsia="zh-CN"/>
          </w:rPr>
          <w:t>11</w:t>
        </w:r>
        <w:r w:rsidR="008C3F36" w:rsidRPr="000E4FF0">
          <w:rPr>
            <w:rFonts w:eastAsiaTheme="minorEastAsia" w:cs="Calibri"/>
            <w:noProof/>
            <w:sz w:val="20"/>
            <w:szCs w:val="20"/>
            <w:lang w:eastAsia="zh-CN"/>
          </w:rPr>
          <w:fldChar w:fldCharType="end"/>
        </w:r>
        <w:r w:rsidR="008C3F36" w:rsidRPr="000E4FF0">
          <w:rPr>
            <w:rFonts w:eastAsiaTheme="minorEastAsia" w:cs="Calibri"/>
            <w:noProof/>
            <w:sz w:val="20"/>
            <w:szCs w:val="20"/>
            <w:lang w:eastAsia="zh-CN"/>
          </w:rPr>
          <w:br/>
          <w:t>C1</w:t>
        </w:r>
        <w:r w:rsidR="008C3F36">
          <w:rPr>
            <w:rFonts w:eastAsiaTheme="minorEastAsia" w:cs="Calibri"/>
            <w:noProof/>
            <w:sz w:val="20"/>
            <w:szCs w:val="20"/>
            <w:lang w:eastAsia="zh-CN"/>
          </w:rPr>
          <w:t>7</w:t>
        </w:r>
        <w:r w:rsidR="008C3F36" w:rsidRPr="000E4FF0">
          <w:rPr>
            <w:rFonts w:eastAsiaTheme="minorEastAsia" w:cs="Calibri"/>
            <w:noProof/>
            <w:sz w:val="20"/>
            <w:szCs w:val="20"/>
            <w:lang w:eastAsia="zh-CN"/>
          </w:rPr>
          <w:t>/</w:t>
        </w:r>
        <w:r w:rsidR="008C3F36">
          <w:rPr>
            <w:rFonts w:eastAsiaTheme="minorEastAsia" w:cs="Calibri"/>
            <w:noProof/>
            <w:sz w:val="20"/>
            <w:szCs w:val="20"/>
            <w:lang w:eastAsia="zh-CN"/>
          </w:rPr>
          <w:t>80</w:t>
        </w:r>
        <w:r w:rsidR="005907BF">
          <w:rPr>
            <w:rFonts w:eastAsiaTheme="minorEastAsia" w:cs="Calibri"/>
            <w:noProof/>
            <w:sz w:val="20"/>
            <w:szCs w:val="20"/>
            <w:lang w:eastAsia="zh-CN"/>
          </w:rPr>
          <w:t>(Rev.</w:t>
        </w:r>
        <w:r w:rsidR="00CF0188">
          <w:rPr>
            <w:rFonts w:eastAsiaTheme="minorEastAsia" w:cs="Calibri"/>
            <w:noProof/>
            <w:sz w:val="20"/>
            <w:szCs w:val="20"/>
            <w:lang w:eastAsia="zh-CN"/>
          </w:rPr>
          <w:t>2</w:t>
        </w:r>
        <w:r w:rsidR="005907BF">
          <w:rPr>
            <w:rFonts w:eastAsiaTheme="minorEastAsia" w:cs="Calibri"/>
            <w:noProof/>
            <w:sz w:val="20"/>
            <w:szCs w:val="20"/>
            <w:lang w:eastAsia="zh-CN"/>
          </w:rPr>
          <w:t>)</w:t>
        </w:r>
        <w:r w:rsidR="008C3F36"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CF"/>
    <w:rsid w:val="00006031"/>
    <w:rsid w:val="000124CC"/>
    <w:rsid w:val="00041F8B"/>
    <w:rsid w:val="00046444"/>
    <w:rsid w:val="0006023B"/>
    <w:rsid w:val="0008638B"/>
    <w:rsid w:val="00090574"/>
    <w:rsid w:val="00092FC2"/>
    <w:rsid w:val="000A1677"/>
    <w:rsid w:val="000B407F"/>
    <w:rsid w:val="000B5E18"/>
    <w:rsid w:val="000C13C2"/>
    <w:rsid w:val="000D4C64"/>
    <w:rsid w:val="000E4FF0"/>
    <w:rsid w:val="000F0B1C"/>
    <w:rsid w:val="000F1D42"/>
    <w:rsid w:val="000F4D07"/>
    <w:rsid w:val="00102A03"/>
    <w:rsid w:val="001040A3"/>
    <w:rsid w:val="00173915"/>
    <w:rsid w:val="001F4ACF"/>
    <w:rsid w:val="00204FDB"/>
    <w:rsid w:val="0022345D"/>
    <w:rsid w:val="00225854"/>
    <w:rsid w:val="0023283D"/>
    <w:rsid w:val="00252E0C"/>
    <w:rsid w:val="00276881"/>
    <w:rsid w:val="002916BE"/>
    <w:rsid w:val="002978F4"/>
    <w:rsid w:val="002B028D"/>
    <w:rsid w:val="002B435E"/>
    <w:rsid w:val="002C4DAE"/>
    <w:rsid w:val="002D6669"/>
    <w:rsid w:val="002E4942"/>
    <w:rsid w:val="002E6541"/>
    <w:rsid w:val="002F5560"/>
    <w:rsid w:val="0030486B"/>
    <w:rsid w:val="003231B9"/>
    <w:rsid w:val="003275AC"/>
    <w:rsid w:val="00333D29"/>
    <w:rsid w:val="003409F4"/>
    <w:rsid w:val="00357185"/>
    <w:rsid w:val="003B3341"/>
    <w:rsid w:val="003C106D"/>
    <w:rsid w:val="003C475F"/>
    <w:rsid w:val="003C5D30"/>
    <w:rsid w:val="003E4132"/>
    <w:rsid w:val="003F678F"/>
    <w:rsid w:val="0042686F"/>
    <w:rsid w:val="004367CE"/>
    <w:rsid w:val="00443869"/>
    <w:rsid w:val="00466C73"/>
    <w:rsid w:val="004712C6"/>
    <w:rsid w:val="00497703"/>
    <w:rsid w:val="004F0F06"/>
    <w:rsid w:val="00501E0E"/>
    <w:rsid w:val="005204D7"/>
    <w:rsid w:val="00530420"/>
    <w:rsid w:val="00552BC5"/>
    <w:rsid w:val="0055516A"/>
    <w:rsid w:val="0056374C"/>
    <w:rsid w:val="0056614F"/>
    <w:rsid w:val="0057656F"/>
    <w:rsid w:val="00576731"/>
    <w:rsid w:val="005907BF"/>
    <w:rsid w:val="0059285F"/>
    <w:rsid w:val="005A24B1"/>
    <w:rsid w:val="005A251E"/>
    <w:rsid w:val="005B7B8A"/>
    <w:rsid w:val="005D6476"/>
    <w:rsid w:val="005D6C0D"/>
    <w:rsid w:val="005E5283"/>
    <w:rsid w:val="005E58F5"/>
    <w:rsid w:val="00606660"/>
    <w:rsid w:val="006157A3"/>
    <w:rsid w:val="00620E60"/>
    <w:rsid w:val="0063315A"/>
    <w:rsid w:val="00651E00"/>
    <w:rsid w:val="0065591D"/>
    <w:rsid w:val="00662C5A"/>
    <w:rsid w:val="00670AF5"/>
    <w:rsid w:val="006B77DC"/>
    <w:rsid w:val="006B7D4C"/>
    <w:rsid w:val="006C1556"/>
    <w:rsid w:val="006F1083"/>
    <w:rsid w:val="006F267F"/>
    <w:rsid w:val="006F63F7"/>
    <w:rsid w:val="006F6F03"/>
    <w:rsid w:val="00706D7A"/>
    <w:rsid w:val="00726AEC"/>
    <w:rsid w:val="007530CA"/>
    <w:rsid w:val="0079553D"/>
    <w:rsid w:val="007B01CC"/>
    <w:rsid w:val="007C1BB6"/>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C3F36"/>
    <w:rsid w:val="00910B68"/>
    <w:rsid w:val="00917694"/>
    <w:rsid w:val="009263CD"/>
    <w:rsid w:val="00930E6D"/>
    <w:rsid w:val="00963024"/>
    <w:rsid w:val="00972CA2"/>
    <w:rsid w:val="00982B28"/>
    <w:rsid w:val="00984EA5"/>
    <w:rsid w:val="00992593"/>
    <w:rsid w:val="009A1CFB"/>
    <w:rsid w:val="009B1E20"/>
    <w:rsid w:val="009C17E1"/>
    <w:rsid w:val="009C35ED"/>
    <w:rsid w:val="009F1C12"/>
    <w:rsid w:val="009F44CF"/>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108FD"/>
    <w:rsid w:val="00B13C64"/>
    <w:rsid w:val="00B2000C"/>
    <w:rsid w:val="00B20ADE"/>
    <w:rsid w:val="00B23C4B"/>
    <w:rsid w:val="00B66B9A"/>
    <w:rsid w:val="00B76AD3"/>
    <w:rsid w:val="00B82089"/>
    <w:rsid w:val="00B970AE"/>
    <w:rsid w:val="00BA1427"/>
    <w:rsid w:val="00BD0C50"/>
    <w:rsid w:val="00BE49D0"/>
    <w:rsid w:val="00BF2C38"/>
    <w:rsid w:val="00BF6589"/>
    <w:rsid w:val="00C05C7C"/>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0188"/>
    <w:rsid w:val="00CF3FFD"/>
    <w:rsid w:val="00CF5ED3"/>
    <w:rsid w:val="00D0494C"/>
    <w:rsid w:val="00D14BEB"/>
    <w:rsid w:val="00D21C89"/>
    <w:rsid w:val="00D45542"/>
    <w:rsid w:val="00D54555"/>
    <w:rsid w:val="00D77D0F"/>
    <w:rsid w:val="00D91EF3"/>
    <w:rsid w:val="00DA1CF0"/>
    <w:rsid w:val="00DB2271"/>
    <w:rsid w:val="00DB5659"/>
    <w:rsid w:val="00DC24B4"/>
    <w:rsid w:val="00DD7A05"/>
    <w:rsid w:val="00DF16DC"/>
    <w:rsid w:val="00DF5361"/>
    <w:rsid w:val="00E009A1"/>
    <w:rsid w:val="00E00D15"/>
    <w:rsid w:val="00E071BE"/>
    <w:rsid w:val="00E07379"/>
    <w:rsid w:val="00E14494"/>
    <w:rsid w:val="00E17033"/>
    <w:rsid w:val="00E21F7E"/>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A6C0F"/>
    <w:rsid w:val="00FB1214"/>
    <w:rsid w:val="00FB1C73"/>
    <w:rsid w:val="00FC5C9F"/>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BF4E862-69FF-4AEB-9222-04AA16FB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6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meetingdoc.asp?lang=en&amp;parent=S17-CL-C-0010" TargetMode="External"/><Relationship Id="rId18" Type="http://schemas.openxmlformats.org/officeDocument/2006/relationships/hyperlink" Target="https://www.itu.int/md/meetingdoc.asp?lang=en&amp;parent=R16-RRB16.1-C-0005" TargetMode="External"/><Relationship Id="rId26" Type="http://schemas.openxmlformats.org/officeDocument/2006/relationships/hyperlink" Target="https://www.itu.int/md/meetingdoc.asp?lang=en&amp;parent=S02-CL-C-0013" TargetMode="External"/><Relationship Id="rId39" Type="http://schemas.openxmlformats.org/officeDocument/2006/relationships/hyperlink" Target="https://www.itu.int/md/meetingdoc.asp?lang=en&amp;parent=S07-CL-C-0010" TargetMode="External"/><Relationship Id="rId21" Type="http://schemas.openxmlformats.org/officeDocument/2006/relationships/hyperlink" Target="https://www.itu.int/md/meetingdoc.asp?lang=en&amp;parent=S17-CL-C-0010" TargetMode="External"/><Relationship Id="rId34" Type="http://schemas.openxmlformats.org/officeDocument/2006/relationships/chart" Target="charts/chart1.xml"/><Relationship Id="rId42" Type="http://schemas.openxmlformats.org/officeDocument/2006/relationships/hyperlink" Target="https://www.itu.int/md/meetingdoc.asp?lang=en&amp;parent=S17-CL-C-0010" TargetMode="External"/><Relationship Id="rId47" Type="http://schemas.openxmlformats.org/officeDocument/2006/relationships/hyperlink" Target="https://www.itu.int/md/meetingdoc.asp?lang=en&amp;parent=S17-CL-C-0010" TargetMode="External"/><Relationship Id="rId50" Type="http://schemas.openxmlformats.org/officeDocument/2006/relationships/hyperlink" Target="https://www.itu.int/md/meetingdoc.asp?lang=en&amp;parent=S17-CL-C-0010" TargetMode="External"/><Relationship Id="rId55" Type="http://schemas.openxmlformats.org/officeDocument/2006/relationships/hyperlink" Target="https://www.itu.int/md/meetingdoc.asp?lang=en&amp;parent=R15-RRB15.3-C-0004" TargetMode="External"/><Relationship Id="rId63" Type="http://schemas.openxmlformats.org/officeDocument/2006/relationships/image" Target="media/image2.png"/><Relationship Id="rId68"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meetingdoc.asp?lang=en&amp;parent=R09-RRB.09-C-0001" TargetMode="External"/><Relationship Id="rId29" Type="http://schemas.openxmlformats.org/officeDocument/2006/relationships/hyperlink" Target="https://www.itu.int/md/meetingdoc.asp?lang=en&amp;parent=S17-CL-C-00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meetingdoc.asp?lang=en&amp;parent=S15-CL-C-0105" TargetMode="External"/><Relationship Id="rId24" Type="http://schemas.openxmlformats.org/officeDocument/2006/relationships/hyperlink" Target="https://www.itu.int/itudoc/gs/council/c00/docs/11.html" TargetMode="External"/><Relationship Id="rId32" Type="http://schemas.openxmlformats.org/officeDocument/2006/relationships/hyperlink" Target="https://www.itu.int/md/meetingdoc.asp?lang=en&amp;parent=S08-CL-C-0007" TargetMode="External"/><Relationship Id="rId37" Type="http://schemas.openxmlformats.org/officeDocument/2006/relationships/hyperlink" Target="https://www.itu.int/md/meetingdoc.asp?lang=en&amp;parent=S05-CL-C-0010" TargetMode="External"/><Relationship Id="rId40" Type="http://schemas.openxmlformats.org/officeDocument/2006/relationships/hyperlink" Target="https://www.itu.int/md/meetingdoc.asp?lang=en&amp;parent=S09-CL-C-0010" TargetMode="External"/><Relationship Id="rId45" Type="http://schemas.openxmlformats.org/officeDocument/2006/relationships/hyperlink" Target="https://www.itu.int/md/meetingdoc.asp?lang=en&amp;parent=S17-CL-C-0010" TargetMode="External"/><Relationship Id="rId53" Type="http://schemas.openxmlformats.org/officeDocument/2006/relationships/hyperlink" Target="https://www.itu.int/md/meetingdoc.asp?lang=en&amp;parent=S15-CL-C-0105" TargetMode="External"/><Relationship Id="rId58" Type="http://schemas.openxmlformats.org/officeDocument/2006/relationships/hyperlink" Target="https://www.itu.int/ITU-R/go/space-statistics/en" TargetMode="External"/><Relationship Id="rId66" Type="http://schemas.openxmlformats.org/officeDocument/2006/relationships/chart" Target="charts/chart5.xml"/><Relationship Id="rId5" Type="http://schemas.openxmlformats.org/officeDocument/2006/relationships/styles" Target="styles.xml"/><Relationship Id="rId15" Type="http://schemas.openxmlformats.org/officeDocument/2006/relationships/hyperlink" Target="https://www.itu.int/md/meetingdoc.asp?lang=en&amp;parent=R06-RRB.06.01-C-0003" TargetMode="External"/><Relationship Id="rId23" Type="http://schemas.openxmlformats.org/officeDocument/2006/relationships/hyperlink" Target="https://www.itu.int/md/meetingdoc.asp?lang=en&amp;parent=S10-CL-C-0031" TargetMode="External"/><Relationship Id="rId28" Type="http://schemas.openxmlformats.org/officeDocument/2006/relationships/hyperlink" Target="https://www.itu.int/md/meetingdoc.asp?lang=en&amp;parent=S04-CL-C-0022" TargetMode="External"/><Relationship Id="rId36" Type="http://schemas.openxmlformats.org/officeDocument/2006/relationships/hyperlink" Target="https://www.itu.int/md/meetingdoc.asp?lang=en&amp;parent=S05-CL-C-0010" TargetMode="External"/><Relationship Id="rId49" Type="http://schemas.openxmlformats.org/officeDocument/2006/relationships/hyperlink" Target="https://www.itu.int/md/meetingdoc.asp?lang=en&amp;parent=S17-CL-C-0010" TargetMode="External"/><Relationship Id="rId57" Type="http://schemas.openxmlformats.org/officeDocument/2006/relationships/hyperlink" Target="https://www.itu.int/md/meetingdoc.asp?lang=en&amp;parent=R17-RRB17.1-C-0003" TargetMode="External"/><Relationship Id="rId61" Type="http://schemas.openxmlformats.org/officeDocument/2006/relationships/hyperlink" Target="https://www.itu.int/md/meetingdoc.asp?lang=en&amp;parent=R09-RRB.09-C-0001" TargetMode="External"/><Relationship Id="rId10" Type="http://schemas.openxmlformats.org/officeDocument/2006/relationships/image" Target="media/image1.jpeg"/><Relationship Id="rId19" Type="http://schemas.openxmlformats.org/officeDocument/2006/relationships/hyperlink" Target="https://www.itu.int/md/meetingdoc.asp?lang=en&amp;parent=R17-RRB17.1-C-0003" TargetMode="External"/><Relationship Id="rId31" Type="http://schemas.openxmlformats.org/officeDocument/2006/relationships/hyperlink" Target="https://www.itu.int/md/meetingdoc.asp?lang=en&amp;parent=S17-CL-C-0010" TargetMode="External"/><Relationship Id="rId44" Type="http://schemas.openxmlformats.org/officeDocument/2006/relationships/hyperlink" Target="https://www.itu.int/md/meetingdoc.asp?lang=en&amp;parent=S17-CL-C-0010" TargetMode="External"/><Relationship Id="rId52" Type="http://schemas.openxmlformats.org/officeDocument/2006/relationships/chart" Target="charts/chart3.xml"/><Relationship Id="rId60" Type="http://schemas.openxmlformats.org/officeDocument/2006/relationships/hyperlink" Target="https://www.itu.int/md/meetingdoc.asp?lang=en&amp;parent=R06-RRB.06.01-C-0003" TargetMode="External"/><Relationship Id="rId65"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R07-RRB.07.3-C-0002" TargetMode="External"/><Relationship Id="rId22" Type="http://schemas.openxmlformats.org/officeDocument/2006/relationships/hyperlink" Target="https://www.itu.int/itudoc/gs/council/c00/docs/11.html" TargetMode="External"/><Relationship Id="rId27" Type="http://schemas.openxmlformats.org/officeDocument/2006/relationships/hyperlink" Target="https://www.itu.int/md/meetingdoc.asp?lang=en&amp;parent=S15-CL-C-0010" TargetMode="External"/><Relationship Id="rId30" Type="http://schemas.openxmlformats.org/officeDocument/2006/relationships/hyperlink" Target="https://www.itu.int/md/meetingdoc.asp?lang=en&amp;parent=S06-CL-C-0026" TargetMode="External"/><Relationship Id="rId35" Type="http://schemas.openxmlformats.org/officeDocument/2006/relationships/chart" Target="charts/chart2.xml"/><Relationship Id="rId43" Type="http://schemas.openxmlformats.org/officeDocument/2006/relationships/hyperlink" Target="https://www.itu.int/md/meetingdoc.asp?lang=en&amp;parent=S17-CL-C-0010" TargetMode="External"/><Relationship Id="rId48" Type="http://schemas.openxmlformats.org/officeDocument/2006/relationships/hyperlink" Target="https://www.itu.int/md/meetingdoc.asp?lang=en&amp;parent=S17-CL-C-0010" TargetMode="External"/><Relationship Id="rId56" Type="http://schemas.openxmlformats.org/officeDocument/2006/relationships/hyperlink" Target="https://www.itu.int/md/meetingdoc.asp?lang=en&amp;parent=R16-RRB16.1-C-0005" TargetMode="External"/><Relationship Id="rId64" Type="http://schemas.openxmlformats.org/officeDocument/2006/relationships/chart" Target="charts/chart4.xml"/><Relationship Id="rId69"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www.itu.int/md/meetingdoc.asp?lang=en&amp;parent=S17-CL-C-0010" TargetMode="External"/><Relationship Id="rId3" Type="http://schemas.openxmlformats.org/officeDocument/2006/relationships/customXml" Target="../customXml/item3.xml"/><Relationship Id="rId12" Type="http://schemas.openxmlformats.org/officeDocument/2006/relationships/hyperlink" Target="https://www.itu.int/dms_pub/itu-s/md/17/clcwgfhrm7/inf/S17-CLCWGFHRM7-INF-0003!!PDF-E.pdf" TargetMode="External"/><Relationship Id="rId17" Type="http://schemas.openxmlformats.org/officeDocument/2006/relationships/hyperlink" Target="https://www.itu.int/md/meetingdoc.asp?lang=en&amp;parent=R15-RRB15.3-C-0004" TargetMode="External"/><Relationship Id="rId25" Type="http://schemas.openxmlformats.org/officeDocument/2006/relationships/hyperlink" Target="https://www.itu.int/md/meetingdoc.asp?lang=en&amp;parent=S13-CL-C-0010" TargetMode="External"/><Relationship Id="rId33" Type="http://schemas.openxmlformats.org/officeDocument/2006/relationships/hyperlink" Target="https://www.itu.int/md/meetingdoc.asp?lang=en&amp;parent=S17-CL-C-0010" TargetMode="External"/><Relationship Id="rId38" Type="http://schemas.openxmlformats.org/officeDocument/2006/relationships/hyperlink" Target="https://www.itu.int/md/meetingdoc.asp?lang=en&amp;parent=S07-CL-C-0010" TargetMode="External"/><Relationship Id="rId46" Type="http://schemas.openxmlformats.org/officeDocument/2006/relationships/hyperlink" Target="https://www.itu.int/md/meetingdoc.asp?lang=en&amp;parent=S17-CL-C-0010" TargetMode="External"/><Relationship Id="rId59" Type="http://schemas.openxmlformats.org/officeDocument/2006/relationships/hyperlink" Target="https://www.itu.int/md/meetingdoc.asp?lang=en&amp;parent=R07-RRB.07.3-C-0002" TargetMode="External"/><Relationship Id="rId67" Type="http://schemas.openxmlformats.org/officeDocument/2006/relationships/header" Target="header1.xml"/><Relationship Id="rId20" Type="http://schemas.openxmlformats.org/officeDocument/2006/relationships/hyperlink" Target="https://www.itu.int/md/meetingdoc.asp?lang=en&amp;parent=R17-RRB17.1-C-0008" TargetMode="External"/><Relationship Id="rId41" Type="http://schemas.openxmlformats.org/officeDocument/2006/relationships/hyperlink" Target="https://www.itu.int/md/meetingdoc.asp?lang=en&amp;parent=S09-CL-C-0010" TargetMode="External"/><Relationship Id="rId54" Type="http://schemas.openxmlformats.org/officeDocument/2006/relationships/hyperlink" Target="https://www.itu.int/dms_pub/itu-s/md/17/clcwgfhrm7/inf/S17-CLCWGFHRM7-INF-0003!!PDF-E.pdf" TargetMode="External"/><Relationship Id="rId62" Type="http://schemas.openxmlformats.org/officeDocument/2006/relationships/hyperlink" Target="https://www.itu.int/md/meetingdoc.asp?lang=en&amp;parent=R17-RRB17.1-C-0008" TargetMode="External"/><Relationship Id="rId7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7\SG\PA_Council%202017.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Activities\Russia\&#1057;&#1086;&#1074;&#1077;&#1090;%20&#1052;&#1057;&#1069;\2017\Budget%20Analysis%20v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Activities\Russia\&#1057;&#1086;&#1074;&#1077;&#1090;%20&#1052;&#1057;&#1069;\2017\Satellite%20Filling%20Cost%20Recovery%20v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Activities\Russia\&#1057;&#1086;&#1074;&#1077;&#1090;%20&#1052;&#1057;&#1069;\2017\Treatment%20of%20satellite%20filling.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Sheet1!$A$3</c:f>
              <c:strCache>
                <c:ptCount val="1"/>
                <c:pt idx="0">
                  <c:v>Pages</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Sheet1!$B$3:$M$3</c:f>
              <c:numCache>
                <c:formatCode>General</c:formatCode>
                <c:ptCount val="12"/>
                <c:pt idx="0">
                  <c:v>0</c:v>
                </c:pt>
                <c:pt idx="1">
                  <c:v>0</c:v>
                </c:pt>
                <c:pt idx="2">
                  <c:v>0</c:v>
                </c:pt>
                <c:pt idx="3">
                  <c:v>0</c:v>
                </c:pt>
                <c:pt idx="4">
                  <c:v>0</c:v>
                </c:pt>
                <c:pt idx="5">
                  <c:v>0</c:v>
                </c:pt>
                <c:pt idx="6">
                  <c:v>0</c:v>
                </c:pt>
                <c:pt idx="7">
                  <c:v>4</c:v>
                </c:pt>
                <c:pt idx="8">
                  <c:v>5</c:v>
                </c:pt>
                <c:pt idx="9">
                  <c:v>5</c:v>
                </c:pt>
                <c:pt idx="10">
                  <c:v>5</c:v>
                </c:pt>
                <c:pt idx="11">
                  <c:v>5</c:v>
                </c:pt>
              </c:numCache>
            </c:numRef>
          </c:val>
        </c:ser>
        <c:ser>
          <c:idx val="2"/>
          <c:order val="1"/>
          <c:tx>
            <c:strRef>
              <c:f>Sheet1!$A$5</c:f>
              <c:strCache>
                <c:ptCount val="1"/>
                <c:pt idx="0">
                  <c:v>ITU-R ×1000 CHF</c:v>
                </c:pt>
              </c:strCache>
            </c:strRef>
          </c:tx>
          <c:invertIfNegative val="0"/>
          <c:cat>
            <c:strRef>
              <c:f>Sheet1!$B$1:$M$1</c:f>
              <c:strCache>
                <c:ptCount val="12"/>
                <c:pt idx="0">
                  <c:v>1996-1997</c:v>
                </c:pt>
                <c:pt idx="1">
                  <c:v>1998-1999</c:v>
                </c:pt>
                <c:pt idx="2">
                  <c:v>2000-2001</c:v>
                </c:pt>
                <c:pt idx="3">
                  <c:v>2002-2003</c:v>
                </c:pt>
                <c:pt idx="4">
                  <c:v>2004-2005</c:v>
                </c:pt>
                <c:pt idx="5">
                  <c:v>2006-2007</c:v>
                </c:pt>
                <c:pt idx="6">
                  <c:v>2008-2009</c:v>
                </c:pt>
                <c:pt idx="7">
                  <c:v>2010-2011</c:v>
                </c:pt>
                <c:pt idx="8">
                  <c:v>2012-2013</c:v>
                </c:pt>
                <c:pt idx="9">
                  <c:v>2014-2015</c:v>
                </c:pt>
                <c:pt idx="10">
                  <c:v>2016-2017</c:v>
                </c:pt>
                <c:pt idx="11">
                  <c:v>2018-2019</c:v>
                </c:pt>
              </c:strCache>
            </c:strRef>
          </c:cat>
          <c:val>
            <c:numRef>
              <c:f>Sheet1!$B$5:$M$5</c:f>
              <c:numCache>
                <c:formatCode>General</c:formatCode>
                <c:ptCount val="12"/>
                <c:pt idx="0">
                  <c:v>62196</c:v>
                </c:pt>
                <c:pt idx="1">
                  <c:v>65206</c:v>
                </c:pt>
                <c:pt idx="2">
                  <c:v>67276</c:v>
                </c:pt>
                <c:pt idx="3">
                  <c:v>68708</c:v>
                </c:pt>
                <c:pt idx="4">
                  <c:v>71139</c:v>
                </c:pt>
                <c:pt idx="5">
                  <c:v>74698</c:v>
                </c:pt>
                <c:pt idx="6">
                  <c:v>66728</c:v>
                </c:pt>
                <c:pt idx="7">
                  <c:v>65772</c:v>
                </c:pt>
                <c:pt idx="8">
                  <c:v>61853</c:v>
                </c:pt>
                <c:pt idx="9">
                  <c:v>62202</c:v>
                </c:pt>
                <c:pt idx="10">
                  <c:v>57501</c:v>
                </c:pt>
                <c:pt idx="11">
                  <c:v>58586</c:v>
                </c:pt>
              </c:numCache>
            </c:numRef>
          </c:val>
        </c:ser>
        <c:dLbls>
          <c:showLegendKey val="0"/>
          <c:showVal val="0"/>
          <c:showCatName val="0"/>
          <c:showSerName val="0"/>
          <c:showPercent val="0"/>
          <c:showBubbleSize val="0"/>
        </c:dLbls>
        <c:gapWidth val="67"/>
        <c:overlap val="100"/>
        <c:axId val="566680608"/>
        <c:axId val="343233536"/>
      </c:barChart>
      <c:catAx>
        <c:axId val="566680608"/>
        <c:scaling>
          <c:orientation val="minMax"/>
        </c:scaling>
        <c:delete val="0"/>
        <c:axPos val="b"/>
        <c:numFmt formatCode="General" sourceLinked="0"/>
        <c:majorTickMark val="out"/>
        <c:minorTickMark val="none"/>
        <c:tickLblPos val="nextTo"/>
        <c:crossAx val="343233536"/>
        <c:crosses val="autoZero"/>
        <c:auto val="1"/>
        <c:lblAlgn val="ctr"/>
        <c:lblOffset val="100"/>
        <c:noMultiLvlLbl val="0"/>
      </c:catAx>
      <c:valAx>
        <c:axId val="343233536"/>
        <c:scaling>
          <c:orientation val="minMax"/>
          <c:min val="50000"/>
        </c:scaling>
        <c:delete val="0"/>
        <c:axPos val="l"/>
        <c:majorGridlines/>
        <c:numFmt formatCode="General" sourceLinked="1"/>
        <c:majorTickMark val="out"/>
        <c:minorTickMark val="none"/>
        <c:tickLblPos val="nextTo"/>
        <c:crossAx val="56668060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300" baseline="0">
                <a:solidFill>
                  <a:schemeClr val="bg1"/>
                </a:solidFill>
              </a:rPr>
              <a:t>Cost recovery for satellite filing</a:t>
            </a:r>
          </a:p>
        </c:rich>
      </c:tx>
      <c:layout/>
      <c:overlay val="0"/>
    </c:title>
    <c:autoTitleDeleted val="0"/>
    <c:plotArea>
      <c:layout/>
      <c:lineChart>
        <c:grouping val="standard"/>
        <c:varyColors val="0"/>
        <c:ser>
          <c:idx val="0"/>
          <c:order val="0"/>
          <c:tx>
            <c:strRef>
              <c:f>Sheet1!$A$4</c:f>
              <c:strCache>
                <c:ptCount val="1"/>
                <c:pt idx="0">
                  <c:v>Payment received</c:v>
                </c:pt>
              </c:strCache>
            </c:strRef>
          </c:tx>
          <c:dPt>
            <c:idx val="8"/>
            <c:marker>
              <c:spPr>
                <a:solidFill>
                  <a:srgbClr val="FF0000"/>
                </a:solidFill>
                <a:ln>
                  <a:solidFill>
                    <a:srgbClr val="FF0000"/>
                  </a:solidFill>
                </a:ln>
              </c:spPr>
            </c:marker>
            <c:bubble3D val="0"/>
          </c:dPt>
          <c:dPt>
            <c:idx val="9"/>
            <c:marker>
              <c:spPr>
                <a:solidFill>
                  <a:srgbClr val="FF0000"/>
                </a:solidFill>
                <a:ln>
                  <a:solidFill>
                    <a:srgbClr val="FF0000"/>
                  </a:solidFill>
                </a:ln>
              </c:spPr>
            </c:marker>
            <c:bubble3D val="0"/>
          </c:dPt>
          <c:cat>
            <c:strRef>
              <c:f>Sheet1!$B$1:$V$1</c:f>
              <c:strCache>
                <c:ptCount val="10"/>
                <c:pt idx="0">
                  <c:v>2000-2001</c:v>
                </c:pt>
                <c:pt idx="1">
                  <c:v>2002-2003</c:v>
                </c:pt>
                <c:pt idx="2">
                  <c:v>2004-2005</c:v>
                </c:pt>
                <c:pt idx="3">
                  <c:v>2006-2007</c:v>
                </c:pt>
                <c:pt idx="4">
                  <c:v>2008-2009</c:v>
                </c:pt>
                <c:pt idx="5">
                  <c:v>2010-2011</c:v>
                </c:pt>
                <c:pt idx="6">
                  <c:v>2012-2013</c:v>
                </c:pt>
                <c:pt idx="7">
                  <c:v>2014-2015</c:v>
                </c:pt>
                <c:pt idx="8">
                  <c:v>2016-2017</c:v>
                </c:pt>
                <c:pt idx="9">
                  <c:v>2018-2019</c:v>
                </c:pt>
              </c:strCache>
            </c:strRef>
          </c:cat>
          <c:val>
            <c:numRef>
              <c:f>Sheet1!$B$4:$K$4</c:f>
              <c:numCache>
                <c:formatCode>General</c:formatCode>
                <c:ptCount val="10"/>
                <c:pt idx="1">
                  <c:v>16868</c:v>
                </c:pt>
                <c:pt idx="2">
                  <c:v>16018</c:v>
                </c:pt>
                <c:pt idx="3">
                  <c:v>12510</c:v>
                </c:pt>
                <c:pt idx="4">
                  <c:v>10032</c:v>
                </c:pt>
                <c:pt idx="5">
                  <c:v>24127</c:v>
                </c:pt>
                <c:pt idx="6">
                  <c:v>25697</c:v>
                </c:pt>
                <c:pt idx="7">
                  <c:v>21979</c:v>
                </c:pt>
                <c:pt idx="8">
                  <c:v>26000</c:v>
                </c:pt>
                <c:pt idx="9">
                  <c:v>27400</c:v>
                </c:pt>
              </c:numCache>
            </c:numRef>
          </c:val>
          <c:smooth val="0"/>
        </c:ser>
        <c:dLbls>
          <c:showLegendKey val="0"/>
          <c:showVal val="0"/>
          <c:showCatName val="0"/>
          <c:showSerName val="0"/>
          <c:showPercent val="0"/>
          <c:showBubbleSize val="0"/>
        </c:dLbls>
        <c:marker val="1"/>
        <c:smooth val="0"/>
        <c:axId val="343232752"/>
        <c:axId val="343231968"/>
      </c:lineChart>
      <c:dateAx>
        <c:axId val="343232752"/>
        <c:scaling>
          <c:orientation val="minMax"/>
        </c:scaling>
        <c:delete val="0"/>
        <c:axPos val="b"/>
        <c:numFmt formatCode="General" sourceLinked="1"/>
        <c:majorTickMark val="out"/>
        <c:minorTickMark val="none"/>
        <c:tickLblPos val="nextTo"/>
        <c:crossAx val="343231968"/>
        <c:crosses val="autoZero"/>
        <c:auto val="0"/>
        <c:lblOffset val="100"/>
        <c:baseTimeUnit val="days"/>
      </c:dateAx>
      <c:valAx>
        <c:axId val="343231968"/>
        <c:scaling>
          <c:orientation val="minMax"/>
          <c:max val="29000"/>
          <c:min val="10000"/>
        </c:scaling>
        <c:delete val="0"/>
        <c:axPos val="l"/>
        <c:majorGridlines/>
        <c:numFmt formatCode="General" sourceLinked="1"/>
        <c:majorTickMark val="out"/>
        <c:minorTickMark val="none"/>
        <c:tickLblPos val="nextTo"/>
        <c:crossAx val="343232752"/>
        <c:crosses val="autoZero"/>
        <c:crossBetween val="midCat"/>
        <c:majorUnit val="2000"/>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Sheet1!$A$5</c:f>
              <c:strCache>
                <c:ptCount val="1"/>
                <c:pt idx="0">
                  <c:v>BR</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Sheet1!$C$5:$R$5</c:f>
              <c:numCache>
                <c:formatCode>General</c:formatCode>
                <c:ptCount val="16"/>
                <c:pt idx="0">
                  <c:v>176</c:v>
                </c:pt>
                <c:pt idx="1">
                  <c:v>176</c:v>
                </c:pt>
                <c:pt idx="2">
                  <c:v>181</c:v>
                </c:pt>
                <c:pt idx="3">
                  <c:v>181</c:v>
                </c:pt>
                <c:pt idx="4">
                  <c:v>175</c:v>
                </c:pt>
                <c:pt idx="5">
                  <c:v>175</c:v>
                </c:pt>
                <c:pt idx="6">
                  <c:v>173</c:v>
                </c:pt>
                <c:pt idx="7">
                  <c:v>173</c:v>
                </c:pt>
                <c:pt idx="8">
                  <c:v>158</c:v>
                </c:pt>
                <c:pt idx="9">
                  <c:v>157</c:v>
                </c:pt>
                <c:pt idx="10">
                  <c:v>158</c:v>
                </c:pt>
                <c:pt idx="11">
                  <c:v>157</c:v>
                </c:pt>
                <c:pt idx="12">
                  <c:v>141</c:v>
                </c:pt>
                <c:pt idx="13">
                  <c:v>141</c:v>
                </c:pt>
                <c:pt idx="14">
                  <c:v>138</c:v>
                </c:pt>
                <c:pt idx="15">
                  <c:v>138</c:v>
                </c:pt>
              </c:numCache>
            </c:numRef>
          </c:val>
          <c:smooth val="0"/>
        </c:ser>
        <c:ser>
          <c:idx val="2"/>
          <c:order val="1"/>
          <c:tx>
            <c:strRef>
              <c:f>Sheet1!$A$6</c:f>
              <c:strCache>
                <c:ptCount val="1"/>
                <c:pt idx="0">
                  <c:v>BDT</c:v>
                </c:pt>
              </c:strCache>
            </c:strRef>
          </c:tx>
          <c:trendline>
            <c:trendlineType val="poly"/>
            <c:order val="2"/>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Sheet1!$C$6:$R$6</c:f>
              <c:numCache>
                <c:formatCode>General</c:formatCode>
                <c:ptCount val="16"/>
                <c:pt idx="0">
                  <c:v>140</c:v>
                </c:pt>
                <c:pt idx="1">
                  <c:v>140</c:v>
                </c:pt>
                <c:pt idx="2">
                  <c:v>134</c:v>
                </c:pt>
                <c:pt idx="3">
                  <c:v>134</c:v>
                </c:pt>
                <c:pt idx="4">
                  <c:v>126</c:v>
                </c:pt>
                <c:pt idx="5">
                  <c:v>126</c:v>
                </c:pt>
                <c:pt idx="6">
                  <c:v>131</c:v>
                </c:pt>
                <c:pt idx="7">
                  <c:v>131</c:v>
                </c:pt>
                <c:pt idx="8">
                  <c:v>142</c:v>
                </c:pt>
                <c:pt idx="9">
                  <c:v>142</c:v>
                </c:pt>
                <c:pt idx="10">
                  <c:v>144</c:v>
                </c:pt>
                <c:pt idx="11">
                  <c:v>144</c:v>
                </c:pt>
                <c:pt idx="12">
                  <c:v>141</c:v>
                </c:pt>
                <c:pt idx="13">
                  <c:v>141</c:v>
                </c:pt>
                <c:pt idx="14">
                  <c:v>140</c:v>
                </c:pt>
                <c:pt idx="15">
                  <c:v>140</c:v>
                </c:pt>
              </c:numCache>
            </c:numRef>
          </c:val>
          <c:smooth val="0"/>
        </c:ser>
        <c:ser>
          <c:idx val="3"/>
          <c:order val="2"/>
          <c:tx>
            <c:strRef>
              <c:f>Sheet1!$A$7</c:f>
              <c:strCache>
                <c:ptCount val="1"/>
                <c:pt idx="0">
                  <c:v>TSB</c:v>
                </c:pt>
              </c:strCache>
            </c:strRef>
          </c:tx>
          <c:marker>
            <c:symbol val="diamond"/>
            <c:size val="7"/>
          </c:marker>
          <c:trendline>
            <c:trendlineType val="linear"/>
            <c:dispRSqr val="0"/>
            <c:dispEq val="0"/>
          </c:trendline>
          <c:cat>
            <c:numRef>
              <c:f>Sheet1!$C$1:$R$1</c:f>
              <c:numCache>
                <c:formatCode>General</c:formatCode>
                <c:ptCount val="16"/>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numCache>
            </c:numRef>
          </c:cat>
          <c:val>
            <c:numRef>
              <c:f>Sheet1!$C$7:$R$7</c:f>
              <c:numCache>
                <c:formatCode>General</c:formatCode>
                <c:ptCount val="16"/>
                <c:pt idx="0">
                  <c:v>65</c:v>
                </c:pt>
                <c:pt idx="1">
                  <c:v>65</c:v>
                </c:pt>
                <c:pt idx="2">
                  <c:v>60</c:v>
                </c:pt>
                <c:pt idx="3">
                  <c:v>61</c:v>
                </c:pt>
                <c:pt idx="4">
                  <c:v>63</c:v>
                </c:pt>
                <c:pt idx="5">
                  <c:v>63</c:v>
                </c:pt>
                <c:pt idx="6">
                  <c:v>63</c:v>
                </c:pt>
                <c:pt idx="7">
                  <c:v>63</c:v>
                </c:pt>
                <c:pt idx="8">
                  <c:v>64</c:v>
                </c:pt>
                <c:pt idx="9">
                  <c:v>64</c:v>
                </c:pt>
                <c:pt idx="10">
                  <c:v>64</c:v>
                </c:pt>
                <c:pt idx="11">
                  <c:v>64</c:v>
                </c:pt>
                <c:pt idx="12">
                  <c:v>65</c:v>
                </c:pt>
                <c:pt idx="13">
                  <c:v>65</c:v>
                </c:pt>
                <c:pt idx="14">
                  <c:v>65</c:v>
                </c:pt>
                <c:pt idx="15">
                  <c:v>65</c:v>
                </c:pt>
              </c:numCache>
            </c:numRef>
          </c:val>
          <c:smooth val="0"/>
        </c:ser>
        <c:dLbls>
          <c:showLegendKey val="0"/>
          <c:showVal val="0"/>
          <c:showCatName val="0"/>
          <c:showSerName val="0"/>
          <c:showPercent val="0"/>
          <c:showBubbleSize val="0"/>
        </c:dLbls>
        <c:marker val="1"/>
        <c:smooth val="0"/>
        <c:axId val="334227144"/>
        <c:axId val="334228320"/>
      </c:lineChart>
      <c:catAx>
        <c:axId val="334227144"/>
        <c:scaling>
          <c:orientation val="minMax"/>
        </c:scaling>
        <c:delete val="0"/>
        <c:axPos val="b"/>
        <c:numFmt formatCode="General" sourceLinked="1"/>
        <c:majorTickMark val="out"/>
        <c:minorTickMark val="none"/>
        <c:tickLblPos val="nextTo"/>
        <c:crossAx val="334228320"/>
        <c:crosses val="autoZero"/>
        <c:auto val="1"/>
        <c:lblAlgn val="ctr"/>
        <c:lblOffset val="100"/>
        <c:noMultiLvlLbl val="0"/>
      </c:catAx>
      <c:valAx>
        <c:axId val="334228320"/>
        <c:scaling>
          <c:orientation val="minMax"/>
          <c:max val="190"/>
          <c:min val="40"/>
        </c:scaling>
        <c:delete val="0"/>
        <c:axPos val="l"/>
        <c:majorGridlines/>
        <c:numFmt formatCode="General" sourceLinked="1"/>
        <c:majorTickMark val="out"/>
        <c:minorTickMark val="none"/>
        <c:tickLblPos val="nextTo"/>
        <c:crossAx val="334227144"/>
        <c:crosses val="autoZero"/>
        <c:crossBetween val="midCat"/>
        <c:majorUnit val="10"/>
      </c:valAx>
    </c:plotArea>
    <c:legend>
      <c:legendPos val="r"/>
      <c:legendEntry>
        <c:idx val="0"/>
        <c:txPr>
          <a:bodyPr/>
          <a:lstStyle/>
          <a:p>
            <a:pPr>
              <a:defRPr baseline="0">
                <a:solidFill>
                  <a:schemeClr val="bg1"/>
                </a:solidFill>
              </a:defRPr>
            </a:pPr>
            <a:endParaRPr lang="en-US"/>
          </a:p>
        </c:txPr>
      </c:legendEntry>
      <c:legendEntry>
        <c:idx val="1"/>
        <c:txPr>
          <a:bodyPr/>
          <a:lstStyle/>
          <a:p>
            <a:pPr>
              <a:defRPr baseline="0">
                <a:solidFill>
                  <a:schemeClr val="bg1"/>
                </a:solidFill>
              </a:defRPr>
            </a:pPr>
            <a:endParaRPr lang="en-US"/>
          </a:p>
        </c:txPr>
      </c:legendEntry>
      <c:legendEntry>
        <c:idx val="2"/>
        <c:txPr>
          <a:bodyPr/>
          <a:lstStyle/>
          <a:p>
            <a:pPr>
              <a:defRPr baseline="0">
                <a:solidFill>
                  <a:schemeClr val="bg1"/>
                </a:solidFill>
              </a:defRPr>
            </a:pPr>
            <a:endParaRPr lang="en-US"/>
          </a:p>
        </c:txPr>
      </c:legendEntry>
      <c:legendEntry>
        <c:idx val="3"/>
        <c:txPr>
          <a:bodyPr/>
          <a:lstStyle/>
          <a:p>
            <a:pPr>
              <a:defRPr baseline="0">
                <a:solidFill>
                  <a:schemeClr val="bg1"/>
                </a:solidFill>
              </a:defRPr>
            </a:pPr>
            <a:endParaRPr lang="en-US"/>
          </a:p>
        </c:txPr>
      </c:legendEntry>
      <c:legendEntry>
        <c:idx val="4"/>
        <c:txPr>
          <a:bodyPr/>
          <a:lstStyle/>
          <a:p>
            <a:pPr>
              <a:defRPr baseline="0">
                <a:solidFill>
                  <a:schemeClr val="bg1"/>
                </a:solidFill>
              </a:defRPr>
            </a:pPr>
            <a:endParaRPr lang="en-US"/>
          </a:p>
        </c:txPr>
      </c:legendEntry>
      <c:legendEntry>
        <c:idx val="5"/>
        <c:txPr>
          <a:bodyPr/>
          <a:lstStyle/>
          <a:p>
            <a:pPr>
              <a:defRPr baseline="0">
                <a:solidFill>
                  <a:schemeClr val="bg1"/>
                </a:solidFill>
              </a:defRPr>
            </a:pPr>
            <a:endParaRPr lang="en-US"/>
          </a:p>
        </c:txPr>
      </c:legendEntry>
      <c:layout>
        <c:manualLayout>
          <c:xMode val="edge"/>
          <c:yMode val="edge"/>
          <c:x val="0.80447084637296151"/>
          <c:y val="0.32415319235824858"/>
          <c:w val="0.16233068905602485"/>
          <c:h val="0.35169361528350285"/>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Art.9 CR/C</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Sheet1!$B$2:$AA$2</c:f>
              <c:numCache>
                <c:formatCode>General</c:formatCode>
                <c:ptCount val="26"/>
                <c:pt idx="0">
                  <c:v>4.5</c:v>
                </c:pt>
                <c:pt idx="1">
                  <c:v>3.4</c:v>
                </c:pt>
                <c:pt idx="2">
                  <c:v>3.9</c:v>
                </c:pt>
                <c:pt idx="3">
                  <c:v>4.8</c:v>
                </c:pt>
                <c:pt idx="4">
                  <c:v>5.5</c:v>
                </c:pt>
                <c:pt idx="5">
                  <c:v>6.4</c:v>
                </c:pt>
                <c:pt idx="6">
                  <c:v>6</c:v>
                </c:pt>
                <c:pt idx="7">
                  <c:v>5.4</c:v>
                </c:pt>
                <c:pt idx="8">
                  <c:v>3.8</c:v>
                </c:pt>
                <c:pt idx="9">
                  <c:v>2.5</c:v>
                </c:pt>
                <c:pt idx="10">
                  <c:v>3.4</c:v>
                </c:pt>
                <c:pt idx="11">
                  <c:v>3.9</c:v>
                </c:pt>
                <c:pt idx="12">
                  <c:v>4.0999999999999996</c:v>
                </c:pt>
                <c:pt idx="13">
                  <c:v>3.9</c:v>
                </c:pt>
                <c:pt idx="14">
                  <c:v>4.4000000000000004</c:v>
                </c:pt>
                <c:pt idx="15">
                  <c:v>5</c:v>
                </c:pt>
                <c:pt idx="16">
                  <c:v>5.9</c:v>
                </c:pt>
                <c:pt idx="17">
                  <c:v>6.9</c:v>
                </c:pt>
                <c:pt idx="18">
                  <c:v>7.1</c:v>
                </c:pt>
                <c:pt idx="19">
                  <c:v>7.2</c:v>
                </c:pt>
                <c:pt idx="20">
                  <c:v>6.1</c:v>
                </c:pt>
                <c:pt idx="21">
                  <c:v>5.9</c:v>
                </c:pt>
                <c:pt idx="22">
                  <c:v>6</c:v>
                </c:pt>
                <c:pt idx="23">
                  <c:v>6.8</c:v>
                </c:pt>
                <c:pt idx="24">
                  <c:v>6.5</c:v>
                </c:pt>
                <c:pt idx="25">
                  <c:v>7</c:v>
                </c:pt>
              </c:numCache>
            </c:numRef>
          </c:val>
          <c:smooth val="0"/>
        </c:ser>
        <c:ser>
          <c:idx val="1"/>
          <c:order val="1"/>
          <c:tx>
            <c:v>App.30/30A Art.4</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Sheet1!$B$3:$AA$3</c:f>
              <c:numCache>
                <c:formatCode>General</c:formatCode>
                <c:ptCount val="26"/>
                <c:pt idx="0">
                  <c:v>4.3</c:v>
                </c:pt>
                <c:pt idx="1">
                  <c:v>4.3</c:v>
                </c:pt>
                <c:pt idx="2">
                  <c:v>4.3</c:v>
                </c:pt>
                <c:pt idx="3">
                  <c:v>4.3</c:v>
                </c:pt>
                <c:pt idx="4">
                  <c:v>4.0999999999999996</c:v>
                </c:pt>
                <c:pt idx="5">
                  <c:v>4.7</c:v>
                </c:pt>
                <c:pt idx="6">
                  <c:v>5.2</c:v>
                </c:pt>
                <c:pt idx="7">
                  <c:v>5.2</c:v>
                </c:pt>
                <c:pt idx="8">
                  <c:v>5.2</c:v>
                </c:pt>
                <c:pt idx="9">
                  <c:v>4.9000000000000004</c:v>
                </c:pt>
                <c:pt idx="10">
                  <c:v>5.2</c:v>
                </c:pt>
                <c:pt idx="11">
                  <c:v>5.2</c:v>
                </c:pt>
                <c:pt idx="12">
                  <c:v>5.3</c:v>
                </c:pt>
                <c:pt idx="13">
                  <c:v>4.5999999999999996</c:v>
                </c:pt>
                <c:pt idx="14">
                  <c:v>5</c:v>
                </c:pt>
                <c:pt idx="15">
                  <c:v>5</c:v>
                </c:pt>
                <c:pt idx="16">
                  <c:v>6</c:v>
                </c:pt>
                <c:pt idx="17">
                  <c:v>6</c:v>
                </c:pt>
                <c:pt idx="18">
                  <c:v>5</c:v>
                </c:pt>
                <c:pt idx="19">
                  <c:v>5.8</c:v>
                </c:pt>
                <c:pt idx="20">
                  <c:v>5.8</c:v>
                </c:pt>
                <c:pt idx="21">
                  <c:v>6.8</c:v>
                </c:pt>
                <c:pt idx="22">
                  <c:v>7.6</c:v>
                </c:pt>
                <c:pt idx="23">
                  <c:v>8.3000000000000007</c:v>
                </c:pt>
                <c:pt idx="24">
                  <c:v>9.8000000000000007</c:v>
                </c:pt>
                <c:pt idx="25">
                  <c:v>9.5</c:v>
                </c:pt>
              </c:numCache>
            </c:numRef>
          </c:val>
          <c:smooth val="0"/>
        </c:ser>
        <c:ser>
          <c:idx val="2"/>
          <c:order val="2"/>
          <c:tx>
            <c:v>App.30B Art.6&amp;7</c:v>
          </c:tx>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Sheet1!$B$4:$AA$4</c:f>
              <c:numCache>
                <c:formatCode>General</c:formatCode>
                <c:ptCount val="26"/>
                <c:pt idx="0">
                  <c:v>4.8</c:v>
                </c:pt>
                <c:pt idx="1">
                  <c:v>4.8</c:v>
                </c:pt>
                <c:pt idx="2">
                  <c:v>5.9</c:v>
                </c:pt>
                <c:pt idx="3">
                  <c:v>4.0999999999999996</c:v>
                </c:pt>
                <c:pt idx="4">
                  <c:v>4.0999999999999996</c:v>
                </c:pt>
                <c:pt idx="5">
                  <c:v>3.7</c:v>
                </c:pt>
                <c:pt idx="6">
                  <c:v>3.7</c:v>
                </c:pt>
                <c:pt idx="7">
                  <c:v>4.0999999999999996</c:v>
                </c:pt>
                <c:pt idx="8">
                  <c:v>4.4000000000000004</c:v>
                </c:pt>
                <c:pt idx="9">
                  <c:v>4.4000000000000004</c:v>
                </c:pt>
                <c:pt idx="10">
                  <c:v>5.7</c:v>
                </c:pt>
                <c:pt idx="11">
                  <c:v>5.5</c:v>
                </c:pt>
                <c:pt idx="12">
                  <c:v>5</c:v>
                </c:pt>
                <c:pt idx="13">
                  <c:v>5.9</c:v>
                </c:pt>
                <c:pt idx="14">
                  <c:v>4.8</c:v>
                </c:pt>
                <c:pt idx="15">
                  <c:v>5.4</c:v>
                </c:pt>
                <c:pt idx="16">
                  <c:v>5.4</c:v>
                </c:pt>
                <c:pt idx="17">
                  <c:v>7.2</c:v>
                </c:pt>
                <c:pt idx="18">
                  <c:v>8</c:v>
                </c:pt>
                <c:pt idx="19">
                  <c:v>7.5</c:v>
                </c:pt>
                <c:pt idx="20">
                  <c:v>6.9</c:v>
                </c:pt>
                <c:pt idx="21">
                  <c:v>6.5</c:v>
                </c:pt>
                <c:pt idx="22">
                  <c:v>6.2</c:v>
                </c:pt>
                <c:pt idx="23">
                  <c:v>7.2</c:v>
                </c:pt>
                <c:pt idx="24">
                  <c:v>8</c:v>
                </c:pt>
                <c:pt idx="25">
                  <c:v>8</c:v>
                </c:pt>
              </c:numCache>
            </c:numRef>
          </c:val>
          <c:smooth val="0"/>
        </c:ser>
        <c:ser>
          <c:idx val="3"/>
          <c:order val="3"/>
          <c:tx>
            <c:v>RR No.9.38 Limit</c:v>
          </c:tx>
          <c:spPr>
            <a:ln>
              <a:prstDash val="sysDash"/>
            </a:ln>
          </c:spPr>
          <c:marker>
            <c:symbol val="none"/>
          </c:marker>
          <c:cat>
            <c:strRef>
              <c:f>Sheet1!$B$1:$AA$1</c:f>
              <c:strCache>
                <c:ptCount val="26"/>
                <c:pt idx="0">
                  <c:v>01.2015</c:v>
                </c:pt>
                <c:pt idx="1">
                  <c:v>02.2015</c:v>
                </c:pt>
                <c:pt idx="2">
                  <c:v>03.2015</c:v>
                </c:pt>
                <c:pt idx="3">
                  <c:v>04.2015</c:v>
                </c:pt>
                <c:pt idx="4">
                  <c:v>05.2015</c:v>
                </c:pt>
                <c:pt idx="5">
                  <c:v>06.2015</c:v>
                </c:pt>
                <c:pt idx="6">
                  <c:v>07.2015</c:v>
                </c:pt>
                <c:pt idx="7">
                  <c:v>08.2015</c:v>
                </c:pt>
                <c:pt idx="8">
                  <c:v>09.2015</c:v>
                </c:pt>
                <c:pt idx="9">
                  <c:v>10.2015</c:v>
                </c:pt>
                <c:pt idx="10">
                  <c:v>11.2015</c:v>
                </c:pt>
                <c:pt idx="11">
                  <c:v>12.2015</c:v>
                </c:pt>
                <c:pt idx="12">
                  <c:v>01.2016</c:v>
                </c:pt>
                <c:pt idx="13">
                  <c:v>02.2016</c:v>
                </c:pt>
                <c:pt idx="14">
                  <c:v>03.2016</c:v>
                </c:pt>
                <c:pt idx="15">
                  <c:v>04.2016</c:v>
                </c:pt>
                <c:pt idx="16">
                  <c:v>05.2016</c:v>
                </c:pt>
                <c:pt idx="17">
                  <c:v>06.2016</c:v>
                </c:pt>
                <c:pt idx="18">
                  <c:v>07.2016</c:v>
                </c:pt>
                <c:pt idx="19">
                  <c:v>08.2016</c:v>
                </c:pt>
                <c:pt idx="20">
                  <c:v>09.2016</c:v>
                </c:pt>
                <c:pt idx="21">
                  <c:v>10.2016</c:v>
                </c:pt>
                <c:pt idx="22">
                  <c:v>11.2016</c:v>
                </c:pt>
                <c:pt idx="23">
                  <c:v>12.2016</c:v>
                </c:pt>
                <c:pt idx="24">
                  <c:v>01.2017</c:v>
                </c:pt>
                <c:pt idx="25">
                  <c:v>02.2017</c:v>
                </c:pt>
              </c:strCache>
            </c:strRef>
          </c:cat>
          <c:val>
            <c:numRef>
              <c:f>Sheet1!$B$5:$AA$5</c:f>
              <c:numCache>
                <c:formatCode>General</c:formatCode>
                <c:ptCount val="26"/>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pt idx="24">
                  <c:v>4</c:v>
                </c:pt>
                <c:pt idx="25">
                  <c:v>4</c:v>
                </c:pt>
              </c:numCache>
            </c:numRef>
          </c:val>
          <c:smooth val="0"/>
        </c:ser>
        <c:dLbls>
          <c:showLegendKey val="0"/>
          <c:showVal val="0"/>
          <c:showCatName val="0"/>
          <c:showSerName val="0"/>
          <c:showPercent val="0"/>
          <c:showBubbleSize val="0"/>
        </c:dLbls>
        <c:marker val="1"/>
        <c:smooth val="0"/>
        <c:axId val="574902312"/>
        <c:axId val="574902704"/>
      </c:lineChart>
      <c:catAx>
        <c:axId val="574902312"/>
        <c:scaling>
          <c:orientation val="minMax"/>
        </c:scaling>
        <c:delete val="0"/>
        <c:axPos val="b"/>
        <c:numFmt formatCode="General" sourceLinked="0"/>
        <c:majorTickMark val="out"/>
        <c:minorTickMark val="none"/>
        <c:tickLblPos val="nextTo"/>
        <c:crossAx val="574902704"/>
        <c:crosses val="autoZero"/>
        <c:auto val="1"/>
        <c:lblAlgn val="ctr"/>
        <c:lblOffset val="100"/>
        <c:noMultiLvlLbl val="0"/>
      </c:catAx>
      <c:valAx>
        <c:axId val="574902704"/>
        <c:scaling>
          <c:orientation val="minMax"/>
          <c:max val="10"/>
          <c:min val="2"/>
        </c:scaling>
        <c:delete val="0"/>
        <c:axPos val="l"/>
        <c:majorGridlines/>
        <c:numFmt formatCode="General" sourceLinked="1"/>
        <c:majorTickMark val="out"/>
        <c:minorTickMark val="none"/>
        <c:tickLblPos val="nextTo"/>
        <c:crossAx val="574902312"/>
        <c:crosses val="autoZero"/>
        <c:crossBetween val="between"/>
        <c:majorUnit val="1"/>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v>Art. 9 CR/C</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Sheet2!$B$2:$Y$2</c:f>
              <c:numCache>
                <c:formatCode>General</c:formatCode>
                <c:ptCount val="24"/>
                <c:pt idx="0">
                  <c:v>4</c:v>
                </c:pt>
                <c:pt idx="1">
                  <c:v>4.2</c:v>
                </c:pt>
                <c:pt idx="2">
                  <c:v>3.7</c:v>
                </c:pt>
                <c:pt idx="3">
                  <c:v>3.7</c:v>
                </c:pt>
                <c:pt idx="4">
                  <c:v>3.6</c:v>
                </c:pt>
                <c:pt idx="5">
                  <c:v>3.8</c:v>
                </c:pt>
                <c:pt idx="6">
                  <c:v>4.0999999999999996</c:v>
                </c:pt>
                <c:pt idx="7">
                  <c:v>3.5</c:v>
                </c:pt>
                <c:pt idx="8">
                  <c:v>3.6</c:v>
                </c:pt>
                <c:pt idx="9">
                  <c:v>3.5</c:v>
                </c:pt>
                <c:pt idx="10">
                  <c:v>4.4000000000000004</c:v>
                </c:pt>
                <c:pt idx="11">
                  <c:v>3.7</c:v>
                </c:pt>
                <c:pt idx="12">
                  <c:v>4</c:v>
                </c:pt>
                <c:pt idx="13">
                  <c:v>4.2</c:v>
                </c:pt>
                <c:pt idx="14">
                  <c:v>3.7</c:v>
                </c:pt>
                <c:pt idx="15">
                  <c:v>4.2</c:v>
                </c:pt>
                <c:pt idx="16">
                  <c:v>3</c:v>
                </c:pt>
                <c:pt idx="17">
                  <c:v>2.2000000000000002</c:v>
                </c:pt>
                <c:pt idx="18">
                  <c:v>3.1</c:v>
                </c:pt>
                <c:pt idx="19">
                  <c:v>3.8</c:v>
                </c:pt>
                <c:pt idx="20">
                  <c:v>4</c:v>
                </c:pt>
                <c:pt idx="21">
                  <c:v>4.5</c:v>
                </c:pt>
                <c:pt idx="22">
                  <c:v>4.9000000000000004</c:v>
                </c:pt>
                <c:pt idx="23">
                  <c:v>4.5999999999999996</c:v>
                </c:pt>
              </c:numCache>
            </c:numRef>
          </c:val>
          <c:smooth val="0"/>
        </c:ser>
        <c:ser>
          <c:idx val="1"/>
          <c:order val="1"/>
          <c:tx>
            <c:v>App. 30/30A</c:v>
          </c:tx>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Sheet2!$B$3:$Y$3</c:f>
              <c:numCache>
                <c:formatCode>General</c:formatCode>
                <c:ptCount val="24"/>
                <c:pt idx="0">
                  <c:v>3.5</c:v>
                </c:pt>
                <c:pt idx="1">
                  <c:v>4.4000000000000004</c:v>
                </c:pt>
                <c:pt idx="2">
                  <c:v>5</c:v>
                </c:pt>
                <c:pt idx="3">
                  <c:v>5</c:v>
                </c:pt>
                <c:pt idx="4">
                  <c:v>5</c:v>
                </c:pt>
                <c:pt idx="5">
                  <c:v>5.9</c:v>
                </c:pt>
                <c:pt idx="6">
                  <c:v>4.8</c:v>
                </c:pt>
                <c:pt idx="7">
                  <c:v>4.8</c:v>
                </c:pt>
                <c:pt idx="8">
                  <c:v>5.3</c:v>
                </c:pt>
                <c:pt idx="9">
                  <c:v>2.2999999999999998</c:v>
                </c:pt>
                <c:pt idx="10">
                  <c:v>2.8</c:v>
                </c:pt>
                <c:pt idx="11">
                  <c:v>2.2999999999999998</c:v>
                </c:pt>
                <c:pt idx="12">
                  <c:v>2.2999999999999998</c:v>
                </c:pt>
                <c:pt idx="13">
                  <c:v>3.7</c:v>
                </c:pt>
                <c:pt idx="14">
                  <c:v>3.7</c:v>
                </c:pt>
                <c:pt idx="15">
                  <c:v>3.7</c:v>
                </c:pt>
                <c:pt idx="16">
                  <c:v>3.4</c:v>
                </c:pt>
                <c:pt idx="17">
                  <c:v>3.4</c:v>
                </c:pt>
                <c:pt idx="18">
                  <c:v>3.6</c:v>
                </c:pt>
                <c:pt idx="19">
                  <c:v>4.8</c:v>
                </c:pt>
                <c:pt idx="20">
                  <c:v>5.8</c:v>
                </c:pt>
                <c:pt idx="21">
                  <c:v>5.8</c:v>
                </c:pt>
                <c:pt idx="22">
                  <c:v>5.9</c:v>
                </c:pt>
                <c:pt idx="23">
                  <c:v>5.9</c:v>
                </c:pt>
              </c:numCache>
            </c:numRef>
          </c:val>
          <c:smooth val="0"/>
        </c:ser>
        <c:ser>
          <c:idx val="3"/>
          <c:order val="2"/>
          <c:tx>
            <c:v>RR No.9.38 Limit</c:v>
          </c:tx>
          <c:spPr>
            <a:ln w="28575">
              <a:prstDash val="sysDash"/>
            </a:ln>
          </c:spPr>
          <c:marker>
            <c:symbol val="none"/>
          </c:marker>
          <c:cat>
            <c:strRef>
              <c:f>Sheet2!$B$1:$Y$1</c:f>
              <c:strCache>
                <c:ptCount val="24"/>
                <c:pt idx="0">
                  <c:v>01.2007</c:v>
                </c:pt>
                <c:pt idx="1">
                  <c:v>02.2007</c:v>
                </c:pt>
                <c:pt idx="2">
                  <c:v>03.2007</c:v>
                </c:pt>
                <c:pt idx="3">
                  <c:v>04.2007</c:v>
                </c:pt>
                <c:pt idx="4">
                  <c:v>05.2007</c:v>
                </c:pt>
                <c:pt idx="5">
                  <c:v>06.2007</c:v>
                </c:pt>
                <c:pt idx="6">
                  <c:v>07.2007</c:v>
                </c:pt>
                <c:pt idx="7">
                  <c:v>08.2007</c:v>
                </c:pt>
                <c:pt idx="8">
                  <c:v>09.2007</c:v>
                </c:pt>
                <c:pt idx="9">
                  <c:v>10.2007</c:v>
                </c:pt>
                <c:pt idx="10">
                  <c:v>11.2007</c:v>
                </c:pt>
                <c:pt idx="11">
                  <c:v>12.2007</c:v>
                </c:pt>
                <c:pt idx="12">
                  <c:v>01.2008</c:v>
                </c:pt>
                <c:pt idx="13">
                  <c:v>02.2008</c:v>
                </c:pt>
                <c:pt idx="14">
                  <c:v>03.2008</c:v>
                </c:pt>
                <c:pt idx="15">
                  <c:v>04.2008</c:v>
                </c:pt>
                <c:pt idx="16">
                  <c:v>05.2008</c:v>
                </c:pt>
                <c:pt idx="17">
                  <c:v>06.2008</c:v>
                </c:pt>
                <c:pt idx="18">
                  <c:v>07.2008</c:v>
                </c:pt>
                <c:pt idx="19">
                  <c:v>08.2008</c:v>
                </c:pt>
                <c:pt idx="20">
                  <c:v>09.2008</c:v>
                </c:pt>
                <c:pt idx="21">
                  <c:v>10.2008</c:v>
                </c:pt>
                <c:pt idx="22">
                  <c:v>11.2008</c:v>
                </c:pt>
                <c:pt idx="23">
                  <c:v>12.2008</c:v>
                </c:pt>
              </c:strCache>
            </c:strRef>
          </c:cat>
          <c:val>
            <c:numRef>
              <c:f>Sheet2!$B$5:$Y$5</c:f>
              <c:numCache>
                <c:formatCode>General</c:formatCode>
                <c:ptCount val="24"/>
                <c:pt idx="0">
                  <c:v>4</c:v>
                </c:pt>
                <c:pt idx="1">
                  <c:v>4</c:v>
                </c:pt>
                <c:pt idx="2">
                  <c:v>4</c:v>
                </c:pt>
                <c:pt idx="3">
                  <c:v>4</c:v>
                </c:pt>
                <c:pt idx="4">
                  <c:v>4</c:v>
                </c:pt>
                <c:pt idx="5">
                  <c:v>4</c:v>
                </c:pt>
                <c:pt idx="6">
                  <c:v>4</c:v>
                </c:pt>
                <c:pt idx="7">
                  <c:v>4</c:v>
                </c:pt>
                <c:pt idx="8">
                  <c:v>4</c:v>
                </c:pt>
                <c:pt idx="9">
                  <c:v>4</c:v>
                </c:pt>
                <c:pt idx="10">
                  <c:v>4</c:v>
                </c:pt>
                <c:pt idx="11">
                  <c:v>4</c:v>
                </c:pt>
                <c:pt idx="12">
                  <c:v>4</c:v>
                </c:pt>
                <c:pt idx="13">
                  <c:v>4</c:v>
                </c:pt>
                <c:pt idx="14">
                  <c:v>4</c:v>
                </c:pt>
                <c:pt idx="15">
                  <c:v>4</c:v>
                </c:pt>
                <c:pt idx="16">
                  <c:v>4</c:v>
                </c:pt>
                <c:pt idx="17">
                  <c:v>4</c:v>
                </c:pt>
                <c:pt idx="18">
                  <c:v>4</c:v>
                </c:pt>
                <c:pt idx="19">
                  <c:v>4</c:v>
                </c:pt>
                <c:pt idx="20">
                  <c:v>4</c:v>
                </c:pt>
                <c:pt idx="21">
                  <c:v>4</c:v>
                </c:pt>
                <c:pt idx="22">
                  <c:v>4</c:v>
                </c:pt>
                <c:pt idx="23">
                  <c:v>4</c:v>
                </c:pt>
              </c:numCache>
            </c:numRef>
          </c:val>
          <c:smooth val="0"/>
        </c:ser>
        <c:dLbls>
          <c:showLegendKey val="0"/>
          <c:showVal val="0"/>
          <c:showCatName val="0"/>
          <c:showSerName val="0"/>
          <c:showPercent val="0"/>
          <c:showBubbleSize val="0"/>
        </c:dLbls>
        <c:marker val="1"/>
        <c:smooth val="0"/>
        <c:axId val="569916776"/>
        <c:axId val="569917168"/>
      </c:lineChart>
      <c:catAx>
        <c:axId val="569916776"/>
        <c:scaling>
          <c:orientation val="minMax"/>
        </c:scaling>
        <c:delete val="0"/>
        <c:axPos val="b"/>
        <c:numFmt formatCode="General" sourceLinked="0"/>
        <c:majorTickMark val="out"/>
        <c:minorTickMark val="none"/>
        <c:tickLblPos val="nextTo"/>
        <c:crossAx val="569917168"/>
        <c:crosses val="autoZero"/>
        <c:auto val="1"/>
        <c:lblAlgn val="ctr"/>
        <c:lblOffset val="100"/>
        <c:noMultiLvlLbl val="0"/>
      </c:catAx>
      <c:valAx>
        <c:axId val="569917168"/>
        <c:scaling>
          <c:orientation val="minMax"/>
          <c:max val="10"/>
          <c:min val="2"/>
        </c:scaling>
        <c:delete val="0"/>
        <c:axPos val="l"/>
        <c:majorGridlines/>
        <c:numFmt formatCode="General" sourceLinked="1"/>
        <c:majorTickMark val="out"/>
        <c:minorTickMark val="none"/>
        <c:tickLblPos val="nextTo"/>
        <c:crossAx val="569916776"/>
        <c:crosses val="autoZero"/>
        <c:crossBetween val="midCat"/>
        <c:majorUnit val="1"/>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0C1D2-1511-46D4-9950-F4B570FB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2017.dotx</Template>
  <TotalTime>3</TotalTime>
  <Pages>11</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20194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Elbahnassawy, Ganat</dc:creator>
  <cp:keywords>DPM_v2016.12.12.1_prod</cp:keywords>
  <dc:description>Template used by DPM and CPI for the WTSA-16</dc:description>
  <cp:lastModifiedBy>Awad, Samy</cp:lastModifiedBy>
  <cp:revision>6</cp:revision>
  <cp:lastPrinted>2017-05-12T13:36:00Z</cp:lastPrinted>
  <dcterms:created xsi:type="dcterms:W3CDTF">2017-05-29T12:20:00Z</dcterms:created>
  <dcterms:modified xsi:type="dcterms:W3CDTF">2017-05-29T14:15:00Z</dcterms:modified>
  <cp:category>Conference document</cp:category>
</cp:coreProperties>
</file>