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2A1976" w:rsidRDefault="000E4FF0" w:rsidP="00F269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2A1976">
              <w:rPr>
                <w:rFonts w:eastAsiaTheme="minorEastAsia" w:hint="cs"/>
                <w:b/>
                <w:bCs/>
                <w:rtl/>
                <w:lang w:eastAsia="zh-CN" w:bidi="ar-EG"/>
              </w:rPr>
              <w:t xml:space="preserve">بند جدول الأعمال: </w:t>
            </w:r>
            <w:r w:rsidR="002A1976" w:rsidRPr="002A1976">
              <w:rPr>
                <w:rFonts w:eastAsiaTheme="minorEastAsia"/>
                <w:b/>
                <w:bCs/>
                <w:lang w:eastAsia="zh-CN" w:bidi="ar-EG"/>
              </w:rPr>
              <w:t>PL</w:t>
            </w:r>
            <w:r w:rsidR="00F269F7">
              <w:rPr>
                <w:rFonts w:eastAsiaTheme="minorEastAsia"/>
                <w:b/>
                <w:bCs/>
                <w:lang w:eastAsia="zh-CN" w:bidi="ar-EG"/>
              </w:rPr>
              <w:t> </w:t>
            </w:r>
            <w:r w:rsidR="002A1976" w:rsidRPr="002A1976">
              <w:rPr>
                <w:rFonts w:eastAsiaTheme="minorEastAsia"/>
                <w:b/>
                <w:bCs/>
                <w:lang w:eastAsia="zh-CN" w:bidi="ar-EG"/>
              </w:rPr>
              <w:t>2.7</w:t>
            </w:r>
          </w:p>
        </w:tc>
        <w:tc>
          <w:tcPr>
            <w:tcW w:w="3052" w:type="dxa"/>
            <w:vAlign w:val="center"/>
          </w:tcPr>
          <w:p w:rsidR="00F269F7" w:rsidRDefault="00F269F7" w:rsidP="002A19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hint="cs"/>
                <w:b/>
                <w:bCs/>
                <w:rtl/>
                <w:lang w:eastAsia="zh-CN" w:bidi="ar-EG"/>
              </w:rPr>
              <w:t>المراجعة </w:t>
            </w:r>
            <w:r w:rsidR="00C811B6">
              <w:rPr>
                <w:rFonts w:eastAsiaTheme="minorEastAsia"/>
                <w:b/>
                <w:bCs/>
                <w:lang w:eastAsia="zh-CN" w:bidi="ar-EG"/>
              </w:rPr>
              <w:t>2</w:t>
            </w:r>
          </w:p>
          <w:p w:rsidR="000E4FF0" w:rsidRPr="000E4FF0" w:rsidRDefault="00F269F7" w:rsidP="002A197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2A1976">
              <w:rPr>
                <w:rFonts w:eastAsiaTheme="minorEastAsia"/>
                <w:b/>
                <w:bCs/>
                <w:lang w:eastAsia="zh-CN" w:bidi="ar-SY"/>
              </w:rPr>
              <w:t>78</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481552" w:rsidP="00F269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sidR="00C811B6">
              <w:rPr>
                <w:rFonts w:eastAsiaTheme="minorEastAsia"/>
                <w:b/>
                <w:bCs/>
                <w:lang w:eastAsia="zh-CN" w:bidi="ar-SY"/>
              </w:rPr>
              <w:t>5</w:t>
            </w:r>
            <w:r w:rsidR="000E4FF0" w:rsidRPr="000E4FF0">
              <w:rPr>
                <w:rFonts w:eastAsiaTheme="minorEastAsia" w:hint="cs"/>
                <w:b/>
                <w:bCs/>
                <w:rtl/>
                <w:lang w:eastAsia="zh-CN" w:bidi="ar-EG"/>
              </w:rPr>
              <w:t xml:space="preserve"> </w:t>
            </w:r>
            <w:r w:rsidR="00F269F7">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FE5DB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2A1976">
              <w:rPr>
                <w:rFonts w:eastAsiaTheme="minorEastAsia" w:hint="cs"/>
                <w:b/>
                <w:bCs/>
                <w:rtl/>
                <w:lang w:eastAsia="zh-CN" w:bidi="ar-EG"/>
              </w:rPr>
              <w:t>با</w:t>
            </w:r>
            <w:r w:rsidR="00FE5DB0">
              <w:rPr>
                <w:rFonts w:eastAsiaTheme="minorEastAsia" w:hint="cs"/>
                <w:b/>
                <w:bCs/>
                <w:rtl/>
                <w:lang w:eastAsia="zh-CN" w:bidi="ar-EG"/>
              </w:rPr>
              <w:t>لروسية</w:t>
            </w:r>
          </w:p>
        </w:tc>
      </w:tr>
      <w:tr w:rsidR="000E4FF0" w:rsidRPr="000E4FF0" w:rsidTr="000E4FF0">
        <w:trPr>
          <w:cantSplit/>
          <w:jc w:val="center"/>
        </w:trPr>
        <w:tc>
          <w:tcPr>
            <w:tcW w:w="9672" w:type="dxa"/>
            <w:gridSpan w:val="2"/>
          </w:tcPr>
          <w:p w:rsidR="000E4FF0" w:rsidRPr="000E4FF0" w:rsidRDefault="000F0C46" w:rsidP="00F269F7">
            <w:pPr>
              <w:pStyle w:val="Source"/>
              <w:spacing w:after="0"/>
              <w:rPr>
                <w:rFonts w:eastAsiaTheme="minorEastAsia"/>
                <w:rtl/>
                <w:lang w:eastAsia="zh-CN"/>
              </w:rPr>
            </w:pPr>
            <w:r w:rsidRPr="000F0C46">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0F0C46" w:rsidP="000F0C46">
            <w:pPr>
              <w:pStyle w:val="Title1"/>
              <w:rPr>
                <w:rFonts w:eastAsiaTheme="minorEastAsia"/>
                <w:rtl/>
                <w:lang w:eastAsia="zh-CN"/>
              </w:rPr>
            </w:pPr>
            <w:r w:rsidRPr="000F0C46">
              <w:rPr>
                <w:rFonts w:eastAsiaTheme="minorEastAsia" w:hint="cs"/>
                <w:rtl/>
                <w:lang w:eastAsia="zh-CN" w:bidi="ar-SA"/>
              </w:rPr>
              <w:t>مساهمة من الاتحاد الروسي</w:t>
            </w:r>
            <w:r w:rsidR="00F269F7">
              <w:rPr>
                <w:rFonts w:eastAsiaTheme="minorEastAsia" w:hint="cs"/>
                <w:rtl/>
                <w:lang w:eastAsia="zh-CN"/>
              </w:rPr>
              <w:t xml:space="preserve"> وجمهورية أرمينيا وجمهورية بيلاروس</w:t>
            </w:r>
            <w:r w:rsidR="00C811B6">
              <w:rPr>
                <w:rFonts w:eastAsiaTheme="minorEastAsia" w:hint="cs"/>
                <w:rtl/>
                <w:lang w:eastAsia="zh-CN"/>
              </w:rPr>
              <w:t xml:space="preserve"> </w:t>
            </w:r>
            <w:r w:rsidR="00C811B6">
              <w:rPr>
                <w:rFonts w:eastAsiaTheme="minorEastAsia"/>
                <w:rtl/>
                <w:lang w:eastAsia="zh-CN"/>
              </w:rPr>
              <w:br/>
            </w:r>
            <w:r w:rsidR="00C811B6">
              <w:rPr>
                <w:rFonts w:eastAsiaTheme="minorEastAsia" w:hint="cs"/>
                <w:rtl/>
                <w:lang w:eastAsia="zh-CN"/>
              </w:rPr>
              <w:t>وجمهورية قيرغيزستان</w:t>
            </w:r>
          </w:p>
        </w:tc>
      </w:tr>
      <w:tr w:rsidR="000E4FF0" w:rsidRPr="000E4FF0" w:rsidTr="000E4FF0">
        <w:trPr>
          <w:cantSplit/>
          <w:jc w:val="center"/>
        </w:trPr>
        <w:tc>
          <w:tcPr>
            <w:tcW w:w="9672" w:type="dxa"/>
            <w:gridSpan w:val="2"/>
          </w:tcPr>
          <w:p w:rsidR="000E4FF0" w:rsidRPr="000E4FF0" w:rsidRDefault="000F0C46" w:rsidP="000F0C46">
            <w:pPr>
              <w:pStyle w:val="Title2"/>
              <w:rPr>
                <w:rFonts w:eastAsiaTheme="minorEastAsia"/>
                <w:w w:val="120"/>
                <w:rtl/>
                <w:lang w:eastAsia="zh-CN"/>
              </w:rPr>
            </w:pPr>
            <w:r w:rsidRPr="000F0C46">
              <w:rPr>
                <w:rFonts w:eastAsiaTheme="minorEastAsia" w:hint="cs"/>
                <w:w w:val="120"/>
                <w:rtl/>
                <w:lang w:eastAsia="zh-CN" w:bidi="ar-SA"/>
              </w:rPr>
              <w:t>مقترحات من أجل تحسين</w:t>
            </w:r>
            <w:r w:rsidRPr="000F0C46">
              <w:rPr>
                <w:rFonts w:eastAsiaTheme="minorEastAsia"/>
                <w:w w:val="120"/>
                <w:rtl/>
                <w:lang w:eastAsia="zh-CN" w:bidi="ar-SA"/>
              </w:rPr>
              <w:t xml:space="preserve"> عملية تنظيم مؤتمر المندوبين المفوضين</w:t>
            </w:r>
          </w:p>
        </w:tc>
      </w:tr>
    </w:tbl>
    <w:p w:rsid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BA1246" w:rsidRDefault="00BA1246" w:rsidP="00BA1246">
      <w:pPr>
        <w:rPr>
          <w:rFonts w:eastAsiaTheme="minorEastAsia"/>
          <w:rtl/>
          <w:lang w:eastAsia="zh-CN"/>
        </w:rPr>
      </w:pPr>
      <w:r>
        <w:rPr>
          <w:rFonts w:hint="cs"/>
          <w:rtl/>
        </w:rPr>
        <w:t xml:space="preserve">يشرفني أن أحيل إلى الدول الأعضاء في المجلس مساهمة مقدمة من </w:t>
      </w:r>
      <w:r>
        <w:rPr>
          <w:rFonts w:hint="cs"/>
          <w:b/>
          <w:bCs/>
          <w:rtl/>
        </w:rPr>
        <w:t>الاتحاد الروسي</w:t>
      </w:r>
      <w:r w:rsidR="00F269F7">
        <w:rPr>
          <w:rFonts w:hint="cs"/>
          <w:b/>
          <w:bCs/>
          <w:rtl/>
        </w:rPr>
        <w:t xml:space="preserve"> وجمهورية أرمينيا وجمهورية بيلاروس</w:t>
      </w:r>
      <w:r w:rsidR="00C811B6">
        <w:rPr>
          <w:rFonts w:hint="cs"/>
          <w:b/>
          <w:bCs/>
          <w:rtl/>
        </w:rPr>
        <w:t xml:space="preserve"> </w:t>
      </w:r>
      <w:r w:rsidR="00C811B6" w:rsidRPr="00C811B6">
        <w:rPr>
          <w:rFonts w:eastAsiaTheme="minorEastAsia" w:hint="cs"/>
          <w:b/>
          <w:bCs/>
          <w:rtl/>
          <w:lang w:eastAsia="zh-CN"/>
        </w:rPr>
        <w:t>وجمهورية قيرغيزستان</w:t>
      </w:r>
      <w:r>
        <w:rPr>
          <w:rFonts w:hint="cs"/>
          <w:rtl/>
        </w:rPr>
        <w:t>.</w:t>
      </w:r>
    </w:p>
    <w:p w:rsidR="00BA1246" w:rsidRDefault="00BA1246" w:rsidP="00BA1246">
      <w:pPr>
        <w:spacing w:before="1440"/>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BA1246" w:rsidRDefault="00BA1246" w:rsidP="00BA1246">
      <w:pPr>
        <w:rPr>
          <w:rFonts w:eastAsiaTheme="minorEastAsia"/>
          <w:rtl/>
          <w:lang w:eastAsia="zh-CN"/>
        </w:rPr>
      </w:pPr>
    </w:p>
    <w:p w:rsidR="00BA1246" w:rsidRDefault="00BA1246" w:rsidP="00BA1246">
      <w:pPr>
        <w:rPr>
          <w:rFonts w:eastAsiaTheme="minorEastAsia"/>
          <w:rtl/>
          <w:lang w:eastAsia="zh-CN"/>
        </w:rPr>
      </w:pPr>
      <w:r>
        <w:rPr>
          <w:rFonts w:eastAsiaTheme="minorEastAsia"/>
          <w:rtl/>
          <w:lang w:eastAsia="zh-CN"/>
        </w:rPr>
        <w:br w:type="page"/>
      </w:r>
    </w:p>
    <w:p w:rsidR="00BA1246" w:rsidRPr="009200D5" w:rsidRDefault="00E72239" w:rsidP="00290739">
      <w:pPr>
        <w:pStyle w:val="Source"/>
        <w:rPr>
          <w:rFonts w:eastAsiaTheme="minorEastAsia"/>
          <w:w w:val="120"/>
          <w:rtl/>
          <w:lang w:eastAsia="zh-CN"/>
        </w:rPr>
      </w:pPr>
      <w:r w:rsidRPr="009200D5">
        <w:rPr>
          <w:rFonts w:hint="cs"/>
          <w:w w:val="120"/>
          <w:rtl/>
        </w:rPr>
        <w:lastRenderedPageBreak/>
        <w:t>مساهمة من الاتحاد الروسي</w:t>
      </w:r>
      <w:r w:rsidR="00F269F7" w:rsidRPr="009200D5">
        <w:rPr>
          <w:rFonts w:hint="cs"/>
          <w:w w:val="120"/>
          <w:rtl/>
        </w:rPr>
        <w:t xml:space="preserve"> وجمهورية أرمينيا وجمهورية بيلاروس</w:t>
      </w:r>
      <w:r w:rsidR="00C811B6" w:rsidRPr="009200D5">
        <w:rPr>
          <w:rFonts w:hint="cs"/>
          <w:w w:val="120"/>
          <w:rtl/>
        </w:rPr>
        <w:t xml:space="preserve"> </w:t>
      </w:r>
      <w:r w:rsidR="00C811B6" w:rsidRPr="009200D5">
        <w:rPr>
          <w:rFonts w:eastAsiaTheme="minorEastAsia" w:hint="cs"/>
          <w:w w:val="120"/>
          <w:rtl/>
          <w:lang w:eastAsia="zh-CN"/>
        </w:rPr>
        <w:t>وجمهورية</w:t>
      </w:r>
      <w:r w:rsidR="00290739" w:rsidRPr="009200D5">
        <w:rPr>
          <w:rFonts w:eastAsiaTheme="minorEastAsia" w:hint="eastAsia"/>
          <w:w w:val="120"/>
          <w:rtl/>
          <w:lang w:eastAsia="zh-CN"/>
        </w:rPr>
        <w:t> </w:t>
      </w:r>
      <w:r w:rsidR="00C811B6" w:rsidRPr="009200D5">
        <w:rPr>
          <w:rFonts w:eastAsiaTheme="minorEastAsia" w:hint="cs"/>
          <w:w w:val="120"/>
          <w:rtl/>
          <w:lang w:eastAsia="zh-CN"/>
        </w:rPr>
        <w:t>قيرغيزستان</w:t>
      </w:r>
    </w:p>
    <w:p w:rsidR="00E72239" w:rsidRDefault="00E72239" w:rsidP="00E2302E">
      <w:pPr>
        <w:pStyle w:val="Title1"/>
        <w:rPr>
          <w:rFonts w:eastAsiaTheme="minorEastAsia"/>
          <w:rtl/>
          <w:lang w:eastAsia="zh-CN"/>
        </w:rPr>
      </w:pPr>
      <w:r w:rsidRPr="00E015CC">
        <w:rPr>
          <w:rFonts w:hint="cs"/>
          <w:w w:val="100"/>
          <w:rtl/>
        </w:rPr>
        <w:t>مقترحات من أجل تحسين</w:t>
      </w:r>
      <w:r w:rsidRPr="00E015CC">
        <w:rPr>
          <w:w w:val="100"/>
          <w:rtl/>
        </w:rPr>
        <w:t xml:space="preserve"> عملية تنظيم مؤتمر المندوبين المفوضين</w:t>
      </w:r>
    </w:p>
    <w:p w:rsidR="00767AB9" w:rsidRPr="00767AB9" w:rsidRDefault="00767AB9" w:rsidP="00767AB9">
      <w:pPr>
        <w:rPr>
          <w:rFonts w:eastAsiaTheme="minorEastAsia"/>
          <w:rtl/>
          <w:lang w:eastAsia="zh-CN"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7E1741" w:rsidRDefault="000E4FF0" w:rsidP="006D0F97">
            <w:pPr>
              <w:rPr>
                <w:rFonts w:eastAsiaTheme="minorEastAsia"/>
                <w:b/>
                <w:bCs/>
                <w:rtl/>
                <w:lang w:eastAsia="zh-CN" w:bidi="ar-SY"/>
              </w:rPr>
            </w:pPr>
            <w:r w:rsidRPr="007E1741">
              <w:rPr>
                <w:rFonts w:eastAsiaTheme="minorEastAsia" w:hint="cs"/>
                <w:b/>
                <w:bCs/>
                <w:rtl/>
                <w:lang w:eastAsia="zh-CN" w:bidi="ar-SY"/>
              </w:rPr>
              <w:t>ملخص</w:t>
            </w:r>
          </w:p>
          <w:p w:rsidR="000E4FF0" w:rsidRPr="000E4FF0" w:rsidRDefault="00374254" w:rsidP="00794909">
            <w:pPr>
              <w:rPr>
                <w:rFonts w:eastAsiaTheme="minorEastAsia"/>
                <w:rtl/>
                <w:lang w:eastAsia="zh-CN" w:bidi="ar-SY"/>
              </w:rPr>
            </w:pPr>
            <w:r w:rsidRPr="00374254">
              <w:rPr>
                <w:rFonts w:eastAsiaTheme="minorEastAsia" w:hint="cs"/>
                <w:rtl/>
                <w:lang w:eastAsia="zh-CN" w:bidi="ar-EG"/>
              </w:rPr>
              <w:t>تقدِّم هذه الوثيقة مقترحات من أجل تحسين فعالية عملية تنظيم مؤتمر المندوبين المفوضين لعام</w:t>
            </w:r>
            <w:r w:rsidR="00794909">
              <w:rPr>
                <w:rFonts w:eastAsiaTheme="minorEastAsia" w:hint="eastAsia"/>
                <w:rtl/>
                <w:lang w:eastAsia="zh-CN" w:bidi="ar-EG"/>
              </w:rPr>
              <w:t> </w:t>
            </w:r>
            <w:r w:rsidR="00794909">
              <w:rPr>
                <w:rFonts w:eastAsiaTheme="minorEastAsia"/>
                <w:lang w:eastAsia="zh-CN" w:bidi="ar-EG"/>
              </w:rPr>
              <w:t>(</w:t>
            </w:r>
            <w:r w:rsidRPr="00374254">
              <w:rPr>
                <w:rFonts w:eastAsiaTheme="minorEastAsia"/>
                <w:lang w:eastAsia="zh-CN" w:bidi="ar-SY"/>
              </w:rPr>
              <w:t>PP-18</w:t>
            </w:r>
            <w:r w:rsidR="00794909">
              <w:rPr>
                <w:rFonts w:eastAsiaTheme="minorEastAsia"/>
                <w:lang w:eastAsia="zh-CN" w:bidi="ar-EG"/>
              </w:rPr>
              <w:t>)</w:t>
            </w:r>
            <w:r w:rsidR="00794909">
              <w:rPr>
                <w:rFonts w:eastAsiaTheme="minorEastAsia"/>
                <w:lang w:eastAsia="zh-CN" w:bidi="ar-SY"/>
              </w:rPr>
              <w:t> </w:t>
            </w:r>
            <w:r w:rsidR="00794909" w:rsidRPr="00374254">
              <w:rPr>
                <w:rFonts w:eastAsiaTheme="minorEastAsia"/>
                <w:lang w:eastAsia="zh-CN" w:bidi="ar-SY"/>
              </w:rPr>
              <w:t>2018</w:t>
            </w:r>
            <w:r w:rsidRPr="00374254">
              <w:rPr>
                <w:rFonts w:eastAsiaTheme="minorEastAsia" w:hint="cs"/>
                <w:rtl/>
                <w:lang w:eastAsia="zh-CN" w:bidi="ar-EG"/>
              </w:rPr>
              <w:t>.</w:t>
            </w:r>
          </w:p>
          <w:p w:rsidR="000E4FF0" w:rsidRPr="007E1741" w:rsidRDefault="000E4FF0" w:rsidP="006D0F97">
            <w:pPr>
              <w:rPr>
                <w:rFonts w:eastAsiaTheme="minorEastAsia"/>
                <w:b/>
                <w:bCs/>
                <w:rtl/>
                <w:lang w:eastAsia="zh-CN" w:bidi="ar-SY"/>
              </w:rPr>
            </w:pPr>
            <w:r w:rsidRPr="007E1741">
              <w:rPr>
                <w:rFonts w:eastAsiaTheme="minorEastAsia" w:hint="cs"/>
                <w:b/>
                <w:bCs/>
                <w:rtl/>
                <w:lang w:eastAsia="zh-CN" w:bidi="ar-SY"/>
              </w:rPr>
              <w:t>الإجراء المطلوب</w:t>
            </w:r>
          </w:p>
          <w:p w:rsidR="000E4FF0" w:rsidRPr="000E4FF0" w:rsidRDefault="00374254" w:rsidP="00B416F7">
            <w:pPr>
              <w:rPr>
                <w:rFonts w:eastAsiaTheme="minorEastAsia"/>
                <w:rtl/>
                <w:lang w:eastAsia="zh-CN" w:bidi="ar-SY"/>
              </w:rPr>
            </w:pPr>
            <w:r w:rsidRPr="00374254">
              <w:rPr>
                <w:rFonts w:eastAsiaTheme="minorEastAsia" w:hint="cs"/>
                <w:rtl/>
                <w:lang w:eastAsia="zh-CN" w:bidi="ar-EG"/>
              </w:rPr>
              <w:t xml:space="preserve">يُدعى المجلس إلى </w:t>
            </w:r>
            <w:r w:rsidRPr="00CC4166">
              <w:rPr>
                <w:rFonts w:eastAsiaTheme="minorEastAsia" w:hint="cs"/>
                <w:b/>
                <w:bCs/>
                <w:rtl/>
                <w:lang w:eastAsia="zh-CN" w:bidi="ar-EG"/>
              </w:rPr>
              <w:t>استعراض المقترحات الرامية إلى تحسين عملية تنظيم مؤتمر المندوبين المفوضين لعام</w:t>
            </w:r>
            <w:r w:rsidR="00B416F7" w:rsidRPr="00CC4166">
              <w:rPr>
                <w:rFonts w:eastAsiaTheme="minorEastAsia" w:hint="cs"/>
                <w:b/>
                <w:bCs/>
                <w:rtl/>
                <w:lang w:eastAsia="zh-CN" w:bidi="ar-EG"/>
              </w:rPr>
              <w:t xml:space="preserve"> </w:t>
            </w:r>
            <w:r w:rsidR="00B416F7" w:rsidRPr="00CC4166">
              <w:rPr>
                <w:rFonts w:eastAsiaTheme="minorEastAsia"/>
                <w:b/>
                <w:bCs/>
                <w:lang w:eastAsia="zh-CN" w:bidi="ar-EG"/>
              </w:rPr>
              <w:t>(</w:t>
            </w:r>
            <w:r w:rsidRPr="00CC4166">
              <w:rPr>
                <w:rFonts w:eastAsiaTheme="minorEastAsia"/>
                <w:b/>
                <w:bCs/>
                <w:lang w:eastAsia="zh-CN" w:bidi="ar-EG"/>
              </w:rPr>
              <w:t>PP-18</w:t>
            </w:r>
            <w:r w:rsidR="00B416F7" w:rsidRPr="00CC4166">
              <w:rPr>
                <w:rFonts w:eastAsiaTheme="minorEastAsia"/>
                <w:b/>
                <w:bCs/>
                <w:lang w:eastAsia="zh-CN" w:bidi="ar-EG"/>
              </w:rPr>
              <w:t>) 2018</w:t>
            </w:r>
            <w:r w:rsidRPr="00CC4166">
              <w:rPr>
                <w:rFonts w:eastAsiaTheme="minorEastAsia" w:hint="cs"/>
                <w:b/>
                <w:bCs/>
                <w:rtl/>
                <w:lang w:eastAsia="zh-CN" w:bidi="ar-EG"/>
              </w:rPr>
              <w:t xml:space="preserve"> ووضع توصيات في هذا الشأن</w:t>
            </w:r>
            <w:r w:rsidRPr="00374254">
              <w:rPr>
                <w:rFonts w:eastAsiaTheme="minorEastAsia" w:hint="cs"/>
                <w:rtl/>
                <w:lang w:eastAsia="zh-CN" w:bidi="ar-EG"/>
              </w:rPr>
              <w:t>.</w:t>
            </w:r>
          </w:p>
          <w:p w:rsidR="000E4FF0" w:rsidRPr="000E4FF0" w:rsidRDefault="000E4FF0" w:rsidP="007E1741">
            <w:pPr>
              <w:jc w:val="center"/>
              <w:rPr>
                <w:rFonts w:eastAsiaTheme="minorEastAsia"/>
                <w:rtl/>
                <w:lang w:eastAsia="zh-CN" w:bidi="ar-SY"/>
              </w:rPr>
            </w:pPr>
            <w:r w:rsidRPr="000E4FF0">
              <w:rPr>
                <w:rFonts w:eastAsiaTheme="minorEastAsia" w:hint="cs"/>
                <w:rtl/>
                <w:lang w:eastAsia="zh-CN" w:bidi="ar-SY"/>
              </w:rPr>
              <w:t>_________</w:t>
            </w:r>
          </w:p>
          <w:p w:rsidR="000E4FF0" w:rsidRPr="007E1741" w:rsidRDefault="000E4FF0" w:rsidP="006D0F97">
            <w:pPr>
              <w:rPr>
                <w:rFonts w:eastAsiaTheme="minorEastAsia"/>
                <w:b/>
                <w:bCs/>
                <w:rtl/>
                <w:lang w:eastAsia="zh-CN" w:bidi="ar-SY"/>
              </w:rPr>
            </w:pPr>
            <w:r w:rsidRPr="007E1741">
              <w:rPr>
                <w:rFonts w:eastAsiaTheme="minorEastAsia" w:hint="cs"/>
                <w:b/>
                <w:bCs/>
                <w:rtl/>
                <w:lang w:eastAsia="zh-CN" w:bidi="ar-SY"/>
              </w:rPr>
              <w:t>المراجع</w:t>
            </w:r>
          </w:p>
          <w:p w:rsidR="000E4FF0" w:rsidRPr="00680378" w:rsidRDefault="00F37ADF" w:rsidP="00680378">
            <w:pPr>
              <w:spacing w:after="120"/>
              <w:rPr>
                <w:rFonts w:eastAsiaTheme="minorEastAsia"/>
                <w:i/>
                <w:iCs/>
                <w:rtl/>
                <w:lang w:eastAsia="zh-CN" w:bidi="ar-SY"/>
              </w:rPr>
            </w:pPr>
            <w:r w:rsidRPr="00680378">
              <w:rPr>
                <w:rFonts w:eastAsiaTheme="minorEastAsia" w:hint="cs"/>
                <w:i/>
                <w:iCs/>
                <w:rtl/>
                <w:lang w:eastAsia="zh-CN" w:bidi="ar-EG"/>
              </w:rPr>
              <w:t xml:space="preserve">الوثائق </w:t>
            </w:r>
            <w:hyperlink r:id="rId11" w:history="1">
              <w:r w:rsidR="00C47178" w:rsidRPr="00680378">
                <w:rPr>
                  <w:rStyle w:val="Hyperlink"/>
                  <w:rFonts w:eastAsiaTheme="minorEastAsia"/>
                  <w:i/>
                  <w:iCs/>
                  <w:lang w:eastAsia="zh-CN" w:bidi="ar-SY"/>
                </w:rPr>
                <w:t>С16/4</w:t>
              </w:r>
            </w:hyperlink>
            <w:r w:rsidRPr="00680378">
              <w:rPr>
                <w:rFonts w:eastAsiaTheme="minorEastAsia" w:hint="cs"/>
                <w:i/>
                <w:iCs/>
                <w:rtl/>
                <w:lang w:eastAsia="zh-CN" w:bidi="ar-EG"/>
              </w:rPr>
              <w:t xml:space="preserve"> و</w:t>
            </w:r>
            <w:hyperlink r:id="rId12" w:history="1">
              <w:r w:rsidR="00C47178" w:rsidRPr="00680378">
                <w:rPr>
                  <w:rStyle w:val="Hyperlink"/>
                  <w:rFonts w:eastAsiaTheme="minorEastAsia"/>
                  <w:bCs/>
                  <w:i/>
                  <w:iCs/>
                  <w:lang w:eastAsia="zh-CN" w:bidi="ar-SY"/>
                </w:rPr>
                <w:t>CWG-FHR 7/10</w:t>
              </w:r>
            </w:hyperlink>
            <w:r w:rsidRPr="00680378">
              <w:rPr>
                <w:rFonts w:eastAsiaTheme="minorEastAsia" w:hint="cs"/>
                <w:i/>
                <w:iCs/>
                <w:rtl/>
                <w:lang w:eastAsia="zh-CN" w:bidi="ar-EG"/>
              </w:rPr>
              <w:t xml:space="preserve"> والرسالة المعممة </w:t>
            </w:r>
            <w:r w:rsidRPr="00680378">
              <w:rPr>
                <w:rFonts w:eastAsiaTheme="minorEastAsia"/>
                <w:i/>
                <w:iCs/>
                <w:lang w:eastAsia="zh-CN" w:bidi="ar-SY"/>
              </w:rPr>
              <w:t>CL-16/48</w:t>
            </w:r>
            <w:r w:rsidRPr="00680378">
              <w:rPr>
                <w:rFonts w:eastAsiaTheme="minorEastAsia" w:hint="cs"/>
                <w:i/>
                <w:iCs/>
                <w:rtl/>
                <w:lang w:eastAsia="zh-CN" w:bidi="ar-EG"/>
              </w:rPr>
              <w:t xml:space="preserve"> الصادرة عن الأمين العام للاتحاد </w:t>
            </w:r>
            <w:r w:rsidR="00E65C01" w:rsidRPr="00680378">
              <w:rPr>
                <w:rFonts w:eastAsiaTheme="minorEastAsia" w:hint="cs"/>
                <w:i/>
                <w:iCs/>
                <w:rtl/>
                <w:lang w:eastAsia="zh-CN" w:bidi="ar-EG"/>
              </w:rPr>
              <w:t>بتاريخ</w:t>
            </w:r>
            <w:r w:rsidRPr="00680378">
              <w:rPr>
                <w:rFonts w:eastAsiaTheme="minorEastAsia" w:hint="cs"/>
                <w:i/>
                <w:iCs/>
                <w:rtl/>
                <w:lang w:eastAsia="zh-CN" w:bidi="ar-EG"/>
              </w:rPr>
              <w:t xml:space="preserve"> </w:t>
            </w:r>
            <w:r w:rsidRPr="00680378">
              <w:rPr>
                <w:rFonts w:eastAsiaTheme="minorEastAsia"/>
                <w:i/>
                <w:iCs/>
                <w:lang w:eastAsia="zh-CN" w:bidi="ar-SY"/>
              </w:rPr>
              <w:t>27</w:t>
            </w:r>
            <w:r w:rsidRPr="00680378">
              <w:rPr>
                <w:rFonts w:eastAsiaTheme="minorEastAsia" w:hint="cs"/>
                <w:i/>
                <w:iCs/>
                <w:rtl/>
                <w:lang w:eastAsia="zh-CN" w:bidi="ar-EG"/>
              </w:rPr>
              <w:t xml:space="preserve"> سبتمبر </w:t>
            </w:r>
            <w:r w:rsidRPr="00680378">
              <w:rPr>
                <w:rFonts w:eastAsiaTheme="minorEastAsia"/>
                <w:i/>
                <w:iCs/>
                <w:lang w:eastAsia="zh-CN" w:bidi="ar-SY"/>
              </w:rPr>
              <w:t>2016</w:t>
            </w:r>
          </w:p>
        </w:tc>
      </w:tr>
    </w:tbl>
    <w:p w:rsidR="006D0F97" w:rsidRPr="00871622" w:rsidRDefault="006D0F97" w:rsidP="00176715">
      <w:pPr>
        <w:pStyle w:val="Heading1"/>
        <w:rPr>
          <w:rFonts w:eastAsiaTheme="minorEastAsia"/>
          <w:rtl/>
        </w:rPr>
      </w:pPr>
      <w:r w:rsidRPr="00871622">
        <w:rPr>
          <w:rFonts w:eastAsiaTheme="minorEastAsia"/>
        </w:rPr>
        <w:t>1</w:t>
      </w:r>
      <w:r w:rsidRPr="00871622">
        <w:rPr>
          <w:rFonts w:eastAsiaTheme="minorEastAsia"/>
          <w:rtl/>
        </w:rPr>
        <w:tab/>
      </w:r>
      <w:r w:rsidRPr="00871622">
        <w:rPr>
          <w:rFonts w:eastAsiaTheme="minorEastAsia" w:hint="cs"/>
          <w:rtl/>
        </w:rPr>
        <w:t>مقدمة</w:t>
      </w:r>
    </w:p>
    <w:p w:rsidR="006D0F97" w:rsidRDefault="006D0F97" w:rsidP="0099782F">
      <w:pPr>
        <w:rPr>
          <w:rtl/>
          <w:lang w:bidi="ar-EG"/>
        </w:rPr>
      </w:pPr>
      <w:r>
        <w:rPr>
          <w:rFonts w:hint="cs"/>
          <w:rtl/>
          <w:lang w:bidi="ar-EG"/>
        </w:rPr>
        <w:t>وفقاً للتوجيهات التي أصدرها مجلس الاتحاد في دورته لعام</w:t>
      </w:r>
      <w:r w:rsidR="0099782F">
        <w:rPr>
          <w:rFonts w:hint="cs"/>
          <w:rtl/>
          <w:lang w:bidi="ar-EG"/>
        </w:rPr>
        <w:t xml:space="preserve"> </w:t>
      </w:r>
      <w:r w:rsidRPr="00E015CC">
        <w:rPr>
          <w:lang w:bidi="ar-EG"/>
        </w:rPr>
        <w:t>2015</w:t>
      </w:r>
      <w:r>
        <w:rPr>
          <w:rFonts w:hint="cs"/>
          <w:rtl/>
          <w:lang w:bidi="ar-EG"/>
        </w:rPr>
        <w:t xml:space="preserve">، أعدّت أمانة الاتحاد الوثيقة </w:t>
      </w:r>
      <w:hyperlink r:id="rId13" w:history="1">
        <w:r w:rsidRPr="00B27505">
          <w:rPr>
            <w:rStyle w:val="Hyperlink"/>
            <w:lang w:bidi="ar-EG"/>
          </w:rPr>
          <w:t>C16/4</w:t>
        </w:r>
      </w:hyperlink>
      <w:r>
        <w:rPr>
          <w:rFonts w:hint="cs"/>
          <w:rtl/>
          <w:lang w:bidi="ar-EG"/>
        </w:rPr>
        <w:t xml:space="preserve"> بشأن التحسينات الممكن إدخالها على عملية تنظيم مؤتمر المندوبين المفوضين</w:t>
      </w:r>
      <w:r w:rsidR="00C17D86">
        <w:rPr>
          <w:rFonts w:hint="cs"/>
          <w:rtl/>
          <w:lang w:bidi="ar-EG"/>
        </w:rPr>
        <w:t xml:space="preserve"> </w:t>
      </w:r>
      <w:r w:rsidR="00C17D86" w:rsidRPr="00A907A0">
        <w:t>(PP)</w:t>
      </w:r>
      <w:r>
        <w:rPr>
          <w:rFonts w:hint="cs"/>
          <w:rtl/>
          <w:lang w:bidi="ar-EG"/>
        </w:rPr>
        <w:t xml:space="preserve">، وقدمتها للمجلس لكي ينظر فيها في دورته لعام </w:t>
      </w:r>
      <w:r w:rsidRPr="00E015CC">
        <w:rPr>
          <w:lang w:bidi="ar-EG"/>
        </w:rPr>
        <w:t>2016</w:t>
      </w:r>
      <w:r>
        <w:rPr>
          <w:rFonts w:hint="cs"/>
          <w:rtl/>
          <w:lang w:bidi="ar-EG"/>
        </w:rPr>
        <w:t>.</w:t>
      </w:r>
    </w:p>
    <w:p w:rsidR="006D0F97" w:rsidRDefault="00EA7EEF" w:rsidP="00EA7EEF">
      <w:pPr>
        <w:rPr>
          <w:rtl/>
          <w:lang w:bidi="ar-EG"/>
        </w:rPr>
      </w:pPr>
      <w:r>
        <w:rPr>
          <w:rFonts w:hint="cs"/>
          <w:rtl/>
          <w:lang w:bidi="ar-EG"/>
        </w:rPr>
        <w:t xml:space="preserve">واقترحت الوثيقة </w:t>
      </w:r>
      <w:hyperlink r:id="rId14" w:history="1">
        <w:r w:rsidR="006D0F97" w:rsidRPr="00EA7EEF">
          <w:rPr>
            <w:rStyle w:val="Hyperlink"/>
            <w:lang w:bidi="ar-EG"/>
          </w:rPr>
          <w:t>C16/4</w:t>
        </w:r>
      </w:hyperlink>
      <w:r>
        <w:rPr>
          <w:rFonts w:hint="cs"/>
          <w:rtl/>
          <w:lang w:bidi="ar-EG"/>
        </w:rPr>
        <w:t xml:space="preserve"> </w:t>
      </w:r>
      <w:r w:rsidR="006D0F97">
        <w:rPr>
          <w:rFonts w:hint="cs"/>
          <w:rtl/>
          <w:lang w:bidi="ar-EG"/>
        </w:rPr>
        <w:t>أن يولى اهتمام إلى مجالات العمل الرئيسية التالية:</w:t>
      </w:r>
    </w:p>
    <w:p w:rsidR="006D0F97" w:rsidRDefault="00C87569" w:rsidP="00C87569">
      <w:pPr>
        <w:pStyle w:val="enumlev1"/>
        <w:ind w:left="794" w:hanging="794"/>
        <w:rPr>
          <w:rtl/>
          <w:lang w:bidi="ar-EG"/>
        </w:rPr>
      </w:pPr>
      <w:r>
        <w:rPr>
          <w:lang w:bidi="ar-EG"/>
        </w:rPr>
        <w:t>(</w:t>
      </w:r>
      <w:r w:rsidR="006D0F97" w:rsidRPr="00E015CC">
        <w:rPr>
          <w:lang w:bidi="ar-EG"/>
        </w:rPr>
        <w:t>1</w:t>
      </w:r>
      <w:r>
        <w:rPr>
          <w:rtl/>
          <w:lang w:bidi="ar-EG"/>
        </w:rPr>
        <w:tab/>
      </w:r>
      <w:r w:rsidR="006D0F97">
        <w:rPr>
          <w:rFonts w:hint="cs"/>
          <w:rtl/>
          <w:lang w:bidi="ar-EG"/>
        </w:rPr>
        <w:t>تعزيز الأعمال التحضيرية على الصعيدين الإقليمي والأقاليمي؛</w:t>
      </w:r>
    </w:p>
    <w:p w:rsidR="006D0F97" w:rsidRDefault="00C87569" w:rsidP="00C87569">
      <w:pPr>
        <w:pStyle w:val="enumlev1"/>
        <w:ind w:left="794" w:hanging="794"/>
        <w:rPr>
          <w:rtl/>
          <w:lang w:bidi="ar-EG"/>
        </w:rPr>
      </w:pPr>
      <w:r>
        <w:rPr>
          <w:lang w:bidi="ar-EG"/>
        </w:rPr>
        <w:t>(</w:t>
      </w:r>
      <w:r w:rsidR="006D0F97" w:rsidRPr="00E015CC">
        <w:rPr>
          <w:lang w:bidi="ar-EG"/>
        </w:rPr>
        <w:t>2</w:t>
      </w:r>
      <w:r>
        <w:rPr>
          <w:rtl/>
          <w:lang w:bidi="ar-EG"/>
        </w:rPr>
        <w:tab/>
      </w:r>
      <w:r w:rsidR="006D0F97">
        <w:rPr>
          <w:rFonts w:hint="cs"/>
          <w:rtl/>
          <w:lang w:bidi="ar-EG"/>
        </w:rPr>
        <w:t>التأكيد مجدداً على دور مؤتمر المندوبين المفوضين بوصفه الهيئة العليا لوضع السياسات في الاتحاد؛</w:t>
      </w:r>
    </w:p>
    <w:p w:rsidR="006D0F97" w:rsidRDefault="00C87569" w:rsidP="00C87569">
      <w:pPr>
        <w:pStyle w:val="enumlev1"/>
        <w:ind w:left="794" w:hanging="794"/>
        <w:rPr>
          <w:rtl/>
          <w:lang w:bidi="ar-EG"/>
        </w:rPr>
      </w:pPr>
      <w:r>
        <w:rPr>
          <w:lang w:bidi="ar-EG"/>
        </w:rPr>
        <w:t>(</w:t>
      </w:r>
      <w:r w:rsidR="006D0F97" w:rsidRPr="00E015CC">
        <w:rPr>
          <w:lang w:bidi="ar-EG"/>
        </w:rPr>
        <w:t>3</w:t>
      </w:r>
      <w:r>
        <w:rPr>
          <w:rtl/>
          <w:lang w:bidi="ar-EG"/>
        </w:rPr>
        <w:tab/>
      </w:r>
      <w:r w:rsidR="006D0F97">
        <w:rPr>
          <w:rFonts w:hint="cs"/>
          <w:rtl/>
          <w:lang w:bidi="ar-EG"/>
        </w:rPr>
        <w:t>تحسين العمليات الانتخابية؛</w:t>
      </w:r>
    </w:p>
    <w:p w:rsidR="006D0F97" w:rsidRDefault="00C87569" w:rsidP="00C87569">
      <w:pPr>
        <w:pStyle w:val="enumlev1"/>
        <w:ind w:left="794" w:hanging="794"/>
        <w:rPr>
          <w:rtl/>
          <w:lang w:bidi="ar-EG"/>
        </w:rPr>
      </w:pPr>
      <w:r>
        <w:rPr>
          <w:lang w:bidi="ar-EG"/>
        </w:rPr>
        <w:t>(</w:t>
      </w:r>
      <w:r w:rsidR="006D0F97" w:rsidRPr="00E015CC">
        <w:rPr>
          <w:lang w:bidi="ar-EG"/>
        </w:rPr>
        <w:t>4</w:t>
      </w:r>
      <w:r>
        <w:rPr>
          <w:rtl/>
          <w:lang w:bidi="ar-EG"/>
        </w:rPr>
        <w:tab/>
      </w:r>
      <w:r w:rsidR="006D0F97">
        <w:rPr>
          <w:rFonts w:hint="cs"/>
          <w:rtl/>
          <w:lang w:bidi="ar-EG"/>
        </w:rPr>
        <w:t>استخدام أدوات محد</w:t>
      </w:r>
      <w:r w:rsidR="007D1DE0">
        <w:rPr>
          <w:rFonts w:hint="cs"/>
          <w:rtl/>
          <w:lang w:bidi="ar-EG"/>
        </w:rPr>
        <w:t>ّ</w:t>
      </w:r>
      <w:r w:rsidR="006D0F97">
        <w:rPr>
          <w:rFonts w:hint="cs"/>
          <w:rtl/>
          <w:lang w:bidi="ar-EG"/>
        </w:rPr>
        <w:t>ثة ومتكاملة لإدارة المؤتمر من أجل زيادة الكفاءة وتحسين ممارسات الاستخدام الحكيم للورق؛</w:t>
      </w:r>
    </w:p>
    <w:p w:rsidR="006D0F97" w:rsidRDefault="00C87569" w:rsidP="00C87569">
      <w:pPr>
        <w:pStyle w:val="enumlev1"/>
        <w:ind w:left="794" w:hanging="794"/>
        <w:rPr>
          <w:rtl/>
          <w:lang w:bidi="ar-EG"/>
        </w:rPr>
      </w:pPr>
      <w:r>
        <w:rPr>
          <w:lang w:bidi="ar-EG"/>
        </w:rPr>
        <w:t>(</w:t>
      </w:r>
      <w:r w:rsidR="006D0F97" w:rsidRPr="00E015CC">
        <w:rPr>
          <w:lang w:bidi="ar-EG"/>
        </w:rPr>
        <w:t>5</w:t>
      </w:r>
      <w:r>
        <w:rPr>
          <w:rtl/>
          <w:lang w:bidi="ar-EG"/>
        </w:rPr>
        <w:tab/>
      </w:r>
      <w:r w:rsidR="006D0F97">
        <w:rPr>
          <w:rFonts w:hint="cs"/>
          <w:rtl/>
          <w:lang w:bidi="ar-EG"/>
        </w:rPr>
        <w:t>الاستغناء عن خدمات الترجمة الفورية غير المستعملة استعمالاً كاملاً.</w:t>
      </w:r>
    </w:p>
    <w:p w:rsidR="006D0F97" w:rsidRDefault="006D0F97" w:rsidP="00352259">
      <w:pPr>
        <w:rPr>
          <w:rtl/>
          <w:lang w:bidi="ar-EG"/>
        </w:rPr>
      </w:pPr>
      <w:r>
        <w:rPr>
          <w:rFonts w:hint="cs"/>
          <w:rtl/>
          <w:lang w:bidi="ar-EG"/>
        </w:rPr>
        <w:t xml:space="preserve">وفي الرسالة المعممة </w:t>
      </w:r>
      <w:r>
        <w:rPr>
          <w:lang w:bidi="ar-EG"/>
        </w:rPr>
        <w:t>CL-16/48</w:t>
      </w:r>
      <w:r>
        <w:rPr>
          <w:rFonts w:hint="cs"/>
          <w:rtl/>
          <w:lang w:bidi="ar-EG"/>
        </w:rPr>
        <w:t xml:space="preserve"> المؤرخة </w:t>
      </w:r>
      <w:r w:rsidRPr="00E015CC">
        <w:rPr>
          <w:lang w:bidi="ar-EG"/>
        </w:rPr>
        <w:t>27</w:t>
      </w:r>
      <w:r>
        <w:rPr>
          <w:rFonts w:hint="cs"/>
          <w:rtl/>
          <w:lang w:bidi="ar-EG"/>
        </w:rPr>
        <w:t xml:space="preserve"> سبتمبر </w:t>
      </w:r>
      <w:r w:rsidRPr="00E015CC">
        <w:rPr>
          <w:lang w:bidi="ar-EG"/>
        </w:rPr>
        <w:t>2016</w:t>
      </w:r>
      <w:r>
        <w:rPr>
          <w:rFonts w:hint="cs"/>
          <w:rtl/>
          <w:lang w:bidi="ar-EG"/>
        </w:rPr>
        <w:t xml:space="preserve">، دعا الأمين العام للاتحاد الدول الأعضاء في الاتحاد إلى أن تقدم </w:t>
      </w:r>
      <w:r w:rsidR="00455720">
        <w:rPr>
          <w:rFonts w:hint="cs"/>
          <w:rtl/>
          <w:lang w:bidi="ar-EG"/>
        </w:rPr>
        <w:t>في</w:t>
      </w:r>
      <w:r w:rsidR="00455720">
        <w:rPr>
          <w:rFonts w:hint="eastAsia"/>
          <w:rtl/>
          <w:lang w:bidi="ar-EG"/>
        </w:rPr>
        <w:t> </w:t>
      </w:r>
      <w:r w:rsidR="00455720">
        <w:rPr>
          <w:rFonts w:hint="cs"/>
          <w:rtl/>
          <w:lang w:bidi="ar-EG"/>
        </w:rPr>
        <w:t>موعد أقصاه</w:t>
      </w:r>
      <w:r>
        <w:rPr>
          <w:rFonts w:hint="cs"/>
          <w:rtl/>
          <w:lang w:bidi="ar-EG"/>
        </w:rPr>
        <w:t xml:space="preserve"> </w:t>
      </w:r>
      <w:r w:rsidRPr="00E015CC">
        <w:rPr>
          <w:lang w:bidi="ar-EG"/>
        </w:rPr>
        <w:t>30</w:t>
      </w:r>
      <w:r w:rsidR="00352259">
        <w:rPr>
          <w:rFonts w:hint="eastAsia"/>
          <w:rtl/>
          <w:lang w:bidi="ar-EG"/>
        </w:rPr>
        <w:t> </w:t>
      </w:r>
      <w:r>
        <w:rPr>
          <w:rFonts w:hint="cs"/>
          <w:rtl/>
          <w:lang w:bidi="ar-EG"/>
        </w:rPr>
        <w:t>نوفمبر</w:t>
      </w:r>
      <w:r w:rsidR="00352259">
        <w:rPr>
          <w:rFonts w:hint="eastAsia"/>
          <w:rtl/>
          <w:lang w:bidi="ar-EG"/>
        </w:rPr>
        <w:t> </w:t>
      </w:r>
      <w:r w:rsidRPr="00E015CC">
        <w:rPr>
          <w:lang w:bidi="ar-EG"/>
        </w:rPr>
        <w:t>2016</w:t>
      </w:r>
      <w:r>
        <w:rPr>
          <w:rFonts w:hint="cs"/>
          <w:rtl/>
          <w:lang w:bidi="ar-EG"/>
        </w:rPr>
        <w:t xml:space="preserve"> مساهماتها وآراءها بشأن التدابير التي من شأنها أن تزيد من فعالي</w:t>
      </w:r>
      <w:r w:rsidR="00037B5B">
        <w:rPr>
          <w:rFonts w:hint="cs"/>
          <w:rtl/>
          <w:lang w:bidi="ar-EG"/>
        </w:rPr>
        <w:t>ة عمل مؤتمر المندوبين المفوضين.</w:t>
      </w:r>
    </w:p>
    <w:p w:rsidR="006D0F97" w:rsidRDefault="006D0F97" w:rsidP="0056760E">
      <w:pPr>
        <w:rPr>
          <w:rtl/>
          <w:lang w:bidi="ar-EG"/>
        </w:rPr>
      </w:pPr>
      <w:r>
        <w:rPr>
          <w:rFonts w:hint="cs"/>
          <w:rtl/>
          <w:lang w:bidi="ar-EG"/>
        </w:rPr>
        <w:t xml:space="preserve">وجمعَّت أمانة الاتحاد الآراء المقدمة في الوثيقة </w:t>
      </w:r>
      <w:hyperlink r:id="rId15" w:history="1">
        <w:r w:rsidR="00AF43A5" w:rsidRPr="00AF43A5">
          <w:rPr>
            <w:rStyle w:val="Hyperlink"/>
            <w:bCs/>
            <w:lang w:bidi="ar-EG"/>
          </w:rPr>
          <w:t>CWG-FHR 7/10</w:t>
        </w:r>
      </w:hyperlink>
      <w:r>
        <w:rPr>
          <w:rFonts w:hint="cs"/>
          <w:rtl/>
          <w:lang w:bidi="ar-EG"/>
        </w:rPr>
        <w:t>، وقدمت الوثيقة إلى فريق العمل التابع للمجلس والمعني بالموارد المالية والبشرية</w:t>
      </w:r>
      <w:r w:rsidR="0056760E">
        <w:rPr>
          <w:rFonts w:hint="eastAsia"/>
          <w:rtl/>
          <w:lang w:bidi="ar-EG"/>
        </w:rPr>
        <w:t> </w:t>
      </w:r>
      <w:r w:rsidR="00B0051C">
        <w:rPr>
          <w:lang w:bidi="ar-EG"/>
        </w:rPr>
        <w:t>(</w:t>
      </w:r>
      <w:r>
        <w:rPr>
          <w:lang w:bidi="ar-EG"/>
        </w:rPr>
        <w:t>CWG-FHR</w:t>
      </w:r>
      <w:r w:rsidR="00B0051C">
        <w:rPr>
          <w:lang w:bidi="ar-EG"/>
        </w:rPr>
        <w:t>)</w:t>
      </w:r>
      <w:r>
        <w:rPr>
          <w:rFonts w:hint="cs"/>
          <w:rtl/>
          <w:lang w:bidi="ar-EG"/>
        </w:rPr>
        <w:t xml:space="preserve"> لكي ينظر فيه خلال اجتماعه المعقود في الفترة من </w:t>
      </w:r>
      <w:r w:rsidRPr="00E015CC">
        <w:rPr>
          <w:lang w:bidi="ar-EG"/>
        </w:rPr>
        <w:t>30</w:t>
      </w:r>
      <w:r>
        <w:rPr>
          <w:rFonts w:hint="cs"/>
          <w:rtl/>
          <w:lang w:bidi="ar-EG"/>
        </w:rPr>
        <w:t xml:space="preserve"> يناير إلى </w:t>
      </w:r>
      <w:r w:rsidRPr="00E015CC">
        <w:rPr>
          <w:lang w:bidi="ar-EG"/>
        </w:rPr>
        <w:t>1</w:t>
      </w:r>
      <w:r>
        <w:rPr>
          <w:rFonts w:hint="cs"/>
          <w:rtl/>
          <w:lang w:bidi="ar-EG"/>
        </w:rPr>
        <w:t xml:space="preserve"> فبراير </w:t>
      </w:r>
      <w:r w:rsidRPr="00E015CC">
        <w:rPr>
          <w:lang w:bidi="ar-EG"/>
        </w:rPr>
        <w:t>2017</w:t>
      </w:r>
      <w:r w:rsidR="0042163E">
        <w:rPr>
          <w:rFonts w:hint="cs"/>
          <w:rtl/>
          <w:lang w:bidi="ar-EG"/>
        </w:rPr>
        <w:t>.</w:t>
      </w:r>
    </w:p>
    <w:p w:rsidR="006D0F97" w:rsidRPr="00871622" w:rsidRDefault="006D0F97" w:rsidP="00B37E99">
      <w:pPr>
        <w:pStyle w:val="Heading1"/>
        <w:widowControl w:val="0"/>
        <w:rPr>
          <w:rFonts w:eastAsiaTheme="minorEastAsia"/>
          <w:rtl/>
        </w:rPr>
      </w:pPr>
      <w:r w:rsidRPr="00871622">
        <w:rPr>
          <w:rFonts w:eastAsiaTheme="minorEastAsia"/>
        </w:rPr>
        <w:lastRenderedPageBreak/>
        <w:t>2</w:t>
      </w:r>
      <w:r w:rsidRPr="00871622">
        <w:rPr>
          <w:rFonts w:eastAsiaTheme="minorEastAsia"/>
          <w:rtl/>
        </w:rPr>
        <w:tab/>
      </w:r>
      <w:r w:rsidRPr="00871622">
        <w:rPr>
          <w:rFonts w:eastAsiaTheme="minorEastAsia" w:hint="cs"/>
          <w:rtl/>
        </w:rPr>
        <w:t>المقترحات</w:t>
      </w:r>
    </w:p>
    <w:p w:rsidR="006D0F97" w:rsidRPr="00427FE5" w:rsidRDefault="006D0F97" w:rsidP="00245ED1">
      <w:pPr>
        <w:keepNext/>
        <w:keepLines/>
        <w:widowControl w:val="0"/>
        <w:rPr>
          <w:spacing w:val="2"/>
          <w:rtl/>
          <w:lang w:bidi="ar-EG"/>
        </w:rPr>
      </w:pPr>
      <w:r w:rsidRPr="00427FE5">
        <w:rPr>
          <w:rFonts w:hint="cs"/>
          <w:spacing w:val="2"/>
          <w:rtl/>
          <w:lang w:bidi="ar-EG"/>
        </w:rPr>
        <w:t xml:space="preserve">بعد النظر في المادة المجمعّة في الوثيقة </w:t>
      </w:r>
      <w:hyperlink r:id="rId16" w:history="1">
        <w:r w:rsidR="00C5587E" w:rsidRPr="00427FE5">
          <w:rPr>
            <w:rStyle w:val="Hyperlink"/>
            <w:bCs/>
            <w:spacing w:val="2"/>
            <w:lang w:bidi="ar-EG"/>
          </w:rPr>
          <w:t>CWG-FHR 7/10</w:t>
        </w:r>
      </w:hyperlink>
      <w:r w:rsidRPr="00427FE5">
        <w:rPr>
          <w:rFonts w:hint="cs"/>
          <w:spacing w:val="2"/>
          <w:rtl/>
          <w:lang w:bidi="ar-EG"/>
        </w:rPr>
        <w:t xml:space="preserve">، ومع </w:t>
      </w:r>
      <w:r w:rsidR="00AC5A72" w:rsidRPr="00427FE5">
        <w:rPr>
          <w:rFonts w:hint="cs"/>
          <w:spacing w:val="2"/>
          <w:rtl/>
          <w:lang w:bidi="ar-EG"/>
        </w:rPr>
        <w:t>مراعاة</w:t>
      </w:r>
      <w:r w:rsidRPr="00427FE5">
        <w:rPr>
          <w:rFonts w:hint="cs"/>
          <w:spacing w:val="2"/>
          <w:rtl/>
          <w:lang w:bidi="ar-EG"/>
        </w:rPr>
        <w:t xml:space="preserve"> الآراء التي أُبديت خلال اجتماع فريق العمل</w:t>
      </w:r>
      <w:r w:rsidR="00384587" w:rsidRPr="00427FE5">
        <w:rPr>
          <w:rFonts w:hint="cs"/>
          <w:spacing w:val="2"/>
          <w:rtl/>
          <w:lang w:bidi="ar-EG"/>
        </w:rPr>
        <w:t xml:space="preserve"> المعني بالموارد المالية والبشرية</w:t>
      </w:r>
      <w:r w:rsidR="00427FE5" w:rsidRPr="00427FE5">
        <w:rPr>
          <w:rFonts w:hint="eastAsia"/>
          <w:spacing w:val="2"/>
          <w:rtl/>
          <w:lang w:bidi="ar-EG"/>
        </w:rPr>
        <w:t> </w:t>
      </w:r>
      <w:r w:rsidR="00DD429E" w:rsidRPr="00427FE5">
        <w:rPr>
          <w:spacing w:val="2"/>
          <w:lang w:bidi="ar-EG"/>
        </w:rPr>
        <w:t>(</w:t>
      </w:r>
      <w:r w:rsidRPr="00427FE5">
        <w:rPr>
          <w:spacing w:val="2"/>
          <w:lang w:bidi="ar-EG"/>
        </w:rPr>
        <w:t>CWG-FHR</w:t>
      </w:r>
      <w:r w:rsidR="00DD429E" w:rsidRPr="00427FE5">
        <w:rPr>
          <w:spacing w:val="2"/>
          <w:lang w:bidi="ar-EG"/>
        </w:rPr>
        <w:t>)</w:t>
      </w:r>
      <w:r w:rsidRPr="00427FE5">
        <w:rPr>
          <w:rFonts w:hint="cs"/>
          <w:spacing w:val="2"/>
          <w:rtl/>
          <w:lang w:bidi="ar-EG"/>
        </w:rPr>
        <w:t>، نرى أن من المناسب اقتراح الإجراءات العملية التالية فيما يخص ك</w:t>
      </w:r>
      <w:r w:rsidR="00427FE5">
        <w:rPr>
          <w:rFonts w:hint="cs"/>
          <w:spacing w:val="2"/>
          <w:rtl/>
          <w:lang w:bidi="ar-EG"/>
        </w:rPr>
        <w:t>ل مجال من مجالات العمل الرئيسية</w:t>
      </w:r>
      <w:r w:rsidR="00427FE5">
        <w:rPr>
          <w:rFonts w:hint="eastAsia"/>
          <w:spacing w:val="2"/>
          <w:rtl/>
          <w:lang w:bidi="ar-EG"/>
        </w:rPr>
        <w:t> </w:t>
      </w:r>
      <w:r w:rsidRPr="00427FE5">
        <w:rPr>
          <w:rFonts w:hint="cs"/>
          <w:spacing w:val="2"/>
          <w:rtl/>
          <w:lang w:bidi="ar-EG"/>
        </w:rPr>
        <w:t>الخمسة:</w:t>
      </w:r>
    </w:p>
    <w:p w:rsidR="006D0F97" w:rsidRPr="007E2BEC" w:rsidRDefault="00A009EB" w:rsidP="007E2BEC">
      <w:pPr>
        <w:pStyle w:val="enumlev1"/>
        <w:ind w:left="794" w:hanging="794"/>
        <w:rPr>
          <w:b/>
          <w:bCs/>
          <w:rtl/>
          <w:lang w:bidi="ar-EG"/>
        </w:rPr>
      </w:pPr>
      <w:r w:rsidRPr="007E2BEC">
        <w:rPr>
          <w:b/>
          <w:bCs/>
          <w:lang w:bidi="ar-EG"/>
        </w:rPr>
        <w:t>(</w:t>
      </w:r>
      <w:r w:rsidR="006D0F97" w:rsidRPr="007E2BEC">
        <w:rPr>
          <w:b/>
          <w:bCs/>
          <w:lang w:bidi="ar-EG"/>
        </w:rPr>
        <w:t>1</w:t>
      </w:r>
      <w:r w:rsidRPr="007E2BEC">
        <w:rPr>
          <w:b/>
          <w:bCs/>
          <w:rtl/>
          <w:lang w:bidi="ar-EG"/>
        </w:rPr>
        <w:tab/>
      </w:r>
      <w:r w:rsidR="006D0F97" w:rsidRPr="007E2BEC">
        <w:rPr>
          <w:rFonts w:hint="cs"/>
          <w:b/>
          <w:bCs/>
          <w:rtl/>
          <w:lang w:bidi="ar-EG"/>
        </w:rPr>
        <w:t>تعزيز الأعمال التحضيرية ع</w:t>
      </w:r>
      <w:r w:rsidR="005D7AF3">
        <w:rPr>
          <w:rFonts w:hint="cs"/>
          <w:b/>
          <w:bCs/>
          <w:rtl/>
          <w:lang w:bidi="ar-EG"/>
        </w:rPr>
        <w:t>لى الصعيدين الإقليمي والأقاليمي</w:t>
      </w:r>
    </w:p>
    <w:p w:rsidR="006D0F97" w:rsidRDefault="00B34449" w:rsidP="000D2CB7">
      <w:pPr>
        <w:pStyle w:val="enumlev1"/>
        <w:ind w:left="794" w:hanging="794"/>
        <w:rPr>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sidR="00A009EB">
        <w:rPr>
          <w:lang w:bidi="ar-EG"/>
        </w:rPr>
        <w:tab/>
      </w:r>
      <w:r w:rsidR="006D0F97">
        <w:rPr>
          <w:rFonts w:hint="cs"/>
          <w:rtl/>
          <w:lang w:bidi="ar-EG"/>
        </w:rPr>
        <w:t xml:space="preserve">في إطار تنفيذ القرار </w:t>
      </w:r>
      <w:r w:rsidR="006D0F97" w:rsidRPr="00E015CC">
        <w:rPr>
          <w:lang w:bidi="ar-EG"/>
        </w:rPr>
        <w:t>58</w:t>
      </w:r>
      <w:r w:rsidR="006D0F97">
        <w:rPr>
          <w:rFonts w:hint="cs"/>
          <w:rtl/>
          <w:lang w:bidi="ar-EG"/>
        </w:rPr>
        <w:t xml:space="preserve"> (المراج</w:t>
      </w:r>
      <w:r w:rsidR="00EB0A21">
        <w:rPr>
          <w:rFonts w:hint="cs"/>
          <w:rtl/>
          <w:lang w:bidi="ar-EG"/>
        </w:rPr>
        <w:t>َ</w:t>
      </w:r>
      <w:r w:rsidR="006D0F97">
        <w:rPr>
          <w:rFonts w:hint="cs"/>
          <w:rtl/>
          <w:lang w:bidi="ar-EG"/>
        </w:rPr>
        <w:t xml:space="preserve">ع في بوسان، </w:t>
      </w:r>
      <w:r w:rsidR="006D0F97" w:rsidRPr="00E015CC">
        <w:rPr>
          <w:lang w:bidi="ar-EG"/>
        </w:rPr>
        <w:t>2014</w:t>
      </w:r>
      <w:r w:rsidR="006D0F97">
        <w:rPr>
          <w:rFonts w:hint="cs"/>
          <w:rtl/>
          <w:lang w:bidi="ar-EG"/>
        </w:rPr>
        <w:t>)، ينبغي أن تعقد، في المرحلة الأخيرة من التحضير لمؤتمر المندوبين المفوضين (</w:t>
      </w:r>
      <w:r w:rsidR="006D0F97" w:rsidRPr="00E015CC">
        <w:rPr>
          <w:lang w:bidi="ar-EG"/>
        </w:rPr>
        <w:t>12</w:t>
      </w:r>
      <w:r w:rsidR="006D0F97">
        <w:rPr>
          <w:rFonts w:hint="cs"/>
          <w:rtl/>
          <w:lang w:bidi="ar-EG"/>
        </w:rPr>
        <w:t xml:space="preserve"> شهراً قبل بدء المؤتمر)، اجتماعات تحضيرية لمنظمات الاتصالات الإقليمية </w:t>
      </w:r>
      <w:r w:rsidR="00044F31">
        <w:rPr>
          <w:rFonts w:hint="cs"/>
          <w:rtl/>
          <w:lang w:bidi="ar-EG"/>
        </w:rPr>
        <w:t>استعداداً للمؤتمر</w:t>
      </w:r>
      <w:r w:rsidR="006D0F97">
        <w:rPr>
          <w:rFonts w:hint="cs"/>
          <w:rtl/>
          <w:lang w:bidi="ar-EG"/>
        </w:rPr>
        <w:t>، وكذلك</w:t>
      </w:r>
      <w:r w:rsidR="00044F31">
        <w:rPr>
          <w:rFonts w:hint="cs"/>
          <w:rtl/>
          <w:lang w:bidi="ar-EG"/>
        </w:rPr>
        <w:t xml:space="preserve"> ينبغي</w:t>
      </w:r>
      <w:r w:rsidR="006D0F97">
        <w:rPr>
          <w:rFonts w:hint="cs"/>
          <w:rtl/>
          <w:lang w:bidi="ar-EG"/>
        </w:rPr>
        <w:t xml:space="preserve"> عقد اجتماعات تنسيق أقاليمية بهدف التوصل إلى </w:t>
      </w:r>
      <w:r w:rsidR="00044F31">
        <w:rPr>
          <w:rFonts w:hint="cs"/>
          <w:rtl/>
          <w:lang w:bidi="ar-EG"/>
        </w:rPr>
        <w:t>تقارب</w:t>
      </w:r>
      <w:r w:rsidR="006D0F97">
        <w:rPr>
          <w:rFonts w:hint="cs"/>
          <w:rtl/>
          <w:lang w:bidi="ar-EG"/>
        </w:rPr>
        <w:t xml:space="preserve"> ممكن بين الآراء على الصعيد الإقليمي بشأن أهم قضايا مؤتمر المندوبين المفوضين؛</w:t>
      </w:r>
    </w:p>
    <w:p w:rsidR="006D0F97" w:rsidRDefault="006D0F97" w:rsidP="000D2CB7">
      <w:pPr>
        <w:pStyle w:val="enumlev1"/>
        <w:ind w:left="794" w:hanging="794"/>
        <w:rPr>
          <w:rtl/>
          <w:lang w:bidi="ar-EG"/>
        </w:rPr>
      </w:pPr>
      <w:r>
        <w:rPr>
          <w:rFonts w:hint="cs"/>
          <w:rtl/>
          <w:lang w:bidi="ar-EG"/>
        </w:rPr>
        <w:t>ب)</w:t>
      </w:r>
      <w:r w:rsidR="00A009EB">
        <w:rPr>
          <w:lang w:bidi="ar-EG"/>
        </w:rPr>
        <w:tab/>
      </w:r>
      <w:r>
        <w:rPr>
          <w:rFonts w:hint="cs"/>
          <w:rtl/>
          <w:lang w:bidi="ar-EG"/>
        </w:rPr>
        <w:t>ينبغي أن تعقد، قبل بدء مؤتمر المندوبين المفوضين</w:t>
      </w:r>
      <w:r w:rsidR="00672283" w:rsidRPr="00672283">
        <w:rPr>
          <w:rFonts w:hint="cs"/>
          <w:rtl/>
          <w:lang w:bidi="ar-EG"/>
        </w:rPr>
        <w:t xml:space="preserve"> </w:t>
      </w:r>
      <w:r w:rsidR="00672283">
        <w:rPr>
          <w:rFonts w:hint="cs"/>
          <w:rtl/>
          <w:lang w:bidi="ar-EG"/>
        </w:rPr>
        <w:t>بفترة تتراوح بين ثلاثة وأربعة أشهر</w:t>
      </w:r>
      <w:r>
        <w:rPr>
          <w:rFonts w:hint="cs"/>
          <w:rtl/>
          <w:lang w:bidi="ar-EG"/>
        </w:rPr>
        <w:t>، حلقات دراسية إعلامية عملية على الصعيد الأقاليمي، لتبادل المعلومات بشأن المواقف المبدئية للمنظمات الإقليمية؛</w:t>
      </w:r>
    </w:p>
    <w:p w:rsidR="006D0F97" w:rsidRDefault="006D0F97" w:rsidP="000D2CB7">
      <w:pPr>
        <w:pStyle w:val="enumlev1"/>
        <w:ind w:left="794" w:hanging="794"/>
        <w:rPr>
          <w:rtl/>
          <w:lang w:bidi="ar-EG"/>
        </w:rPr>
      </w:pPr>
      <w:r>
        <w:rPr>
          <w:rFonts w:hint="cs"/>
          <w:rtl/>
          <w:lang w:bidi="ar-EG"/>
        </w:rPr>
        <w:t>ج)</w:t>
      </w:r>
      <w:r w:rsidR="00A009EB">
        <w:rPr>
          <w:lang w:bidi="ar-EG"/>
        </w:rPr>
        <w:tab/>
      </w:r>
      <w:r>
        <w:rPr>
          <w:rFonts w:hint="cs"/>
          <w:rtl/>
          <w:lang w:bidi="ar-EG"/>
        </w:rPr>
        <w:t>ينبغي إتاحة المشاركة عن ب</w:t>
      </w:r>
      <w:r w:rsidR="000F0A8D">
        <w:rPr>
          <w:rFonts w:hint="cs"/>
          <w:rtl/>
          <w:lang w:bidi="ar-EG"/>
        </w:rPr>
        <w:t>ُ</w:t>
      </w:r>
      <w:r>
        <w:rPr>
          <w:rFonts w:hint="cs"/>
          <w:rtl/>
          <w:lang w:bidi="ar-EG"/>
        </w:rPr>
        <w:t>عد في الاجتماعات/الحلقات الدراسية الإعلامية</w:t>
      </w:r>
      <w:r w:rsidR="00E32E85">
        <w:rPr>
          <w:rFonts w:hint="cs"/>
          <w:rtl/>
          <w:lang w:bidi="ar-EG"/>
        </w:rPr>
        <w:t xml:space="preserve"> المذكورة أعلاه</w:t>
      </w:r>
      <w:r>
        <w:rPr>
          <w:rFonts w:hint="cs"/>
          <w:rtl/>
          <w:lang w:bidi="ar-EG"/>
        </w:rPr>
        <w:t>؛</w:t>
      </w:r>
    </w:p>
    <w:p w:rsidR="006D0F97" w:rsidRDefault="006D0F97" w:rsidP="00A65B29">
      <w:pPr>
        <w:pStyle w:val="enumlev1"/>
        <w:ind w:left="794" w:hanging="794"/>
        <w:rPr>
          <w:rtl/>
          <w:lang w:bidi="ar-EG"/>
        </w:rPr>
      </w:pPr>
      <w:r>
        <w:rPr>
          <w:rFonts w:hint="cs"/>
          <w:rtl/>
          <w:lang w:bidi="ar-EG"/>
        </w:rPr>
        <w:t>د</w:t>
      </w:r>
      <w:r w:rsidR="00044F31">
        <w:rPr>
          <w:rFonts w:hint="cs"/>
          <w:rtl/>
          <w:lang w:bidi="ar-EG"/>
        </w:rPr>
        <w:t xml:space="preserve"> </w:t>
      </w:r>
      <w:r>
        <w:rPr>
          <w:rFonts w:hint="cs"/>
          <w:rtl/>
          <w:lang w:bidi="ar-EG"/>
        </w:rPr>
        <w:t>)</w:t>
      </w:r>
      <w:r w:rsidR="00A009EB">
        <w:rPr>
          <w:lang w:bidi="ar-EG"/>
        </w:rPr>
        <w:tab/>
      </w:r>
      <w:r>
        <w:rPr>
          <w:rFonts w:hint="cs"/>
          <w:rtl/>
          <w:lang w:bidi="ar-EG"/>
        </w:rPr>
        <w:t>ينبغي لأمانة الاتحاد والمكاتب الإقليمية ومكاتب المناطق المشاركة بصورة أكثر كثافة في التحضير لمؤتمر المندوبين المفوضين وفي</w:t>
      </w:r>
      <w:r w:rsidR="00A65B29">
        <w:rPr>
          <w:rFonts w:hint="eastAsia"/>
          <w:rtl/>
          <w:lang w:bidi="ar-EG"/>
        </w:rPr>
        <w:t> </w:t>
      </w:r>
      <w:r>
        <w:rPr>
          <w:rFonts w:hint="cs"/>
          <w:rtl/>
          <w:lang w:bidi="ar-EG"/>
        </w:rPr>
        <w:t xml:space="preserve">توفير الدعم اللازم للإدارات </w:t>
      </w:r>
      <w:r w:rsidR="009850F5">
        <w:rPr>
          <w:rFonts w:hint="cs"/>
          <w:rtl/>
          <w:lang w:bidi="ar-EG"/>
        </w:rPr>
        <w:t>في المناطق المعنية</w:t>
      </w:r>
      <w:r>
        <w:rPr>
          <w:rFonts w:hint="cs"/>
          <w:rtl/>
          <w:lang w:bidi="ar-EG"/>
        </w:rPr>
        <w:t xml:space="preserve"> بغي</w:t>
      </w:r>
      <w:r w:rsidR="0029720A">
        <w:rPr>
          <w:rFonts w:hint="cs"/>
          <w:rtl/>
          <w:lang w:bidi="ar-EG"/>
        </w:rPr>
        <w:t>ة التحضير على المستوى الإقليمي.</w:t>
      </w:r>
    </w:p>
    <w:p w:rsidR="006D0F97" w:rsidRPr="00A65B29" w:rsidRDefault="00A009EB" w:rsidP="00A65B29">
      <w:pPr>
        <w:pStyle w:val="enumlev1"/>
        <w:ind w:left="794" w:hanging="794"/>
        <w:rPr>
          <w:b/>
          <w:bCs/>
          <w:rtl/>
          <w:lang w:bidi="ar-EG"/>
        </w:rPr>
      </w:pPr>
      <w:r w:rsidRPr="00A65B29">
        <w:rPr>
          <w:b/>
          <w:bCs/>
          <w:lang w:bidi="ar-EG"/>
        </w:rPr>
        <w:t>(</w:t>
      </w:r>
      <w:r w:rsidR="006D0F97" w:rsidRPr="00A65B29">
        <w:rPr>
          <w:b/>
          <w:bCs/>
          <w:lang w:bidi="ar-EG"/>
        </w:rPr>
        <w:t>2</w:t>
      </w:r>
      <w:r w:rsidRPr="00A65B29">
        <w:rPr>
          <w:b/>
          <w:bCs/>
          <w:lang w:bidi="ar-EG"/>
        </w:rPr>
        <w:tab/>
      </w:r>
      <w:r w:rsidR="006D0F97" w:rsidRPr="00A65B29">
        <w:rPr>
          <w:rFonts w:hint="cs"/>
          <w:b/>
          <w:bCs/>
          <w:rtl/>
          <w:lang w:bidi="ar-EG"/>
        </w:rPr>
        <w:t xml:space="preserve">التأكيد مجدداً على دور مؤتمر المندوبين المفوضين بوصفه الهيئة </w:t>
      </w:r>
      <w:r w:rsidR="005D7AF3">
        <w:rPr>
          <w:rFonts w:hint="cs"/>
          <w:b/>
          <w:bCs/>
          <w:rtl/>
          <w:lang w:bidi="ar-EG"/>
        </w:rPr>
        <w:t>العليا لوضع السياسات في الاتحاد</w:t>
      </w:r>
    </w:p>
    <w:p w:rsidR="006D0F97" w:rsidRDefault="00003FB1" w:rsidP="001C7D73">
      <w:pPr>
        <w:pStyle w:val="enumlev1"/>
        <w:ind w:left="794" w:hanging="794"/>
        <w:rPr>
          <w:rtl/>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sidR="00A009EB">
        <w:rPr>
          <w:lang w:bidi="ar-EG"/>
        </w:rPr>
        <w:tab/>
      </w:r>
      <w:r w:rsidR="006D0F97" w:rsidRPr="001C7D73">
        <w:rPr>
          <w:rFonts w:hint="cs"/>
          <w:spacing w:val="4"/>
          <w:rtl/>
          <w:lang w:bidi="ar-EG"/>
        </w:rPr>
        <w:t>ينص دستور الاتحاد واتفاقيته على دور مؤتمر المندوبين المفوضين بوصفه الهيئة الع</w:t>
      </w:r>
      <w:r w:rsidR="009739E1">
        <w:rPr>
          <w:rFonts w:hint="cs"/>
          <w:spacing w:val="4"/>
          <w:rtl/>
          <w:lang w:bidi="ar-EG"/>
        </w:rPr>
        <w:t>ليا لوضع السياسات في</w:t>
      </w:r>
      <w:r w:rsidR="009739E1">
        <w:rPr>
          <w:rFonts w:hint="eastAsia"/>
          <w:spacing w:val="4"/>
          <w:rtl/>
          <w:lang w:bidi="ar-EG"/>
        </w:rPr>
        <w:t> </w:t>
      </w:r>
      <w:r w:rsidR="006D0F97" w:rsidRPr="001C7D73">
        <w:rPr>
          <w:rFonts w:hint="cs"/>
          <w:spacing w:val="4"/>
          <w:rtl/>
          <w:lang w:bidi="ar-EG"/>
        </w:rPr>
        <w:t>الاتحاد. وفي</w:t>
      </w:r>
      <w:r w:rsidR="001C7D73" w:rsidRPr="001C7D73">
        <w:rPr>
          <w:rFonts w:hint="eastAsia"/>
          <w:spacing w:val="4"/>
          <w:rtl/>
          <w:lang w:bidi="ar-EG"/>
        </w:rPr>
        <w:t> </w:t>
      </w:r>
      <w:r w:rsidR="006D0F97" w:rsidRPr="001C7D73">
        <w:rPr>
          <w:rFonts w:hint="cs"/>
          <w:spacing w:val="4"/>
          <w:rtl/>
          <w:lang w:bidi="ar-EG"/>
        </w:rPr>
        <w:t>ذات</w:t>
      </w:r>
      <w:r w:rsidR="006D0F97">
        <w:rPr>
          <w:rFonts w:hint="cs"/>
          <w:rtl/>
          <w:lang w:bidi="ar-EG"/>
        </w:rPr>
        <w:t xml:space="preserve"> الوقت، ثبت من بعض مؤتمرات المندوبين المفوضين الأخيرة أن من المتعذر عملياً الامتثال للرقم </w:t>
      </w:r>
      <w:r w:rsidR="006D0F97" w:rsidRPr="00E015CC">
        <w:rPr>
          <w:lang w:bidi="ar-EG"/>
        </w:rPr>
        <w:t>51</w:t>
      </w:r>
      <w:r w:rsidR="006D0F97">
        <w:rPr>
          <w:rFonts w:hint="cs"/>
          <w:rtl/>
          <w:lang w:bidi="ar-EG"/>
        </w:rPr>
        <w:t xml:space="preserve"> من المادة</w:t>
      </w:r>
      <w:r w:rsidR="001C7D73">
        <w:rPr>
          <w:rFonts w:hint="eastAsia"/>
          <w:rtl/>
          <w:lang w:bidi="ar-EG"/>
        </w:rPr>
        <w:t> </w:t>
      </w:r>
      <w:r w:rsidR="006D0F97" w:rsidRPr="00E015CC">
        <w:rPr>
          <w:lang w:bidi="ar-EG"/>
        </w:rPr>
        <w:t>8</w:t>
      </w:r>
      <w:r w:rsidR="006D0F97" w:rsidRPr="00E015CC">
        <w:rPr>
          <w:rFonts w:hint="cs"/>
          <w:rtl/>
          <w:lang w:bidi="ar-EG"/>
        </w:rPr>
        <w:t xml:space="preserve"> من الدستور</w:t>
      </w:r>
      <w:r w:rsidR="006D0F97">
        <w:rPr>
          <w:rFonts w:hint="cs"/>
          <w:rtl/>
          <w:lang w:bidi="ar-EG"/>
        </w:rPr>
        <w:t xml:space="preserve"> </w:t>
      </w:r>
      <w:r w:rsidR="006D0F97">
        <w:rPr>
          <w:rtl/>
          <w:lang w:bidi="ar-EG"/>
        </w:rPr>
        <w:t>–</w:t>
      </w:r>
      <w:r w:rsidR="006D0F97">
        <w:rPr>
          <w:rFonts w:hint="cs"/>
          <w:rtl/>
          <w:lang w:bidi="ar-EG"/>
        </w:rPr>
        <w:t xml:space="preserve"> مؤتمر المندوبين المفوضين، التي تنص على: "</w:t>
      </w:r>
      <w:r w:rsidR="006D0F97" w:rsidRPr="001C7D73">
        <w:rPr>
          <w:rFonts w:hint="cs"/>
          <w:i/>
          <w:iCs/>
          <w:rtl/>
          <w:lang w:bidi="ar-EG"/>
        </w:rPr>
        <w:t>ج)</w:t>
      </w:r>
      <w:r w:rsidR="006D0F97">
        <w:rPr>
          <w:rFonts w:hint="cs"/>
          <w:rtl/>
          <w:lang w:bidi="ar-EG"/>
        </w:rPr>
        <w:t xml:space="preserve"> </w:t>
      </w:r>
      <w:r w:rsidR="006D0F97" w:rsidRPr="00E015CC">
        <w:rPr>
          <w:rtl/>
          <w:lang w:bidi="ar-EG"/>
        </w:rPr>
        <w:t xml:space="preserve">يضع الخطة الاستراتيجية للاتحاد وأسس ميزانية الاتحاد، كما يحدد الحدود المالية للفترة الممتدة إلى موعد انعقاد مؤتمر المندوبين المفوضين التالي، آخذاً بالحسبان مقرراته الصادرة على أساس التقارير المشار إليها في الرقم </w:t>
      </w:r>
      <w:r w:rsidR="006D0F97">
        <w:rPr>
          <w:lang w:bidi="ar-EG"/>
        </w:rPr>
        <w:t>50</w:t>
      </w:r>
      <w:r w:rsidR="006D0F97" w:rsidRPr="00E015CC">
        <w:rPr>
          <w:rtl/>
          <w:lang w:bidi="ar-EG"/>
        </w:rPr>
        <w:t xml:space="preserve"> أعلاه، وذلك بعد أن يكون قد نظر في جميع جوانب أعمال الاتحاد ذات الصلة أثناء هذه الفترة</w:t>
      </w:r>
      <w:r w:rsidR="006D0F97" w:rsidRPr="00E015CC">
        <w:rPr>
          <w:rFonts w:hint="cs"/>
          <w:rtl/>
          <w:lang w:bidi="ar-EG"/>
        </w:rPr>
        <w:t>"</w:t>
      </w:r>
      <w:r w:rsidR="006D0F97">
        <w:rPr>
          <w:rFonts w:hint="cs"/>
          <w:rtl/>
          <w:lang w:bidi="ar-EG"/>
        </w:rPr>
        <w:t>. وتعذر خلال العديد من مؤتمرات المندوبين المفوضين الامتثال امتثالاً تاماً لهذه الأحكام الواردة في</w:t>
      </w:r>
      <w:r w:rsidR="001C7D73">
        <w:rPr>
          <w:rFonts w:hint="eastAsia"/>
          <w:rtl/>
          <w:lang w:bidi="ar-EG"/>
        </w:rPr>
        <w:t> </w:t>
      </w:r>
      <w:r w:rsidR="006D0F97">
        <w:rPr>
          <w:rFonts w:hint="cs"/>
          <w:rtl/>
          <w:lang w:bidi="ar-EG"/>
        </w:rPr>
        <w:t xml:space="preserve">الدستور، إذ كانت الميزانية </w:t>
      </w:r>
      <w:r w:rsidR="0029720A">
        <w:rPr>
          <w:rFonts w:hint="cs"/>
          <w:rtl/>
          <w:lang w:bidi="ar-EG"/>
        </w:rPr>
        <w:t xml:space="preserve">توضع </w:t>
      </w:r>
      <w:r w:rsidR="006D0F97">
        <w:rPr>
          <w:rFonts w:hint="cs"/>
          <w:rtl/>
          <w:lang w:bidi="ar-EG"/>
        </w:rPr>
        <w:t xml:space="preserve">في الوقت الذي تكون فيه الخطة الاستراتيجية للاتحاد قد وُضِعت بالفعل. وحتى يمكن ضمان الامتثال بفعالية بالمتطلبات الواردة </w:t>
      </w:r>
      <w:r w:rsidR="00A8550A">
        <w:rPr>
          <w:rFonts w:hint="cs"/>
          <w:rtl/>
          <w:lang w:bidi="ar-EG"/>
        </w:rPr>
        <w:t xml:space="preserve">في </w:t>
      </w:r>
      <w:r w:rsidR="006D0F97">
        <w:rPr>
          <w:rFonts w:hint="cs"/>
          <w:rtl/>
          <w:lang w:bidi="ar-EG"/>
        </w:rPr>
        <w:t xml:space="preserve">الرقم </w:t>
      </w:r>
      <w:r w:rsidR="006D0F97">
        <w:rPr>
          <w:lang w:val="fr-CH" w:bidi="ar-EG"/>
        </w:rPr>
        <w:t>51</w:t>
      </w:r>
      <w:r w:rsidR="006D0F97">
        <w:rPr>
          <w:rFonts w:hint="cs"/>
          <w:rtl/>
          <w:lang w:bidi="ar-EG"/>
        </w:rPr>
        <w:t xml:space="preserve"> من الدستور، يقترح أن يعتمد مؤتمر المندوبين المفوضين مجالات العمل التالية:</w:t>
      </w:r>
    </w:p>
    <w:p w:rsidR="006D0F97" w:rsidRDefault="001C7D73" w:rsidP="000D5033">
      <w:pPr>
        <w:pStyle w:val="enumlev2"/>
        <w:tabs>
          <w:tab w:val="clear" w:pos="1134"/>
        </w:tabs>
        <w:ind w:left="1134" w:hanging="425"/>
        <w:rPr>
          <w:rtl/>
          <w:lang w:bidi="ar-EG"/>
        </w:rPr>
      </w:pPr>
      <w:r>
        <w:rPr>
          <w:lang w:val="fr-CH" w:bidi="ar-EG"/>
        </w:rPr>
        <w:t>(</w:t>
      </w:r>
      <w:r w:rsidR="006D0F97">
        <w:rPr>
          <w:lang w:val="fr-CH" w:bidi="ar-EG"/>
        </w:rPr>
        <w:t>1</w:t>
      </w:r>
      <w:r>
        <w:rPr>
          <w:lang w:bidi="ar-EG"/>
        </w:rPr>
        <w:tab/>
      </w:r>
      <w:r w:rsidR="006D0F97">
        <w:rPr>
          <w:rFonts w:hint="cs"/>
          <w:rtl/>
          <w:lang w:bidi="ar-EG"/>
        </w:rPr>
        <w:t>إقرار الحد الأعلى النهائي لمقدار وحدة المساهمة في أول يوم لمؤتمر المندوبين المفوضين لعام</w:t>
      </w:r>
      <w:r w:rsidR="000D5033">
        <w:rPr>
          <w:rFonts w:hint="eastAsia"/>
          <w:rtl/>
          <w:lang w:bidi="ar-EG"/>
        </w:rPr>
        <w:t> </w:t>
      </w:r>
      <w:bookmarkStart w:id="1" w:name="_GoBack"/>
      <w:bookmarkEnd w:id="1"/>
      <w:r w:rsidR="006D0F97">
        <w:rPr>
          <w:lang w:val="fr-CH" w:bidi="ar-EG"/>
        </w:rPr>
        <w:t>2018</w:t>
      </w:r>
      <w:r w:rsidR="006D0F97">
        <w:rPr>
          <w:rFonts w:hint="cs"/>
          <w:rtl/>
          <w:lang w:bidi="ar-EG"/>
        </w:rPr>
        <w:t xml:space="preserve"> (على النحو الذي جرى في مؤتمر المندوبين المفوضين لعام </w:t>
      </w:r>
      <w:r w:rsidR="006D0F97">
        <w:rPr>
          <w:lang w:val="fr-CH" w:bidi="ar-EG"/>
        </w:rPr>
        <w:t>2014</w:t>
      </w:r>
      <w:r w:rsidR="006D0F97">
        <w:rPr>
          <w:rFonts w:hint="cs"/>
          <w:rtl/>
          <w:lang w:bidi="ar-EG"/>
        </w:rPr>
        <w:t>)؛</w:t>
      </w:r>
    </w:p>
    <w:p w:rsidR="006D0F97" w:rsidRDefault="001C7D73" w:rsidP="0025561A">
      <w:pPr>
        <w:pStyle w:val="enumlev2"/>
        <w:ind w:left="1389"/>
        <w:rPr>
          <w:rtl/>
          <w:lang w:bidi="ar-EG"/>
        </w:rPr>
      </w:pPr>
      <w:r>
        <w:rPr>
          <w:lang w:val="fr-CH" w:bidi="ar-EG"/>
        </w:rPr>
        <w:t>(</w:t>
      </w:r>
      <w:r w:rsidR="006D0F97">
        <w:rPr>
          <w:lang w:val="fr-CH" w:bidi="ar-EG"/>
        </w:rPr>
        <w:t>2</w:t>
      </w:r>
      <w:r>
        <w:rPr>
          <w:lang w:bidi="ar-EG"/>
        </w:rPr>
        <w:tab/>
      </w:r>
      <w:r w:rsidR="006D0F97">
        <w:rPr>
          <w:rFonts w:hint="cs"/>
          <w:rtl/>
          <w:lang w:bidi="ar-EG"/>
        </w:rPr>
        <w:t>تحديد اليوم الثالث للمؤتمر ليكون اليوم الذي تعلن فيه الدول الأعضاء في الاتحاد اختيارها النهائي لفئة المساهمة؛</w:t>
      </w:r>
    </w:p>
    <w:p w:rsidR="006D0F97" w:rsidRDefault="001C7D73" w:rsidP="006B2688">
      <w:pPr>
        <w:pStyle w:val="enumlev2"/>
        <w:ind w:left="1134" w:hanging="425"/>
        <w:rPr>
          <w:rtl/>
          <w:lang w:bidi="ar-EG"/>
        </w:rPr>
      </w:pPr>
      <w:r>
        <w:rPr>
          <w:lang w:val="fr-CH" w:bidi="ar-EG"/>
        </w:rPr>
        <w:t>(</w:t>
      </w:r>
      <w:r w:rsidR="006D0F97">
        <w:rPr>
          <w:lang w:val="fr-CH" w:bidi="ar-EG"/>
        </w:rPr>
        <w:t>3</w:t>
      </w:r>
      <w:r>
        <w:rPr>
          <w:lang w:bidi="ar-EG"/>
        </w:rPr>
        <w:tab/>
      </w:r>
      <w:r w:rsidR="006D0F97">
        <w:rPr>
          <w:rFonts w:hint="cs"/>
          <w:rtl/>
          <w:lang w:bidi="ar-EG"/>
        </w:rPr>
        <w:t xml:space="preserve">نشر فئات المساهمة التي اختارتها الدول الأعضاء في الاتحاد اختياراً نهائياً قبل </w:t>
      </w:r>
      <w:r w:rsidR="006D0F97">
        <w:rPr>
          <w:rFonts w:hint="cs"/>
          <w:rtl/>
          <w:lang w:val="fr-CH" w:bidi="ar-EG"/>
        </w:rPr>
        <w:t xml:space="preserve">منتصف ليل </w:t>
      </w:r>
      <w:r w:rsidR="00A8550A">
        <w:rPr>
          <w:rFonts w:hint="cs"/>
          <w:rtl/>
          <w:lang w:val="fr-CH" w:bidi="ar-EG"/>
        </w:rPr>
        <w:t>ا</w:t>
      </w:r>
      <w:r w:rsidR="006D0F97">
        <w:rPr>
          <w:rFonts w:hint="cs"/>
          <w:rtl/>
          <w:lang w:val="fr-CH" w:bidi="ar-EG"/>
        </w:rPr>
        <w:t xml:space="preserve">ليوم الثالث لمؤتمر المندوبين المفوضين لعام </w:t>
      </w:r>
      <w:r w:rsidR="006D0F97">
        <w:rPr>
          <w:lang w:val="fr-CH" w:bidi="ar-EG"/>
        </w:rPr>
        <w:t>2018</w:t>
      </w:r>
      <w:r w:rsidR="00AB5172">
        <w:rPr>
          <w:rFonts w:hint="cs"/>
          <w:rtl/>
          <w:lang w:bidi="ar-EG"/>
        </w:rPr>
        <w:t>؛ أي قبل بدء الانتخابات.</w:t>
      </w:r>
    </w:p>
    <w:p w:rsidR="006D0F97" w:rsidRDefault="006D0F97" w:rsidP="00473B76">
      <w:pPr>
        <w:ind w:left="794"/>
        <w:rPr>
          <w:rtl/>
          <w:lang w:bidi="ar-EG"/>
        </w:rPr>
      </w:pPr>
      <w:r>
        <w:rPr>
          <w:rFonts w:hint="cs"/>
          <w:rtl/>
          <w:lang w:bidi="ar-EG"/>
        </w:rPr>
        <w:t xml:space="preserve">وتمتثل مجالات العمل المقترحة هذه امتثالاً تاماً للرقم </w:t>
      </w:r>
      <w:r w:rsidRPr="00095873">
        <w:rPr>
          <w:rFonts w:asciiTheme="minorHAnsi" w:hAnsiTheme="minorHAnsi" w:cstheme="majorBidi"/>
          <w:szCs w:val="22"/>
        </w:rPr>
        <w:t>161E</w:t>
      </w:r>
      <w:r w:rsidR="00095873" w:rsidRPr="00095873">
        <w:rPr>
          <w:rFonts w:ascii="Traditional Arabic" w:hAnsi="Traditional Arabic"/>
          <w:sz w:val="30"/>
          <w:rtl/>
        </w:rPr>
        <w:t xml:space="preserve"> </w:t>
      </w:r>
      <w:r>
        <w:rPr>
          <w:rFonts w:hint="cs"/>
          <w:rtl/>
          <w:lang w:bidi="ar-EG"/>
        </w:rPr>
        <w:t>من الدستور، و</w:t>
      </w:r>
      <w:r w:rsidR="00AB5172">
        <w:rPr>
          <w:rFonts w:hint="cs"/>
          <w:rtl/>
          <w:lang w:bidi="ar-EG"/>
        </w:rPr>
        <w:t xml:space="preserve">هي </w:t>
      </w:r>
      <w:r>
        <w:rPr>
          <w:rFonts w:hint="cs"/>
          <w:rtl/>
          <w:lang w:bidi="ar-EG"/>
        </w:rPr>
        <w:t xml:space="preserve">في الآن ذاته </w:t>
      </w:r>
      <w:r w:rsidR="00AB5172">
        <w:rPr>
          <w:rFonts w:hint="cs"/>
          <w:rtl/>
          <w:lang w:bidi="ar-EG"/>
        </w:rPr>
        <w:t>تضفي بعض الوضوح على</w:t>
      </w:r>
      <w:r>
        <w:rPr>
          <w:rFonts w:hint="cs"/>
          <w:rtl/>
          <w:lang w:bidi="ar-EG"/>
        </w:rPr>
        <w:t xml:space="preserve"> المواعيد. وفي</w:t>
      </w:r>
      <w:r w:rsidR="000B5E7A">
        <w:rPr>
          <w:rFonts w:hint="eastAsia"/>
          <w:rtl/>
          <w:lang w:bidi="ar-EG"/>
        </w:rPr>
        <w:t> </w:t>
      </w:r>
      <w:r>
        <w:rPr>
          <w:rFonts w:hint="cs"/>
          <w:rtl/>
          <w:lang w:bidi="ar-EG"/>
        </w:rPr>
        <w:t>نفس الوقت يمكِّن هذا النهج من ضمان اعتماد خطة الاتحاد الاستراتيجية وخطته المالية على نحو يوازن بينهما ويكون منطقياً؛</w:t>
      </w:r>
    </w:p>
    <w:p w:rsidR="006D0F97" w:rsidRDefault="006D0F97" w:rsidP="00AB6B12">
      <w:pPr>
        <w:pStyle w:val="enumlev1"/>
        <w:ind w:left="794" w:hanging="794"/>
        <w:rPr>
          <w:rtl/>
          <w:lang w:bidi="ar-EG"/>
        </w:rPr>
      </w:pPr>
      <w:r>
        <w:rPr>
          <w:rFonts w:hint="cs"/>
          <w:rtl/>
          <w:lang w:bidi="ar-EG"/>
        </w:rPr>
        <w:t>ب)</w:t>
      </w:r>
      <w:r w:rsidR="000B5E7A">
        <w:rPr>
          <w:rtl/>
          <w:lang w:bidi="ar-EG"/>
        </w:rPr>
        <w:tab/>
      </w:r>
      <w:r>
        <w:rPr>
          <w:rFonts w:hint="cs"/>
          <w:rtl/>
          <w:lang w:bidi="ar-EG"/>
        </w:rPr>
        <w:t>وحتى يمكن توضيح غايات الاتحاد</w:t>
      </w:r>
      <w:r w:rsidR="00F71341">
        <w:rPr>
          <w:rFonts w:hint="cs"/>
          <w:rtl/>
          <w:lang w:bidi="ar-EG"/>
        </w:rPr>
        <w:t xml:space="preserve"> الاستراتيجية</w:t>
      </w:r>
      <w:r>
        <w:rPr>
          <w:rFonts w:hint="cs"/>
          <w:rtl/>
          <w:lang w:bidi="ar-EG"/>
        </w:rPr>
        <w:t xml:space="preserve"> وأهدافه، وأيضاً التعبير عن مصالح الدول الأعضاء</w:t>
      </w:r>
      <w:r w:rsidR="003449B2">
        <w:rPr>
          <w:rFonts w:hint="cs"/>
          <w:rtl/>
          <w:lang w:bidi="ar-EG"/>
        </w:rPr>
        <w:t xml:space="preserve"> في الاتحاد</w:t>
      </w:r>
      <w:r>
        <w:rPr>
          <w:rFonts w:hint="cs"/>
          <w:rtl/>
          <w:lang w:bidi="ar-EG"/>
        </w:rPr>
        <w:t xml:space="preserve"> في</w:t>
      </w:r>
      <w:r w:rsidR="00AB6B12">
        <w:rPr>
          <w:rFonts w:hint="eastAsia"/>
          <w:rtl/>
          <w:lang w:bidi="ar-EG"/>
        </w:rPr>
        <w:t> </w:t>
      </w:r>
      <w:r>
        <w:rPr>
          <w:rFonts w:hint="cs"/>
          <w:rtl/>
          <w:lang w:bidi="ar-EG"/>
        </w:rPr>
        <w:t>الخطة الاستراتيجية للاتحاد، ينبغي دعوة القادة الذين يمثلون الدول الأعضاء في الاتحاد إلى أن يحددوا في</w:t>
      </w:r>
      <w:r w:rsidR="00447C78">
        <w:rPr>
          <w:rFonts w:hint="cs"/>
          <w:rtl/>
          <w:lang w:bidi="ar-EG"/>
        </w:rPr>
        <w:t xml:space="preserve"> بياناتهم عن السياسات العامة ما</w:t>
      </w:r>
      <w:r w:rsidR="00447C78">
        <w:rPr>
          <w:rFonts w:hint="eastAsia"/>
          <w:rtl/>
          <w:lang w:bidi="ar-EG"/>
        </w:rPr>
        <w:t> </w:t>
      </w:r>
      <w:r>
        <w:rPr>
          <w:rFonts w:hint="cs"/>
          <w:rtl/>
          <w:lang w:bidi="ar-EG"/>
        </w:rPr>
        <w:t>يعتقدون أنه ينبغي أن يمثل أهداف وغايات الاتحاد الرئيسية؛</w:t>
      </w:r>
    </w:p>
    <w:p w:rsidR="006D0F97" w:rsidRDefault="006D0F97" w:rsidP="000F406F">
      <w:pPr>
        <w:pStyle w:val="enumlev1"/>
        <w:ind w:left="794" w:hanging="794"/>
        <w:rPr>
          <w:rtl/>
          <w:lang w:bidi="ar-EG"/>
        </w:rPr>
      </w:pPr>
      <w:r>
        <w:rPr>
          <w:rFonts w:hint="cs"/>
          <w:rtl/>
          <w:lang w:bidi="ar-EG"/>
        </w:rPr>
        <w:lastRenderedPageBreak/>
        <w:t>ج)</w:t>
      </w:r>
      <w:r w:rsidR="000F406F">
        <w:rPr>
          <w:rtl/>
          <w:lang w:bidi="ar-EG"/>
        </w:rPr>
        <w:tab/>
      </w:r>
      <w:r>
        <w:rPr>
          <w:rFonts w:hint="cs"/>
          <w:rtl/>
          <w:lang w:bidi="ar-EG"/>
        </w:rPr>
        <w:t>وحتى يمكن تقليص النفقات وضمان استخدام وقت مؤتمر المندوبين المفوضين استخداماً رشيداً، ينبغي أن يُسمح لكل دولة عضو</w:t>
      </w:r>
      <w:r w:rsidR="000C16D5">
        <w:rPr>
          <w:rFonts w:hint="cs"/>
          <w:rtl/>
          <w:lang w:bidi="ar-EG"/>
        </w:rPr>
        <w:t xml:space="preserve"> في الاتحاد</w:t>
      </w:r>
      <w:r>
        <w:rPr>
          <w:rFonts w:hint="cs"/>
          <w:rtl/>
          <w:lang w:bidi="ar-EG"/>
        </w:rPr>
        <w:t xml:space="preserve"> بأن تدلي ببيان واحد للسياسة الع</w:t>
      </w:r>
      <w:r w:rsidR="00554862">
        <w:rPr>
          <w:rFonts w:hint="cs"/>
          <w:rtl/>
          <w:lang w:bidi="ar-EG"/>
        </w:rPr>
        <w:t>امة بحيث لا</w:t>
      </w:r>
      <w:r w:rsidR="00554862">
        <w:rPr>
          <w:rFonts w:hint="eastAsia"/>
          <w:rtl/>
          <w:lang w:bidi="ar-EG"/>
        </w:rPr>
        <w:t> </w:t>
      </w:r>
      <w:r>
        <w:rPr>
          <w:rFonts w:hint="cs"/>
          <w:rtl/>
          <w:lang w:bidi="ar-EG"/>
        </w:rPr>
        <w:t xml:space="preserve">يستغرق </w:t>
      </w:r>
      <w:r w:rsidR="000C16D5">
        <w:rPr>
          <w:rFonts w:hint="cs"/>
          <w:rtl/>
          <w:lang w:bidi="ar-EG"/>
        </w:rPr>
        <w:t>أكثر من</w:t>
      </w:r>
      <w:r>
        <w:rPr>
          <w:rFonts w:hint="cs"/>
          <w:rtl/>
          <w:lang w:bidi="ar-EG"/>
        </w:rPr>
        <w:t xml:space="preserve"> خمس دقائق وينبغي أن يتم التقيُّد</w:t>
      </w:r>
      <w:r w:rsidR="000C16D5">
        <w:rPr>
          <w:rFonts w:hint="cs"/>
          <w:rtl/>
          <w:lang w:bidi="ar-EG"/>
        </w:rPr>
        <w:t xml:space="preserve"> بالزمن المحدد تقيُّداً صارماً.</w:t>
      </w:r>
    </w:p>
    <w:p w:rsidR="006D0F97" w:rsidRPr="000F406F" w:rsidRDefault="000F406F" w:rsidP="00161110">
      <w:pPr>
        <w:pStyle w:val="enumlev1"/>
        <w:ind w:left="794" w:hanging="794"/>
        <w:rPr>
          <w:rFonts w:eastAsiaTheme="minorEastAsia"/>
          <w:b/>
          <w:bCs/>
          <w:rtl/>
          <w:lang w:bidi="ar-EG"/>
        </w:rPr>
      </w:pPr>
      <w:r w:rsidRPr="000F406F">
        <w:rPr>
          <w:rFonts w:eastAsiaTheme="minorEastAsia"/>
          <w:b/>
          <w:bCs/>
          <w:lang w:bidi="ar-EG"/>
        </w:rPr>
        <w:t>(</w:t>
      </w:r>
      <w:r w:rsidR="006D0F97" w:rsidRPr="000F406F">
        <w:rPr>
          <w:rFonts w:eastAsiaTheme="minorEastAsia"/>
          <w:b/>
          <w:bCs/>
          <w:lang w:bidi="ar-EG"/>
        </w:rPr>
        <w:t>3</w:t>
      </w:r>
      <w:r w:rsidR="006D0F97" w:rsidRPr="000F406F">
        <w:rPr>
          <w:rFonts w:eastAsiaTheme="minorEastAsia"/>
          <w:b/>
          <w:bCs/>
          <w:rtl/>
          <w:lang w:bidi="ar-EG"/>
        </w:rPr>
        <w:tab/>
      </w:r>
      <w:r w:rsidR="006D0F97" w:rsidRPr="000F406F">
        <w:rPr>
          <w:rFonts w:hint="cs"/>
          <w:b/>
          <w:bCs/>
          <w:rtl/>
          <w:lang w:bidi="ar-EG"/>
        </w:rPr>
        <w:t>تحسين ال</w:t>
      </w:r>
      <w:r w:rsidR="000C16D5" w:rsidRPr="000F406F">
        <w:rPr>
          <w:rFonts w:hint="cs"/>
          <w:b/>
          <w:bCs/>
          <w:rtl/>
          <w:lang w:bidi="ar-EG"/>
        </w:rPr>
        <w:t>إجراءات</w:t>
      </w:r>
      <w:r w:rsidR="006D0F97" w:rsidRPr="000F406F">
        <w:rPr>
          <w:rFonts w:hint="cs"/>
          <w:b/>
          <w:bCs/>
          <w:rtl/>
          <w:lang w:bidi="ar-EG"/>
        </w:rPr>
        <w:t xml:space="preserve"> الانتخابية</w:t>
      </w:r>
    </w:p>
    <w:p w:rsidR="006D0F97" w:rsidRDefault="00161110" w:rsidP="00161110">
      <w:pPr>
        <w:pStyle w:val="enumlev1"/>
        <w:ind w:left="794" w:hanging="794"/>
        <w:rPr>
          <w:rtl/>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Pr>
          <w:rtl/>
          <w:lang w:bidi="ar-EG"/>
        </w:rPr>
        <w:tab/>
      </w:r>
      <w:r w:rsidR="006D0F97">
        <w:rPr>
          <w:rFonts w:hint="cs"/>
          <w:rtl/>
          <w:lang w:bidi="ar-EG"/>
        </w:rPr>
        <w:t>إذا كان هناك مرشح واحد لوظيفة الأمين العام أو وظيفة نائب الأمين العام، ينبغي أن تبدأ الانتخابات لمديري مكاتب القطاعات فور الانتهاء من انتخاب نائب الأمين ال</w:t>
      </w:r>
      <w:r>
        <w:rPr>
          <w:rFonts w:hint="cs"/>
          <w:rtl/>
          <w:lang w:bidi="ar-EG"/>
        </w:rPr>
        <w:t>عام، أو في اليوم نفسه إذا أمكن.</w:t>
      </w:r>
    </w:p>
    <w:p w:rsidR="006D0F97" w:rsidRPr="00E8387C" w:rsidRDefault="00161110" w:rsidP="00161110">
      <w:pPr>
        <w:pStyle w:val="enumlev1"/>
        <w:ind w:left="794" w:hanging="794"/>
        <w:rPr>
          <w:rFonts w:eastAsiaTheme="minorEastAsia"/>
          <w:b/>
          <w:bCs/>
          <w:spacing w:val="-6"/>
          <w:rtl/>
          <w:lang w:bidi="ar-EG"/>
        </w:rPr>
      </w:pPr>
      <w:r w:rsidRPr="00E8387C">
        <w:rPr>
          <w:rFonts w:eastAsiaTheme="minorEastAsia"/>
          <w:b/>
          <w:bCs/>
          <w:spacing w:val="-6"/>
          <w:lang w:bidi="ar-EG"/>
        </w:rPr>
        <w:t>(</w:t>
      </w:r>
      <w:r w:rsidR="006D0F97" w:rsidRPr="00E8387C">
        <w:rPr>
          <w:rFonts w:eastAsiaTheme="minorEastAsia"/>
          <w:b/>
          <w:bCs/>
          <w:spacing w:val="-6"/>
          <w:lang w:bidi="ar-EG"/>
        </w:rPr>
        <w:t>4</w:t>
      </w:r>
      <w:r w:rsidR="006D0F97" w:rsidRPr="00E8387C">
        <w:rPr>
          <w:rFonts w:eastAsiaTheme="minorEastAsia"/>
          <w:b/>
          <w:bCs/>
          <w:spacing w:val="-6"/>
          <w:rtl/>
          <w:lang w:bidi="ar-EG"/>
        </w:rPr>
        <w:tab/>
      </w:r>
      <w:r w:rsidR="006D0F97" w:rsidRPr="00E8387C">
        <w:rPr>
          <w:rFonts w:hint="cs"/>
          <w:b/>
          <w:bCs/>
          <w:spacing w:val="-6"/>
          <w:rtl/>
          <w:lang w:bidi="ar-EG"/>
        </w:rPr>
        <w:t>استخدام أدوات محد</w:t>
      </w:r>
      <w:r w:rsidR="007D1DE0">
        <w:rPr>
          <w:rFonts w:hint="cs"/>
          <w:b/>
          <w:bCs/>
          <w:spacing w:val="-6"/>
          <w:rtl/>
          <w:lang w:bidi="ar-EG"/>
        </w:rPr>
        <w:t>ّ</w:t>
      </w:r>
      <w:r w:rsidR="006D0F97" w:rsidRPr="00E8387C">
        <w:rPr>
          <w:rFonts w:hint="cs"/>
          <w:b/>
          <w:bCs/>
          <w:spacing w:val="-6"/>
          <w:rtl/>
          <w:lang w:bidi="ar-EG"/>
        </w:rPr>
        <w:t>ثة ومتكاملة لإدارة المؤتمر من أجل زيادة الكفاءة وتحسين ممارسات الاستخدام الحكيم للورق</w:t>
      </w:r>
    </w:p>
    <w:p w:rsidR="006D0F97" w:rsidRDefault="0027629D" w:rsidP="0027629D">
      <w:pPr>
        <w:pStyle w:val="enumlev1"/>
        <w:ind w:left="794" w:hanging="794"/>
        <w:rPr>
          <w:rtl/>
          <w:lang w:bidi="ar-EG"/>
        </w:rPr>
      </w:pPr>
      <w:r>
        <w:rPr>
          <w:rFonts w:hint="cs"/>
          <w:rtl/>
          <w:lang w:bidi="ar-EG"/>
        </w:rPr>
        <w:t xml:space="preserve"> </w:t>
      </w:r>
      <w:r w:rsidR="006D0F97">
        <w:rPr>
          <w:rFonts w:hint="cs"/>
          <w:rtl/>
          <w:lang w:bidi="ar-EG"/>
        </w:rPr>
        <w:t>أ</w:t>
      </w:r>
      <w:r>
        <w:rPr>
          <w:rFonts w:hint="cs"/>
          <w:rtl/>
          <w:lang w:bidi="ar-EG"/>
        </w:rPr>
        <w:t xml:space="preserve"> </w:t>
      </w:r>
      <w:r w:rsidR="006D0F97">
        <w:rPr>
          <w:rFonts w:hint="cs"/>
          <w:rtl/>
          <w:lang w:bidi="ar-EG"/>
        </w:rPr>
        <w:t>)</w:t>
      </w:r>
      <w:r>
        <w:rPr>
          <w:rtl/>
          <w:lang w:bidi="ar-EG"/>
        </w:rPr>
        <w:tab/>
      </w:r>
      <w:r w:rsidR="006D0F97">
        <w:rPr>
          <w:rFonts w:hint="cs"/>
          <w:rtl/>
          <w:lang w:bidi="ar-EG"/>
        </w:rPr>
        <w:t xml:space="preserve">فيما يخص نشر الوثائق وتوزيعها، ينبغي استخدام تطبيقات مزامنة وثائق الاجتماعات الخاصة </w:t>
      </w:r>
      <w:r w:rsidR="00CF4F88">
        <w:rPr>
          <w:rFonts w:hint="cs"/>
          <w:rtl/>
          <w:lang w:bidi="ar-EG"/>
        </w:rPr>
        <w:t>ب</w:t>
      </w:r>
      <w:r w:rsidR="006D0F97">
        <w:rPr>
          <w:rFonts w:hint="cs"/>
          <w:rtl/>
          <w:lang w:bidi="ar-EG"/>
        </w:rPr>
        <w:t>الحواسيب الشخصية، والحواسيب اللوحية، والهواتف الذكية المتنقلة؛</w:t>
      </w:r>
    </w:p>
    <w:p w:rsidR="006D0F97" w:rsidRDefault="006D0F97" w:rsidP="0027629D">
      <w:pPr>
        <w:pStyle w:val="enumlev1"/>
        <w:ind w:left="794" w:hanging="794"/>
        <w:rPr>
          <w:rtl/>
          <w:lang w:bidi="ar-EG"/>
        </w:rPr>
      </w:pPr>
      <w:r>
        <w:rPr>
          <w:rFonts w:hint="cs"/>
          <w:rtl/>
          <w:lang w:bidi="ar-EG"/>
        </w:rPr>
        <w:t>ب)</w:t>
      </w:r>
      <w:r w:rsidR="0027629D">
        <w:rPr>
          <w:rtl/>
          <w:lang w:bidi="ar-EG"/>
        </w:rPr>
        <w:tab/>
      </w:r>
      <w:r>
        <w:rPr>
          <w:rFonts w:hint="cs"/>
          <w:rtl/>
          <w:lang w:bidi="ar-EG"/>
        </w:rPr>
        <w:t>ينبغي نشر وثائق العمل الخاصة بأفرقة الصياغة إلكترونياً على</w:t>
      </w:r>
      <w:r w:rsidR="00B0615E">
        <w:rPr>
          <w:rFonts w:hint="cs"/>
          <w:rtl/>
          <w:lang w:bidi="ar-EG"/>
        </w:rPr>
        <w:t xml:space="preserve"> موقع التبادل</w:t>
      </w:r>
      <w:r>
        <w:rPr>
          <w:rFonts w:hint="cs"/>
          <w:rtl/>
          <w:lang w:bidi="ar-EG"/>
        </w:rPr>
        <w:t xml:space="preserve"> </w:t>
      </w:r>
      <w:r>
        <w:rPr>
          <w:lang w:val="fr-CH" w:bidi="ar-EG"/>
        </w:rPr>
        <w:t>SharePoint</w:t>
      </w:r>
      <w:r w:rsidR="00383C38">
        <w:rPr>
          <w:rFonts w:hint="cs"/>
          <w:rtl/>
          <w:lang w:bidi="ar-EG"/>
        </w:rPr>
        <w:t>؛</w:t>
      </w:r>
    </w:p>
    <w:p w:rsidR="006D0F97" w:rsidRDefault="006D0F97" w:rsidP="0027629D">
      <w:pPr>
        <w:pStyle w:val="enumlev1"/>
        <w:ind w:left="794" w:hanging="794"/>
        <w:rPr>
          <w:rtl/>
          <w:lang w:bidi="ar-EG"/>
        </w:rPr>
      </w:pPr>
      <w:r>
        <w:rPr>
          <w:rFonts w:hint="cs"/>
          <w:rtl/>
          <w:lang w:bidi="ar-EG"/>
        </w:rPr>
        <w:t>ج)</w:t>
      </w:r>
      <w:r w:rsidR="0027629D">
        <w:rPr>
          <w:rtl/>
          <w:lang w:bidi="ar-EG"/>
        </w:rPr>
        <w:tab/>
      </w:r>
      <w:r>
        <w:rPr>
          <w:rFonts w:hint="cs"/>
          <w:rtl/>
          <w:lang w:bidi="ar-EG"/>
        </w:rPr>
        <w:t>ينبغي عند تحضير أفرقة الصياغة لمشاريع الوثائق أن تستخدم بصورة مكثفة أدوات التحرير الإلكترونية المزودة بإمكانية عرض النص الذي يجري تحريره على الشاشة؛</w:t>
      </w:r>
    </w:p>
    <w:p w:rsidR="006D0F97" w:rsidRDefault="006D0F97" w:rsidP="0027629D">
      <w:pPr>
        <w:pStyle w:val="enumlev1"/>
        <w:ind w:left="794" w:hanging="794"/>
        <w:rPr>
          <w:rtl/>
          <w:lang w:bidi="ar-EG"/>
        </w:rPr>
      </w:pPr>
      <w:r>
        <w:rPr>
          <w:rFonts w:hint="cs"/>
          <w:rtl/>
          <w:lang w:bidi="ar-EG"/>
        </w:rPr>
        <w:t>د</w:t>
      </w:r>
      <w:r w:rsidR="0027629D">
        <w:rPr>
          <w:rFonts w:hint="cs"/>
          <w:rtl/>
          <w:lang w:bidi="ar-EG"/>
        </w:rPr>
        <w:t xml:space="preserve"> </w:t>
      </w:r>
      <w:r>
        <w:rPr>
          <w:rFonts w:hint="cs"/>
          <w:rtl/>
          <w:lang w:bidi="ar-EG"/>
        </w:rPr>
        <w:t>)</w:t>
      </w:r>
      <w:r w:rsidR="0027629D">
        <w:rPr>
          <w:rtl/>
          <w:lang w:bidi="ar-EG"/>
        </w:rPr>
        <w:tab/>
      </w:r>
      <w:r>
        <w:rPr>
          <w:rFonts w:hint="cs"/>
          <w:rtl/>
          <w:lang w:bidi="ar-EG"/>
        </w:rPr>
        <w:t xml:space="preserve">ينبغي عند عقد اجتماعات زيادة استخدام البث </w:t>
      </w:r>
      <w:r w:rsidR="00383C38">
        <w:rPr>
          <w:rFonts w:hint="cs"/>
          <w:rtl/>
          <w:lang w:bidi="ar-EG"/>
        </w:rPr>
        <w:t>الشبكي</w:t>
      </w:r>
      <w:r>
        <w:rPr>
          <w:rFonts w:hint="cs"/>
          <w:rtl/>
          <w:lang w:bidi="ar-EG"/>
        </w:rPr>
        <w:t xml:space="preserve"> والعرض النصي (بما في ذلك نصوص العرض النصي)؛ مع نشر المحفوظات ذات الصلة وتخزينها؛</w:t>
      </w:r>
    </w:p>
    <w:p w:rsidR="006D0F97" w:rsidRDefault="006D0F97" w:rsidP="0027629D">
      <w:pPr>
        <w:pStyle w:val="enumlev1"/>
        <w:ind w:left="794" w:hanging="794"/>
        <w:rPr>
          <w:rtl/>
          <w:lang w:bidi="ar-EG"/>
        </w:rPr>
      </w:pPr>
      <w:r>
        <w:rPr>
          <w:rFonts w:hint="cs"/>
          <w:rtl/>
          <w:lang w:bidi="ar-EG"/>
        </w:rPr>
        <w:t>ه</w:t>
      </w:r>
      <w:r w:rsidR="0027629D">
        <w:rPr>
          <w:rFonts w:hint="cs"/>
          <w:rtl/>
          <w:lang w:bidi="ar-EG"/>
        </w:rPr>
        <w:t xml:space="preserve"> </w:t>
      </w:r>
      <w:r>
        <w:rPr>
          <w:rFonts w:hint="cs"/>
          <w:rtl/>
          <w:lang w:bidi="ar-EG"/>
        </w:rPr>
        <w:t>)</w:t>
      </w:r>
      <w:r w:rsidR="0027629D">
        <w:rPr>
          <w:rtl/>
          <w:lang w:bidi="ar-EG"/>
        </w:rPr>
        <w:tab/>
      </w:r>
      <w:r>
        <w:rPr>
          <w:rFonts w:hint="cs"/>
          <w:rtl/>
          <w:lang w:bidi="ar-EG"/>
        </w:rPr>
        <w:t xml:space="preserve">ينبغي بذل </w:t>
      </w:r>
      <w:r w:rsidR="00B27168">
        <w:rPr>
          <w:rFonts w:hint="cs"/>
          <w:rtl/>
          <w:lang w:bidi="ar-EG"/>
        </w:rPr>
        <w:t>ال</w:t>
      </w:r>
      <w:r>
        <w:rPr>
          <w:rFonts w:hint="cs"/>
          <w:rtl/>
          <w:lang w:bidi="ar-EG"/>
        </w:rPr>
        <w:t>جهود بغية تقليص عدد القرارات ودمج القرارات التي تتناول مواضيع متماثلة وتقليص حجم النصوص، بالتركيز على الجزء الذي يتناول منطوق القرار عند صياغة النصوص؛</w:t>
      </w:r>
    </w:p>
    <w:p w:rsidR="006D0F97" w:rsidRPr="00CA17AD" w:rsidRDefault="006D0F97" w:rsidP="00CA17AD">
      <w:pPr>
        <w:pStyle w:val="enumlev1"/>
        <w:ind w:left="794" w:hanging="794"/>
        <w:rPr>
          <w:rtl/>
          <w:lang w:bidi="ar-EG"/>
        </w:rPr>
      </w:pPr>
      <w:r w:rsidRPr="00CA17AD">
        <w:rPr>
          <w:rFonts w:hint="cs"/>
          <w:rtl/>
          <w:lang w:bidi="ar-EG"/>
        </w:rPr>
        <w:t>و</w:t>
      </w:r>
      <w:r w:rsidR="0027629D" w:rsidRPr="00CA17AD">
        <w:rPr>
          <w:rFonts w:hint="cs"/>
          <w:rtl/>
          <w:lang w:bidi="ar-EG"/>
        </w:rPr>
        <w:t xml:space="preserve"> </w:t>
      </w:r>
      <w:r w:rsidRPr="00CA17AD">
        <w:rPr>
          <w:rFonts w:hint="cs"/>
          <w:rtl/>
          <w:lang w:bidi="ar-EG"/>
        </w:rPr>
        <w:t>)</w:t>
      </w:r>
      <w:r w:rsidR="0027629D" w:rsidRPr="00CA17AD">
        <w:rPr>
          <w:rtl/>
          <w:lang w:bidi="ar-EG"/>
        </w:rPr>
        <w:tab/>
      </w:r>
      <w:r w:rsidRPr="00CA17AD">
        <w:rPr>
          <w:rFonts w:hint="cs"/>
          <w:spacing w:val="2"/>
          <w:rtl/>
          <w:lang w:bidi="ar-EG"/>
        </w:rPr>
        <w:t>ينبغي التوصية بتحديد مهل زمنية لنشر جداول أعمال اجتماعات اللجان والأفرقة الأخرى التابع</w:t>
      </w:r>
      <w:r w:rsidR="00CA17AD" w:rsidRPr="00CA17AD">
        <w:rPr>
          <w:rFonts w:hint="cs"/>
          <w:spacing w:val="2"/>
          <w:rtl/>
          <w:lang w:bidi="ar-EG"/>
        </w:rPr>
        <w:t>ة لمؤتمر المندوبين المفوضين</w:t>
      </w:r>
      <w:r w:rsidR="00CA17AD" w:rsidRPr="00CA17AD">
        <w:rPr>
          <w:rFonts w:hint="cs"/>
          <w:rtl/>
          <w:lang w:bidi="ar-EG"/>
        </w:rPr>
        <w:t xml:space="preserve"> (في</w:t>
      </w:r>
      <w:r w:rsidR="00CA17AD" w:rsidRPr="00CA17AD">
        <w:rPr>
          <w:rFonts w:hint="eastAsia"/>
          <w:rtl/>
          <w:lang w:bidi="ar-EG"/>
        </w:rPr>
        <w:t> </w:t>
      </w:r>
      <w:r w:rsidRPr="00CA17AD">
        <w:rPr>
          <w:rFonts w:hint="cs"/>
          <w:rtl/>
          <w:lang w:bidi="ar-EG"/>
        </w:rPr>
        <w:t>موعد أقصاه ست ساعات قبل بدء الاجتماع، مع عدم احتساب ساعات الليل)، للس</w:t>
      </w:r>
      <w:r w:rsidR="0027629D" w:rsidRPr="00CA17AD">
        <w:rPr>
          <w:rFonts w:hint="cs"/>
          <w:rtl/>
          <w:lang w:bidi="ar-EG"/>
        </w:rPr>
        <w:t>ماح للوفود بالتحضير</w:t>
      </w:r>
      <w:r w:rsidR="00CA17AD">
        <w:rPr>
          <w:rFonts w:hint="eastAsia"/>
          <w:rtl/>
          <w:lang w:bidi="ar-EG"/>
        </w:rPr>
        <w:t> </w:t>
      </w:r>
      <w:r w:rsidR="0027629D" w:rsidRPr="00CA17AD">
        <w:rPr>
          <w:rFonts w:hint="cs"/>
          <w:rtl/>
          <w:lang w:bidi="ar-EG"/>
        </w:rPr>
        <w:t>للاجتماعات.</w:t>
      </w:r>
    </w:p>
    <w:p w:rsidR="006D0F97" w:rsidRPr="009063F3" w:rsidRDefault="009063F3" w:rsidP="009063F3">
      <w:pPr>
        <w:pStyle w:val="enumlev1"/>
        <w:rPr>
          <w:b/>
          <w:bCs/>
          <w:lang w:bidi="ar-EG"/>
        </w:rPr>
      </w:pPr>
      <w:r w:rsidRPr="009063F3">
        <w:rPr>
          <w:b/>
          <w:bCs/>
          <w:lang w:bidi="ar-EG"/>
        </w:rPr>
        <w:t>(</w:t>
      </w:r>
      <w:r w:rsidR="006D0F97" w:rsidRPr="009063F3">
        <w:rPr>
          <w:b/>
          <w:bCs/>
          <w:lang w:bidi="ar-EG"/>
        </w:rPr>
        <w:t>5</w:t>
      </w:r>
      <w:r w:rsidR="006D0F97" w:rsidRPr="009063F3">
        <w:rPr>
          <w:b/>
          <w:bCs/>
          <w:rtl/>
          <w:lang w:bidi="ar-EG"/>
        </w:rPr>
        <w:tab/>
      </w:r>
      <w:r w:rsidR="006D0F97" w:rsidRPr="009063F3">
        <w:rPr>
          <w:rFonts w:hint="cs"/>
          <w:b/>
          <w:bCs/>
          <w:rtl/>
          <w:lang w:bidi="ar-EG"/>
        </w:rPr>
        <w:t xml:space="preserve">الاستغناء عن خدمات الترجمة </w:t>
      </w:r>
      <w:r w:rsidR="006D0F97" w:rsidRPr="007D1DE0">
        <w:rPr>
          <w:rFonts w:hint="cs"/>
          <w:b/>
          <w:bCs/>
          <w:rtl/>
          <w:lang w:bidi="ar-EG"/>
        </w:rPr>
        <w:t>الفورية</w:t>
      </w:r>
      <w:r w:rsidR="006D0F97" w:rsidRPr="009063F3">
        <w:rPr>
          <w:rFonts w:hint="cs"/>
          <w:b/>
          <w:bCs/>
          <w:rtl/>
          <w:lang w:bidi="ar-EG"/>
        </w:rPr>
        <w:t xml:space="preserve"> غير المستعملة استعمالاً كاملاً</w:t>
      </w:r>
    </w:p>
    <w:p w:rsidR="000E4FF0" w:rsidRPr="000E4FF0" w:rsidRDefault="006D0F97" w:rsidP="00010C73">
      <w:pPr>
        <w:rPr>
          <w:rFonts w:eastAsiaTheme="minorEastAsia"/>
          <w:rtl/>
          <w:lang w:eastAsia="zh-CN" w:bidi="ar-SY"/>
        </w:rPr>
      </w:pPr>
      <w:r>
        <w:rPr>
          <w:rFonts w:hint="cs"/>
          <w:rtl/>
          <w:lang w:bidi="ar-EG"/>
        </w:rPr>
        <w:t xml:space="preserve">من الضروري مواصلة </w:t>
      </w:r>
      <w:r w:rsidR="00B27168">
        <w:rPr>
          <w:rFonts w:hint="cs"/>
          <w:rtl/>
          <w:lang w:bidi="ar-EG"/>
        </w:rPr>
        <w:t>النظر في</w:t>
      </w:r>
      <w:r>
        <w:rPr>
          <w:rFonts w:hint="cs"/>
          <w:rtl/>
          <w:lang w:bidi="ar-EG"/>
        </w:rPr>
        <w:t xml:space="preserve"> القضايا المتعلقة بالاستغناء عن خدمات الترجمة </w:t>
      </w:r>
      <w:r w:rsidRPr="007D1DE0">
        <w:rPr>
          <w:rFonts w:hint="cs"/>
          <w:rtl/>
          <w:lang w:bidi="ar-EG"/>
        </w:rPr>
        <w:t>الفورية</w:t>
      </w:r>
      <w:r>
        <w:rPr>
          <w:rFonts w:hint="cs"/>
          <w:rtl/>
          <w:lang w:bidi="ar-EG"/>
        </w:rPr>
        <w:t xml:space="preserve"> غير المستعملة استعمالاً كاملاً. وقد يفضي مقترح الأمانة بالاستغناء عن الترجمة </w:t>
      </w:r>
      <w:r w:rsidRPr="007D1DE0">
        <w:rPr>
          <w:rFonts w:hint="cs"/>
          <w:rtl/>
          <w:lang w:bidi="ar-EG"/>
        </w:rPr>
        <w:t>الفورية</w:t>
      </w:r>
      <w:r>
        <w:rPr>
          <w:rFonts w:hint="cs"/>
          <w:rtl/>
          <w:lang w:bidi="ar-EG"/>
        </w:rPr>
        <w:t xml:space="preserve"> في اللجنتين </w:t>
      </w:r>
      <w:r>
        <w:rPr>
          <w:lang w:val="fr-CH" w:bidi="ar-EG"/>
        </w:rPr>
        <w:t>2</w:t>
      </w:r>
      <w:r>
        <w:rPr>
          <w:rFonts w:hint="cs"/>
          <w:rtl/>
          <w:lang w:bidi="ar-EG"/>
        </w:rPr>
        <w:t xml:space="preserve"> و</w:t>
      </w:r>
      <w:r>
        <w:rPr>
          <w:lang w:val="fr-CH" w:bidi="ar-EG"/>
        </w:rPr>
        <w:t>3</w:t>
      </w:r>
      <w:r>
        <w:rPr>
          <w:rFonts w:hint="cs"/>
          <w:rtl/>
          <w:lang w:bidi="ar-EG"/>
        </w:rPr>
        <w:t xml:space="preserve"> لمؤتمر المندوبين المفوضين إلى انخفاض عدد ممثلي الدول الأعضاء في</w:t>
      </w:r>
      <w:r w:rsidR="00010C73">
        <w:rPr>
          <w:rFonts w:hint="eastAsia"/>
          <w:rtl/>
        </w:rPr>
        <w:t> </w:t>
      </w:r>
      <w:r>
        <w:rPr>
          <w:rFonts w:hint="cs"/>
          <w:rtl/>
          <w:lang w:bidi="ar-EG"/>
        </w:rPr>
        <w:t xml:space="preserve">الاتحاد غير الناطقة باللغة الإنكليزية في أعمال اللجنتين، مما يضر بجودة عمل هاتين اللجنتين الهامتين ونتائجهما. وقد يسفر ذلك أيضاً عن صعوبات أمام المندوبين الذين يستخدمون البث </w:t>
      </w:r>
      <w:r w:rsidR="00061F73">
        <w:rPr>
          <w:rFonts w:hint="cs"/>
          <w:rtl/>
          <w:lang w:bidi="ar-EG"/>
        </w:rPr>
        <w:t>الشبكي لاجتماعات</w:t>
      </w:r>
      <w:r>
        <w:rPr>
          <w:rFonts w:hint="cs"/>
          <w:rtl/>
          <w:lang w:bidi="ar-EG"/>
        </w:rPr>
        <w:t xml:space="preserve"> هاتين اللجنتين.</w:t>
      </w:r>
    </w:p>
    <w:p w:rsidR="000E4FF0" w:rsidRDefault="006D0F97" w:rsidP="006D0F97">
      <w:pPr>
        <w:spacing w:before="600"/>
        <w:jc w:val="center"/>
        <w:rPr>
          <w:rtl/>
          <w:lang w:bidi="ar-EG"/>
        </w:rPr>
      </w:pPr>
      <w:r>
        <w:rPr>
          <w:rFonts w:hint="cs"/>
          <w:rtl/>
          <w:lang w:bidi="ar-EG"/>
        </w:rPr>
        <w:t>___________</w:t>
      </w:r>
    </w:p>
    <w:sectPr w:rsidR="000E4FF0"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3E" w:rsidRDefault="00A4793E" w:rsidP="00E07379">
      <w:pPr>
        <w:spacing w:before="0" w:line="240" w:lineRule="auto"/>
      </w:pPr>
      <w:r>
        <w:separator/>
      </w:r>
    </w:p>
  </w:endnote>
  <w:endnote w:type="continuationSeparator" w:id="0">
    <w:p w:rsidR="00A4793E" w:rsidRDefault="00A4793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A1976" w:rsidRDefault="000E4FF0" w:rsidP="00C811B6">
    <w:pPr>
      <w:pStyle w:val="Footer"/>
      <w:tabs>
        <w:tab w:val="clear" w:pos="5812"/>
        <w:tab w:val="right" w:pos="5670"/>
      </w:tabs>
      <w:rPr>
        <w:lang w:val="fr-CH"/>
      </w:rPr>
    </w:pPr>
    <w:r>
      <w:fldChar w:fldCharType="begin"/>
    </w:r>
    <w:r w:rsidRPr="002A1976">
      <w:rPr>
        <w:lang w:val="fr-CH"/>
      </w:rPr>
      <w:instrText xml:space="preserve"> FILENAME \p \* MERGEFORMAT </w:instrText>
    </w:r>
    <w:r>
      <w:fldChar w:fldCharType="separate"/>
    </w:r>
    <w:r w:rsidR="00C811B6">
      <w:rPr>
        <w:noProof/>
        <w:lang w:val="fr-CH"/>
      </w:rPr>
      <w:t>P:\ARA\SG\CONSEIL\C17\000\078REV2A.docx</w:t>
    </w:r>
    <w:r>
      <w:rPr>
        <w:noProof/>
      </w:rPr>
      <w:fldChar w:fldCharType="end"/>
    </w:r>
    <w:r w:rsidR="00F269F7">
      <w:rPr>
        <w:lang w:val="fr-CH"/>
      </w:rPr>
      <w:t>   </w:t>
    </w:r>
    <w:r w:rsidR="00BD0C50" w:rsidRPr="002A1976">
      <w:rPr>
        <w:lang w:val="fr-CH"/>
      </w:rPr>
      <w:t>(</w:t>
    </w:r>
    <w:r w:rsidR="00C811B6">
      <w:rPr>
        <w:lang w:val="fr-CH"/>
      </w:rPr>
      <w:t>419371</w:t>
    </w:r>
    <w:r w:rsidR="00BD0C50" w:rsidRPr="002A1976">
      <w:rPr>
        <w:lang w:val="fr-CH"/>
      </w:rPr>
      <w:t>)</w:t>
    </w:r>
    <w:r w:rsidR="00BD0C50" w:rsidRPr="002A1976">
      <w:rPr>
        <w:lang w:val="fr-CH"/>
      </w:rPr>
      <w:tab/>
    </w:r>
    <w:r w:rsidR="00BD0C50" w:rsidRPr="00665956">
      <w:fldChar w:fldCharType="begin"/>
    </w:r>
    <w:r w:rsidR="00BD0C50" w:rsidRPr="00665956">
      <w:instrText xml:space="preserve"> savedate \@ dd.MM.yy </w:instrText>
    </w:r>
    <w:r w:rsidR="00BD0C50" w:rsidRPr="00665956">
      <w:fldChar w:fldCharType="separate"/>
    </w:r>
    <w:r w:rsidR="00290739">
      <w:rPr>
        <w:noProof/>
      </w:rPr>
      <w:t>29.05.17</w:t>
    </w:r>
    <w:r w:rsidR="00BD0C50" w:rsidRPr="00665956">
      <w:fldChar w:fldCharType="end"/>
    </w:r>
    <w:r w:rsidR="00BD0C50" w:rsidRPr="002A1976">
      <w:rPr>
        <w:lang w:val="fr-CH"/>
      </w:rPr>
      <w:tab/>
    </w:r>
    <w:r w:rsidR="00BD0C50" w:rsidRPr="00665956">
      <w:fldChar w:fldCharType="begin"/>
    </w:r>
    <w:r w:rsidR="00BD0C50" w:rsidRPr="00665956">
      <w:instrText xml:space="preserve"> printdate \@ dd.MM.yy </w:instrText>
    </w:r>
    <w:r w:rsidR="00BD0C50" w:rsidRPr="00665956">
      <w:fldChar w:fldCharType="separate"/>
    </w:r>
    <w:r w:rsidR="00F269F7">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C811B6">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C811B6">
      <w:rPr>
        <w:rFonts w:cs="Calibri"/>
        <w:noProof/>
        <w:vanish/>
        <w:lang w:val="fr-FR"/>
      </w:rPr>
      <w:t>P:\ARA\SG\CONSEIL\C17\000\078REV2A.docx</w:t>
    </w:r>
    <w:r w:rsidRPr="00C66157">
      <w:rPr>
        <w:rFonts w:cs="Calibri"/>
        <w:vanish/>
      </w:rPr>
      <w:fldChar w:fldCharType="end"/>
    </w:r>
    <w:r w:rsidR="00F269F7">
      <w:rPr>
        <w:rFonts w:cs="Calibri"/>
        <w:vanish/>
        <w:lang w:val="fr-CH"/>
      </w:rPr>
      <w:t>   </w:t>
    </w:r>
    <w:r w:rsidRPr="00C66157">
      <w:rPr>
        <w:rFonts w:cs="Calibri"/>
        <w:vanish/>
        <w:lang w:val="fr-FR"/>
      </w:rPr>
      <w:t>(</w:t>
    </w:r>
    <w:r w:rsidR="00C811B6">
      <w:rPr>
        <w:rFonts w:cs="Calibri"/>
        <w:vanish/>
        <w:lang w:val="fr-FR"/>
      </w:rPr>
      <w:t>419371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290739">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F269F7">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3E" w:rsidRDefault="00A4793E" w:rsidP="00E07379">
      <w:pPr>
        <w:spacing w:before="0" w:line="240" w:lineRule="auto"/>
      </w:pPr>
      <w:r>
        <w:separator/>
      </w:r>
    </w:p>
  </w:footnote>
  <w:footnote w:type="continuationSeparator" w:id="0">
    <w:p w:rsidR="00A4793E" w:rsidRDefault="00A4793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0D5033" w:rsidP="00C811B6">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A1976">
          <w:rPr>
            <w:rFonts w:eastAsiaTheme="minorEastAsia" w:cs="Calibri"/>
            <w:noProof/>
            <w:sz w:val="20"/>
            <w:szCs w:val="20"/>
            <w:lang w:eastAsia="zh-CN"/>
          </w:rPr>
          <w:t>78</w:t>
        </w:r>
        <w:r w:rsidR="00F269F7">
          <w:rPr>
            <w:rFonts w:eastAsiaTheme="minorEastAsia" w:cs="Calibri"/>
            <w:noProof/>
            <w:sz w:val="20"/>
            <w:szCs w:val="20"/>
            <w:lang w:eastAsia="zh-CN"/>
          </w:rPr>
          <w:t>(Rev.</w:t>
        </w:r>
        <w:r w:rsidR="00C811B6">
          <w:rPr>
            <w:rFonts w:eastAsiaTheme="minorEastAsia" w:cs="Calibri"/>
            <w:noProof/>
            <w:sz w:val="20"/>
            <w:szCs w:val="20"/>
            <w:lang w:eastAsia="zh-CN"/>
          </w:rPr>
          <w:t>2</w:t>
        </w:r>
        <w:r w:rsidR="00F269F7">
          <w:rPr>
            <w:rFonts w:eastAsiaTheme="minorEastAsia" w:cs="Calibri"/>
            <w:noProof/>
            <w:sz w:val="20"/>
            <w:szCs w:val="20"/>
            <w:lang w:eastAsia="zh-CN"/>
          </w:rPr>
          <w:t>)</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3E"/>
    <w:rsid w:val="00003FB1"/>
    <w:rsid w:val="00010C73"/>
    <w:rsid w:val="000124CC"/>
    <w:rsid w:val="00037B5B"/>
    <w:rsid w:val="00041F8B"/>
    <w:rsid w:val="00044F31"/>
    <w:rsid w:val="00046444"/>
    <w:rsid w:val="0006023B"/>
    <w:rsid w:val="00061F73"/>
    <w:rsid w:val="0008638B"/>
    <w:rsid w:val="00090574"/>
    <w:rsid w:val="00092FC2"/>
    <w:rsid w:val="00095873"/>
    <w:rsid w:val="000A1677"/>
    <w:rsid w:val="000B407F"/>
    <w:rsid w:val="000B5E7A"/>
    <w:rsid w:val="000C13C2"/>
    <w:rsid w:val="000C16D5"/>
    <w:rsid w:val="000D2CB7"/>
    <w:rsid w:val="000D4C64"/>
    <w:rsid w:val="000D5033"/>
    <w:rsid w:val="000E4FF0"/>
    <w:rsid w:val="000F0A8D"/>
    <w:rsid w:val="000F0B1C"/>
    <w:rsid w:val="000F0C46"/>
    <w:rsid w:val="000F1D42"/>
    <w:rsid w:val="000F406F"/>
    <w:rsid w:val="000F4D07"/>
    <w:rsid w:val="00102A03"/>
    <w:rsid w:val="001040A3"/>
    <w:rsid w:val="00161110"/>
    <w:rsid w:val="00173915"/>
    <w:rsid w:val="00176715"/>
    <w:rsid w:val="001C7D73"/>
    <w:rsid w:val="0022345D"/>
    <w:rsid w:val="00225854"/>
    <w:rsid w:val="0023283D"/>
    <w:rsid w:val="00245ED1"/>
    <w:rsid w:val="00252E0C"/>
    <w:rsid w:val="0025561A"/>
    <w:rsid w:val="0027629D"/>
    <w:rsid w:val="00276881"/>
    <w:rsid w:val="00290739"/>
    <w:rsid w:val="002916BE"/>
    <w:rsid w:val="0029720A"/>
    <w:rsid w:val="002978F4"/>
    <w:rsid w:val="002A1976"/>
    <w:rsid w:val="002B028D"/>
    <w:rsid w:val="002B435E"/>
    <w:rsid w:val="002C4DAE"/>
    <w:rsid w:val="002D6669"/>
    <w:rsid w:val="002E6541"/>
    <w:rsid w:val="002F5560"/>
    <w:rsid w:val="0030486B"/>
    <w:rsid w:val="003231B9"/>
    <w:rsid w:val="003275AC"/>
    <w:rsid w:val="00333D29"/>
    <w:rsid w:val="003409F4"/>
    <w:rsid w:val="003449B2"/>
    <w:rsid w:val="00352259"/>
    <w:rsid w:val="00357185"/>
    <w:rsid w:val="00374254"/>
    <w:rsid w:val="00383C38"/>
    <w:rsid w:val="00384587"/>
    <w:rsid w:val="003C106D"/>
    <w:rsid w:val="003C475F"/>
    <w:rsid w:val="003E4132"/>
    <w:rsid w:val="003F678F"/>
    <w:rsid w:val="0042163E"/>
    <w:rsid w:val="0042686F"/>
    <w:rsid w:val="00427FE5"/>
    <w:rsid w:val="004367CE"/>
    <w:rsid w:val="00443869"/>
    <w:rsid w:val="00447C78"/>
    <w:rsid w:val="00455720"/>
    <w:rsid w:val="004712C6"/>
    <w:rsid w:val="00473B76"/>
    <w:rsid w:val="00481552"/>
    <w:rsid w:val="00497703"/>
    <w:rsid w:val="004F0F06"/>
    <w:rsid w:val="00501E0E"/>
    <w:rsid w:val="005204D7"/>
    <w:rsid w:val="00530420"/>
    <w:rsid w:val="00552BC5"/>
    <w:rsid w:val="00554862"/>
    <w:rsid w:val="0055516A"/>
    <w:rsid w:val="0056374C"/>
    <w:rsid w:val="0056614F"/>
    <w:rsid w:val="0056760E"/>
    <w:rsid w:val="0057656F"/>
    <w:rsid w:val="00576731"/>
    <w:rsid w:val="00582D64"/>
    <w:rsid w:val="00585CD1"/>
    <w:rsid w:val="0059285F"/>
    <w:rsid w:val="005A24B1"/>
    <w:rsid w:val="005B7B8A"/>
    <w:rsid w:val="005D6476"/>
    <w:rsid w:val="005D6C0D"/>
    <w:rsid w:val="005D744C"/>
    <w:rsid w:val="005D7AF3"/>
    <w:rsid w:val="005E5283"/>
    <w:rsid w:val="005E58F5"/>
    <w:rsid w:val="00606660"/>
    <w:rsid w:val="006157A3"/>
    <w:rsid w:val="00620E60"/>
    <w:rsid w:val="0063315A"/>
    <w:rsid w:val="0065591D"/>
    <w:rsid w:val="00662C5A"/>
    <w:rsid w:val="00670AF5"/>
    <w:rsid w:val="00672283"/>
    <w:rsid w:val="00680378"/>
    <w:rsid w:val="006B2688"/>
    <w:rsid w:val="006C1556"/>
    <w:rsid w:val="006D0F97"/>
    <w:rsid w:val="006F267F"/>
    <w:rsid w:val="006F63F7"/>
    <w:rsid w:val="006F6F03"/>
    <w:rsid w:val="00706D7A"/>
    <w:rsid w:val="00726AEC"/>
    <w:rsid w:val="007530CA"/>
    <w:rsid w:val="00767AB9"/>
    <w:rsid w:val="00790C67"/>
    <w:rsid w:val="00794909"/>
    <w:rsid w:val="0079553D"/>
    <w:rsid w:val="007B01CC"/>
    <w:rsid w:val="007D1DE0"/>
    <w:rsid w:val="007D4F32"/>
    <w:rsid w:val="007E1741"/>
    <w:rsid w:val="007E2BEC"/>
    <w:rsid w:val="007E7C6C"/>
    <w:rsid w:val="007F6238"/>
    <w:rsid w:val="007F646C"/>
    <w:rsid w:val="00801FCD"/>
    <w:rsid w:val="00803D7E"/>
    <w:rsid w:val="00803F08"/>
    <w:rsid w:val="008235CD"/>
    <w:rsid w:val="00823A07"/>
    <w:rsid w:val="00835FEC"/>
    <w:rsid w:val="008513CB"/>
    <w:rsid w:val="00874D9C"/>
    <w:rsid w:val="008A1810"/>
    <w:rsid w:val="008B5B5D"/>
    <w:rsid w:val="009063F3"/>
    <w:rsid w:val="00917694"/>
    <w:rsid w:val="009200D5"/>
    <w:rsid w:val="009263CD"/>
    <w:rsid w:val="00930E6D"/>
    <w:rsid w:val="00942493"/>
    <w:rsid w:val="00972CA2"/>
    <w:rsid w:val="009739E1"/>
    <w:rsid w:val="00982B28"/>
    <w:rsid w:val="00984EA5"/>
    <w:rsid w:val="009850F5"/>
    <w:rsid w:val="00992593"/>
    <w:rsid w:val="0099782F"/>
    <w:rsid w:val="009C17E1"/>
    <w:rsid w:val="009C35ED"/>
    <w:rsid w:val="009F1C12"/>
    <w:rsid w:val="00A009EB"/>
    <w:rsid w:val="00A124CB"/>
    <w:rsid w:val="00A2167A"/>
    <w:rsid w:val="00A25A43"/>
    <w:rsid w:val="00A3295B"/>
    <w:rsid w:val="00A42AE5"/>
    <w:rsid w:val="00A4793E"/>
    <w:rsid w:val="00A52B61"/>
    <w:rsid w:val="00A64820"/>
    <w:rsid w:val="00A65B29"/>
    <w:rsid w:val="00A71DD6"/>
    <w:rsid w:val="00A723C7"/>
    <w:rsid w:val="00A80E11"/>
    <w:rsid w:val="00A8550A"/>
    <w:rsid w:val="00A97F94"/>
    <w:rsid w:val="00AB1309"/>
    <w:rsid w:val="00AB5172"/>
    <w:rsid w:val="00AB6B12"/>
    <w:rsid w:val="00AC2C52"/>
    <w:rsid w:val="00AC5A72"/>
    <w:rsid w:val="00AD1503"/>
    <w:rsid w:val="00AE7244"/>
    <w:rsid w:val="00AF3FEE"/>
    <w:rsid w:val="00AF43A5"/>
    <w:rsid w:val="00B0051C"/>
    <w:rsid w:val="00B02F46"/>
    <w:rsid w:val="00B0615E"/>
    <w:rsid w:val="00B2000C"/>
    <w:rsid w:val="00B20ADE"/>
    <w:rsid w:val="00B23C4B"/>
    <w:rsid w:val="00B27168"/>
    <w:rsid w:val="00B27505"/>
    <w:rsid w:val="00B34449"/>
    <w:rsid w:val="00B37E99"/>
    <w:rsid w:val="00B416F7"/>
    <w:rsid w:val="00B66B9A"/>
    <w:rsid w:val="00B82089"/>
    <w:rsid w:val="00B970AE"/>
    <w:rsid w:val="00BA1246"/>
    <w:rsid w:val="00BA1427"/>
    <w:rsid w:val="00BD0C50"/>
    <w:rsid w:val="00BE49D0"/>
    <w:rsid w:val="00BF2C38"/>
    <w:rsid w:val="00C17D86"/>
    <w:rsid w:val="00C23331"/>
    <w:rsid w:val="00C265DA"/>
    <w:rsid w:val="00C442F2"/>
    <w:rsid w:val="00C47178"/>
    <w:rsid w:val="00C5587E"/>
    <w:rsid w:val="00C674FE"/>
    <w:rsid w:val="00C7297D"/>
    <w:rsid w:val="00C75633"/>
    <w:rsid w:val="00C811B6"/>
    <w:rsid w:val="00C8242E"/>
    <w:rsid w:val="00C82615"/>
    <w:rsid w:val="00C867DB"/>
    <w:rsid w:val="00C87569"/>
    <w:rsid w:val="00C95384"/>
    <w:rsid w:val="00CA17AD"/>
    <w:rsid w:val="00CA2A38"/>
    <w:rsid w:val="00CA50FF"/>
    <w:rsid w:val="00CC3CD2"/>
    <w:rsid w:val="00CC4166"/>
    <w:rsid w:val="00CC43BE"/>
    <w:rsid w:val="00CD123C"/>
    <w:rsid w:val="00CD2085"/>
    <w:rsid w:val="00CE2EE1"/>
    <w:rsid w:val="00CF3FFD"/>
    <w:rsid w:val="00CF4F88"/>
    <w:rsid w:val="00CF5ED3"/>
    <w:rsid w:val="00D0494C"/>
    <w:rsid w:val="00D14BEB"/>
    <w:rsid w:val="00D21C89"/>
    <w:rsid w:val="00D45542"/>
    <w:rsid w:val="00D73CD1"/>
    <w:rsid w:val="00D77D0F"/>
    <w:rsid w:val="00DA1CF0"/>
    <w:rsid w:val="00DB2271"/>
    <w:rsid w:val="00DB5659"/>
    <w:rsid w:val="00DC006F"/>
    <w:rsid w:val="00DC24B4"/>
    <w:rsid w:val="00DD429E"/>
    <w:rsid w:val="00DD7A05"/>
    <w:rsid w:val="00DF16DC"/>
    <w:rsid w:val="00DF5361"/>
    <w:rsid w:val="00E009A1"/>
    <w:rsid w:val="00E00D15"/>
    <w:rsid w:val="00E071BE"/>
    <w:rsid w:val="00E07379"/>
    <w:rsid w:val="00E14494"/>
    <w:rsid w:val="00E17033"/>
    <w:rsid w:val="00E22744"/>
    <w:rsid w:val="00E2302E"/>
    <w:rsid w:val="00E32189"/>
    <w:rsid w:val="00E32E85"/>
    <w:rsid w:val="00E45211"/>
    <w:rsid w:val="00E545ED"/>
    <w:rsid w:val="00E65C01"/>
    <w:rsid w:val="00E72239"/>
    <w:rsid w:val="00E7380C"/>
    <w:rsid w:val="00E74BE7"/>
    <w:rsid w:val="00E8387C"/>
    <w:rsid w:val="00E86CC9"/>
    <w:rsid w:val="00E96624"/>
    <w:rsid w:val="00EA7EEF"/>
    <w:rsid w:val="00EB0A21"/>
    <w:rsid w:val="00F126F1"/>
    <w:rsid w:val="00F2106A"/>
    <w:rsid w:val="00F269F7"/>
    <w:rsid w:val="00F36D8B"/>
    <w:rsid w:val="00F37ADF"/>
    <w:rsid w:val="00F401D0"/>
    <w:rsid w:val="00F45F2B"/>
    <w:rsid w:val="00F57AE4"/>
    <w:rsid w:val="00F67150"/>
    <w:rsid w:val="00F71341"/>
    <w:rsid w:val="00F84366"/>
    <w:rsid w:val="00F85089"/>
    <w:rsid w:val="00F85564"/>
    <w:rsid w:val="00F86CFA"/>
    <w:rsid w:val="00FD2867"/>
    <w:rsid w:val="00FD58BD"/>
    <w:rsid w:val="00FE3EB3"/>
    <w:rsid w:val="00FE5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2005C07-0534-4E2F-827F-EC51A296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S16-CL-C-000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S17-CLCWGFHRM7-C-0010/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S17-CLCWGFHRM7-C-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6-CL-C-0004" TargetMode="External"/><Relationship Id="rId5" Type="http://schemas.openxmlformats.org/officeDocument/2006/relationships/styles" Target="styles.xml"/><Relationship Id="rId15" Type="http://schemas.openxmlformats.org/officeDocument/2006/relationships/hyperlink" Target="http://www.itu.int/md/S17-CLCWGFHRM7-C-0010/e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S16-CL-C-000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e10a323-94a9-4e93-88b4-ea964576960d"/>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168BB-7020-4C0B-B545-CD4CAC86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32</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17</cp:revision>
  <cp:lastPrinted>2016-06-07T13:25:00Z</cp:lastPrinted>
  <dcterms:created xsi:type="dcterms:W3CDTF">2017-05-29T12:16:00Z</dcterms:created>
  <dcterms:modified xsi:type="dcterms:W3CDTF">2017-05-29T13:52:00Z</dcterms:modified>
  <cp:category>Conference document</cp:category>
</cp:coreProperties>
</file>