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852E89">
        <w:trPr>
          <w:cantSplit/>
        </w:trPr>
        <w:tc>
          <w:tcPr>
            <w:tcW w:w="6912" w:type="dxa"/>
          </w:tcPr>
          <w:p w:rsidR="00520F36" w:rsidRPr="00852E89" w:rsidRDefault="00520F36" w:rsidP="00520F36">
            <w:pPr>
              <w:spacing w:before="360"/>
            </w:pPr>
            <w:bookmarkStart w:id="0" w:name="dc06"/>
            <w:bookmarkEnd w:id="0"/>
            <w:r w:rsidRPr="00852E89">
              <w:rPr>
                <w:b/>
                <w:bCs/>
                <w:sz w:val="30"/>
                <w:szCs w:val="30"/>
              </w:rPr>
              <w:t>Conseil 2017</w:t>
            </w:r>
            <w:r w:rsidRPr="00852E89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852E89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852E89" w:rsidRDefault="00520F36" w:rsidP="00520F36">
            <w:pPr>
              <w:spacing w:before="0"/>
              <w:jc w:val="right"/>
            </w:pPr>
            <w:bookmarkStart w:id="1" w:name="ditulogo"/>
            <w:bookmarkEnd w:id="1"/>
            <w:r w:rsidRPr="00852E89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852E89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852E89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852E89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852E89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852E89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852E89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852E89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852E89" w:rsidRDefault="00D33CD9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852E89">
              <w:rPr>
                <w:rFonts w:cs="Times"/>
                <w:b/>
                <w:bCs/>
                <w:szCs w:val="24"/>
              </w:rPr>
              <w:t>Point à l'ordre du jour : PL 2.7</w:t>
            </w:r>
          </w:p>
        </w:tc>
        <w:tc>
          <w:tcPr>
            <w:tcW w:w="3261" w:type="dxa"/>
          </w:tcPr>
          <w:p w:rsidR="00155A99" w:rsidRDefault="00155A99" w:rsidP="00801C3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Révision</w:t>
            </w:r>
            <w:r w:rsidR="00801C3D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 xml:space="preserve"> </w:t>
            </w:r>
            <w:r w:rsidR="00801C3D">
              <w:rPr>
                <w:b/>
                <w:bCs/>
              </w:rPr>
              <w:t>du</w:t>
            </w:r>
          </w:p>
          <w:p w:rsidR="00520F36" w:rsidRPr="00852E89" w:rsidRDefault="00520F36" w:rsidP="00520F36">
            <w:pPr>
              <w:spacing w:before="0"/>
              <w:rPr>
                <w:b/>
                <w:bCs/>
              </w:rPr>
            </w:pPr>
            <w:r w:rsidRPr="00852E89">
              <w:rPr>
                <w:b/>
                <w:bCs/>
              </w:rPr>
              <w:t>Document C17/</w:t>
            </w:r>
            <w:r w:rsidR="00D33CD9" w:rsidRPr="00852E89">
              <w:rPr>
                <w:b/>
                <w:bCs/>
              </w:rPr>
              <w:t>76</w:t>
            </w:r>
            <w:r w:rsidRPr="00852E89">
              <w:rPr>
                <w:b/>
                <w:bCs/>
              </w:rPr>
              <w:t>-F</w:t>
            </w:r>
          </w:p>
        </w:tc>
      </w:tr>
      <w:tr w:rsidR="00520F36" w:rsidRPr="00852E89">
        <w:trPr>
          <w:cantSplit/>
          <w:trHeight w:val="20"/>
        </w:trPr>
        <w:tc>
          <w:tcPr>
            <w:tcW w:w="6912" w:type="dxa"/>
            <w:vMerge/>
          </w:tcPr>
          <w:p w:rsidR="00520F36" w:rsidRPr="00852E89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852E89" w:rsidRDefault="00A717C7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 mai</w:t>
            </w:r>
            <w:r w:rsidR="00520F36" w:rsidRPr="00852E89">
              <w:rPr>
                <w:b/>
                <w:bCs/>
              </w:rPr>
              <w:t xml:space="preserve"> 2017</w:t>
            </w:r>
          </w:p>
        </w:tc>
      </w:tr>
      <w:tr w:rsidR="00520F36" w:rsidRPr="00852E89">
        <w:trPr>
          <w:cantSplit/>
          <w:trHeight w:val="20"/>
        </w:trPr>
        <w:tc>
          <w:tcPr>
            <w:tcW w:w="6912" w:type="dxa"/>
            <w:vMerge/>
          </w:tcPr>
          <w:p w:rsidR="00520F36" w:rsidRPr="00852E89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852E89" w:rsidRDefault="00520F36" w:rsidP="00520F36">
            <w:pPr>
              <w:spacing w:before="0"/>
              <w:rPr>
                <w:b/>
                <w:bCs/>
              </w:rPr>
            </w:pPr>
            <w:r w:rsidRPr="00852E89">
              <w:rPr>
                <w:b/>
                <w:bCs/>
              </w:rPr>
              <w:t>Original: anglais</w:t>
            </w:r>
          </w:p>
        </w:tc>
      </w:tr>
      <w:tr w:rsidR="00520F36" w:rsidRPr="00852E89">
        <w:trPr>
          <w:cantSplit/>
        </w:trPr>
        <w:tc>
          <w:tcPr>
            <w:tcW w:w="10173" w:type="dxa"/>
            <w:gridSpan w:val="2"/>
          </w:tcPr>
          <w:p w:rsidR="00520F36" w:rsidRPr="00852E89" w:rsidRDefault="00D33CD9" w:rsidP="00DF74DD">
            <w:pPr>
              <w:pStyle w:val="Source"/>
            </w:pPr>
            <w:bookmarkStart w:id="6" w:name="dsource" w:colFirst="0" w:colLast="0"/>
            <w:bookmarkEnd w:id="5"/>
            <w:r w:rsidRPr="00852E89">
              <w:t>Note du Secrétaire général</w:t>
            </w:r>
          </w:p>
        </w:tc>
      </w:tr>
      <w:tr w:rsidR="00520F36" w:rsidRPr="00852E89">
        <w:trPr>
          <w:cantSplit/>
        </w:trPr>
        <w:tc>
          <w:tcPr>
            <w:tcW w:w="10173" w:type="dxa"/>
            <w:gridSpan w:val="2"/>
          </w:tcPr>
          <w:p w:rsidR="00520F36" w:rsidRPr="00852E89" w:rsidRDefault="00D33CD9" w:rsidP="00801C3D">
            <w:pPr>
              <w:pStyle w:val="Title1"/>
            </w:pPr>
            <w:bookmarkStart w:id="7" w:name="dtitle1" w:colFirst="0" w:colLast="0"/>
            <w:bookmarkEnd w:id="6"/>
            <w:r w:rsidRPr="00852E89">
              <w:t>CONTRIBUTION DE LA RéPUBLIQUE DE BULGARIE, DE LA RéPUBLIQUE DE lITUANIE</w:t>
            </w:r>
            <w:r w:rsidR="009707C7" w:rsidRPr="00852E89">
              <w:t>,</w:t>
            </w:r>
            <w:r w:rsidR="00801C3D">
              <w:br/>
            </w:r>
            <w:r w:rsidR="00B630E3">
              <w:t xml:space="preserve">du royaume des pays-bas, </w:t>
            </w:r>
            <w:r w:rsidRPr="00852E89">
              <w:t>DE LA RéPUBLIQUE DE POLOGNE, DU PORTUGAL,</w:t>
            </w:r>
            <w:r w:rsidR="00801C3D">
              <w:br/>
            </w:r>
            <w:r w:rsidRPr="00852E89">
              <w:t xml:space="preserve">DE L'ESPAGNE, </w:t>
            </w:r>
            <w:r w:rsidR="009707C7" w:rsidRPr="00852E89">
              <w:t xml:space="preserve">DE </w:t>
            </w:r>
            <w:r w:rsidRPr="00852E89">
              <w:t>LA CONFéDéRATION SUISSE, DE LA RéPUBLIQUE TCHèQUE</w:t>
            </w:r>
            <w:r w:rsidR="00801C3D">
              <w:br/>
            </w:r>
            <w:r w:rsidRPr="00852E89">
              <w:t>ET DE LA ROUMANIE</w:t>
            </w:r>
          </w:p>
        </w:tc>
      </w:tr>
      <w:tr w:rsidR="00D33CD9" w:rsidRPr="00852E89">
        <w:trPr>
          <w:cantSplit/>
        </w:trPr>
        <w:tc>
          <w:tcPr>
            <w:tcW w:w="10173" w:type="dxa"/>
            <w:gridSpan w:val="2"/>
          </w:tcPr>
          <w:p w:rsidR="00D33CD9" w:rsidRPr="00852E89" w:rsidRDefault="00D33CD9" w:rsidP="00852E89">
            <w:pPr>
              <w:pStyle w:val="Title1"/>
            </w:pPr>
            <w:r w:rsidRPr="00852E89">
              <w:t xml:space="preserve">PROPOSITION VISANT à </w:t>
            </w:r>
            <w:r w:rsidR="005E14D2" w:rsidRPr="00852E89">
              <w:t>mettre en place</w:t>
            </w:r>
            <w:r w:rsidRPr="00852E89">
              <w:t xml:space="preserve"> </w:t>
            </w:r>
            <w:r w:rsidR="005E14D2" w:rsidRPr="00852E89">
              <w:t xml:space="preserve">des </w:t>
            </w:r>
            <w:r w:rsidRPr="00852E89">
              <w:t>AUDITION</w:t>
            </w:r>
            <w:r w:rsidR="005E14D2" w:rsidRPr="00852E89">
              <w:t>s</w:t>
            </w:r>
            <w:r w:rsidRPr="00852E89">
              <w:t xml:space="preserve"> DES CANDIDATS AUX POSTES DE FONCTIONNAIRES </w:t>
            </w:r>
            <w:r w:rsidR="00852E89" w:rsidRPr="00852E89">
              <w:t>é</w:t>
            </w:r>
            <w:r w:rsidRPr="00852E89">
              <w:t>LUS DE L'</w:t>
            </w:r>
            <w:r w:rsidR="00852E89">
              <w:t>UIT</w:t>
            </w:r>
          </w:p>
        </w:tc>
      </w:tr>
    </w:tbl>
    <w:p w:rsidR="00D33CD9" w:rsidRPr="00852E89" w:rsidRDefault="00D33CD9" w:rsidP="00D33CD9">
      <w:bookmarkStart w:id="8" w:name="lt_pId014"/>
      <w:bookmarkEnd w:id="7"/>
    </w:p>
    <w:p w:rsidR="00D33CD9" w:rsidRPr="00852E89" w:rsidRDefault="00D33CD9" w:rsidP="00D33CD9"/>
    <w:p w:rsidR="00D33CD9" w:rsidRPr="00852E89" w:rsidRDefault="00D33CD9" w:rsidP="00140F68">
      <w:r w:rsidRPr="00852E89">
        <w:t xml:space="preserve">J’ai l’honneur de transmettre aux Etats Membres du Conseil une contribution soumise par </w:t>
      </w:r>
      <w:r w:rsidRPr="00852E89">
        <w:rPr>
          <w:b/>
          <w:bCs/>
        </w:rPr>
        <w:t>la République de Bulgarie, la République de Lituanie,</w:t>
      </w:r>
      <w:r w:rsidR="00FD7BD5">
        <w:rPr>
          <w:b/>
          <w:bCs/>
        </w:rPr>
        <w:t xml:space="preserve"> le Royaume d</w:t>
      </w:r>
      <w:r w:rsidR="00140F68">
        <w:rPr>
          <w:b/>
          <w:bCs/>
        </w:rPr>
        <w:t>es</w:t>
      </w:r>
      <w:r w:rsidR="00FD7BD5">
        <w:rPr>
          <w:b/>
          <w:bCs/>
        </w:rPr>
        <w:t xml:space="preserve"> Pays-Bas,</w:t>
      </w:r>
      <w:r w:rsidRPr="00852E89">
        <w:rPr>
          <w:b/>
          <w:bCs/>
        </w:rPr>
        <w:t xml:space="preserve"> la République de Pologne, le Portugal, l’Espagne, la Confédération suisse, la République tchèque </w:t>
      </w:r>
      <w:r w:rsidRPr="00852E89">
        <w:t>et</w:t>
      </w:r>
      <w:r w:rsidRPr="00852E89">
        <w:rPr>
          <w:b/>
          <w:bCs/>
        </w:rPr>
        <w:t xml:space="preserve"> la Roumanie</w:t>
      </w:r>
      <w:r w:rsidRPr="00852E89">
        <w:t>.</w:t>
      </w:r>
      <w:bookmarkEnd w:id="8"/>
    </w:p>
    <w:p w:rsidR="00D33CD9" w:rsidRPr="00852E89" w:rsidRDefault="00D33CD9" w:rsidP="00D33CD9"/>
    <w:p w:rsidR="00D33CD9" w:rsidRPr="00852E89" w:rsidRDefault="00D33CD9" w:rsidP="00D33CD9">
      <w:pPr>
        <w:tabs>
          <w:tab w:val="center" w:pos="7088"/>
        </w:tabs>
      </w:pPr>
      <w:r w:rsidRPr="00852E89">
        <w:tab/>
      </w:r>
      <w:r w:rsidRPr="00852E89">
        <w:tab/>
      </w:r>
      <w:r w:rsidRPr="00852E89">
        <w:tab/>
      </w:r>
      <w:r w:rsidRPr="00852E89">
        <w:tab/>
      </w:r>
      <w:bookmarkStart w:id="9" w:name="lt_pId015"/>
      <w:r w:rsidRPr="00852E89">
        <w:tab/>
      </w:r>
      <w:r w:rsidRPr="00852E89">
        <w:tab/>
        <w:t>Houlin ZHAO</w:t>
      </w:r>
      <w:bookmarkEnd w:id="9"/>
      <w:r w:rsidRPr="00852E89">
        <w:br/>
      </w:r>
      <w:r w:rsidRPr="00852E89">
        <w:tab/>
      </w:r>
      <w:r w:rsidRPr="00852E89">
        <w:tab/>
      </w:r>
      <w:r w:rsidRPr="00852E89">
        <w:tab/>
      </w:r>
      <w:r w:rsidRPr="00852E89">
        <w:tab/>
      </w:r>
      <w:bookmarkStart w:id="10" w:name="lt_pId016"/>
      <w:r w:rsidRPr="00852E89">
        <w:tab/>
      </w:r>
      <w:r w:rsidRPr="00852E89">
        <w:tab/>
        <w:t>Secrétaire général</w:t>
      </w:r>
      <w:bookmarkEnd w:id="10"/>
    </w:p>
    <w:p w:rsidR="00D33CD9" w:rsidRPr="00852E89" w:rsidRDefault="00D33CD9" w:rsidP="00D33CD9"/>
    <w:p w:rsidR="00D33CD9" w:rsidRPr="00852E89" w:rsidRDefault="00D33CD9" w:rsidP="00D33CD9">
      <w:r w:rsidRPr="00852E89">
        <w:br w:type="page"/>
      </w:r>
    </w:p>
    <w:p w:rsidR="00D33CD9" w:rsidRPr="00852E89" w:rsidRDefault="00D33CD9" w:rsidP="005E14D2">
      <w:pPr>
        <w:pStyle w:val="Source"/>
      </w:pPr>
      <w:bookmarkStart w:id="11" w:name="lt_pId017"/>
      <w:r w:rsidRPr="00852E89">
        <w:lastRenderedPageBreak/>
        <w:t>CONTRIBUTION DE LA RÉPUBLIQUE DE BULGARIE, DE LA RÉPUBLIQUE DE LITUANIE,</w:t>
      </w:r>
      <w:r w:rsidR="00275B72">
        <w:t xml:space="preserve"> DU ROYAUME DE</w:t>
      </w:r>
      <w:r w:rsidR="00D050BC">
        <w:t>S</w:t>
      </w:r>
      <w:r w:rsidR="00275B72">
        <w:t xml:space="preserve"> PAYS-BAS,</w:t>
      </w:r>
      <w:r w:rsidRPr="00852E89">
        <w:t xml:space="preserve"> DE LA RÉPUBLIQUE DE POLOGNE, DU PORTUGAL, DE L’ESPAGNE, DE LA CONFÉDÉRATION SUISSE, DE LA RÉPUBLIQUE TCHÈQUE ET DE LA ROUMANIE</w:t>
      </w:r>
      <w:bookmarkEnd w:id="11"/>
    </w:p>
    <w:p w:rsidR="00D33CD9" w:rsidRPr="00852E89" w:rsidRDefault="00D33CD9" w:rsidP="00835128">
      <w:pPr>
        <w:pStyle w:val="Title1"/>
      </w:pPr>
      <w:r w:rsidRPr="00852E89">
        <w:t xml:space="preserve">PROPOSITION visant à </w:t>
      </w:r>
      <w:r w:rsidR="00835128" w:rsidRPr="00852E89">
        <w:t>mettre en place des auditions</w:t>
      </w:r>
      <w:r w:rsidRPr="00852E89">
        <w:t xml:space="preserve"> des candidats aux postes de FONCTIONNAIRES ÉLUS DE L’UIT</w:t>
      </w:r>
    </w:p>
    <w:p w:rsidR="00D33CD9" w:rsidRPr="00852E89" w:rsidRDefault="00D33CD9" w:rsidP="005E14D2">
      <w:pPr>
        <w:pStyle w:val="Heading1"/>
      </w:pPr>
      <w:r w:rsidRPr="00852E89">
        <w:t>1</w:t>
      </w:r>
      <w:r w:rsidRPr="00852E89">
        <w:tab/>
      </w:r>
      <w:bookmarkStart w:id="12" w:name="lt_pId020"/>
      <w:r w:rsidRPr="00852E89">
        <w:t>Introduction, contexte et analyse</w:t>
      </w:r>
      <w:bookmarkEnd w:id="12"/>
    </w:p>
    <w:p w:rsidR="00D33CD9" w:rsidRPr="00852E89" w:rsidRDefault="005E14D2" w:rsidP="009707C7">
      <w:bookmarkStart w:id="13" w:name="lt_pId021"/>
      <w:r w:rsidRPr="00852E89">
        <w:t>A</w:t>
      </w:r>
      <w:r w:rsidR="009707C7" w:rsidRPr="00852E89">
        <w:t xml:space="preserve"> </w:t>
      </w:r>
      <w:r w:rsidR="00D33CD9" w:rsidRPr="00852E89">
        <w:t>sa session de 2016, le Conseil de l’UIT a été invité à e</w:t>
      </w:r>
      <w:r w:rsidRPr="00852E89">
        <w:t>ntreprendre</w:t>
      </w:r>
      <w:r w:rsidR="00D33CD9" w:rsidRPr="00852E89">
        <w:t xml:space="preserve"> une étude </w:t>
      </w:r>
      <w:r w:rsidRPr="00852E89">
        <w:t>sur la manière</w:t>
      </w:r>
      <w:r w:rsidR="00D33CD9" w:rsidRPr="00852E89">
        <w:t xml:space="preserve"> d’améliorer le processus d’élection au sein de l’Union.</w:t>
      </w:r>
      <w:bookmarkEnd w:id="13"/>
      <w:r w:rsidR="00D33CD9" w:rsidRPr="00852E89">
        <w:t xml:space="preserve"> </w:t>
      </w:r>
      <w:bookmarkStart w:id="14" w:name="lt_pId022"/>
      <w:r w:rsidR="00D33CD9" w:rsidRPr="00852E89">
        <w:t>Dans cette perspective, les Membres de l’UIT ont é</w:t>
      </w:r>
      <w:r w:rsidRPr="00852E89">
        <w:t>tudié</w:t>
      </w:r>
      <w:r w:rsidR="00D33CD9" w:rsidRPr="00852E89">
        <w:t xml:space="preserve"> la possibilité de créer un espace en ligne consacré au</w:t>
      </w:r>
      <w:r w:rsidR="009707C7" w:rsidRPr="00852E89">
        <w:t>x</w:t>
      </w:r>
      <w:r w:rsidR="00D33CD9" w:rsidRPr="00852E89">
        <w:t xml:space="preserve"> </w:t>
      </w:r>
      <w:r w:rsidRPr="00852E89">
        <w:t>support</w:t>
      </w:r>
      <w:r w:rsidR="009707C7" w:rsidRPr="00852E89">
        <w:t>s</w:t>
      </w:r>
      <w:r w:rsidRPr="00852E89">
        <w:t xml:space="preserve"> de communication</w:t>
      </w:r>
      <w:r w:rsidR="00D33CD9" w:rsidRPr="00852E89">
        <w:t xml:space="preserve"> (PDF, vidéo, etc.)</w:t>
      </w:r>
      <w:r w:rsidRPr="00852E89">
        <w:t xml:space="preserve"> de la campagne des candidats</w:t>
      </w:r>
      <w:r w:rsidR="00D33CD9" w:rsidRPr="00852E89">
        <w:t>, afin que les parties prenantes puissent accéder aux informations relatives aux candidats par voie électronique.</w:t>
      </w:r>
      <w:bookmarkEnd w:id="14"/>
    </w:p>
    <w:p w:rsidR="00D33CD9" w:rsidRPr="00852E89" w:rsidRDefault="00D33CD9" w:rsidP="005E14D2">
      <w:bookmarkStart w:id="15" w:name="lt_pId023"/>
      <w:r w:rsidRPr="00852E89">
        <w:t xml:space="preserve">Lors des discussions précédentes, les Etats Membres de l’UIT ont appuyé l’idée d’organiser des </w:t>
      </w:r>
      <w:r w:rsidR="00D73102" w:rsidRPr="00852E89">
        <w:t>F</w:t>
      </w:r>
      <w:r w:rsidR="005E14D2" w:rsidRPr="00852E89">
        <w:t>orums</w:t>
      </w:r>
      <w:r w:rsidRPr="00852E89">
        <w:t xml:space="preserve"> des candidats (auditions).</w:t>
      </w:r>
      <w:bookmarkEnd w:id="15"/>
      <w:r w:rsidRPr="00852E89">
        <w:t xml:space="preserve"> </w:t>
      </w:r>
      <w:bookmarkStart w:id="16" w:name="lt_pId024"/>
      <w:r w:rsidRPr="00852E89">
        <w:t xml:space="preserve">A cet </w:t>
      </w:r>
      <w:r w:rsidR="005E14D2" w:rsidRPr="00852E89">
        <w:t xml:space="preserve">égard, l’UIT pourrait suivre la pratique adoptée </w:t>
      </w:r>
      <w:r w:rsidRPr="00852E89">
        <w:t>par d’autres organisations internationales</w:t>
      </w:r>
      <w:r w:rsidR="005E14D2" w:rsidRPr="00852E89">
        <w:t xml:space="preserve">, qui peut servir de référence et constituer un bon exemple </w:t>
      </w:r>
      <w:r w:rsidRPr="00852E89">
        <w:t xml:space="preserve">(voir </w:t>
      </w:r>
      <w:r w:rsidR="005E14D2" w:rsidRPr="00852E89">
        <w:t xml:space="preserve">les </w:t>
      </w:r>
      <w:r w:rsidRPr="00852E89">
        <w:t>informations ci-dessous).</w:t>
      </w:r>
      <w:bookmarkEnd w:id="16"/>
      <w:r w:rsidRPr="00852E89">
        <w:t xml:space="preserve"> </w:t>
      </w:r>
    </w:p>
    <w:p w:rsidR="00D33CD9" w:rsidRPr="00852E89" w:rsidRDefault="00D33CD9" w:rsidP="00D73102">
      <w:bookmarkStart w:id="17" w:name="lt_pId025"/>
      <w:r w:rsidRPr="00852E89">
        <w:t xml:space="preserve">En outre, la PP-14 a </w:t>
      </w:r>
      <w:r w:rsidR="005E14D2" w:rsidRPr="00852E89">
        <w:t>reconnu qu'il était souhaitable</w:t>
      </w:r>
      <w:r w:rsidRPr="00852E89">
        <w:t xml:space="preserve"> d’améliorer le processus d’élection des fonctionnaires élus de l’Union (Document  175, Recommandation 8).</w:t>
      </w:r>
      <w:bookmarkEnd w:id="17"/>
      <w:r w:rsidRPr="00852E89">
        <w:t xml:space="preserve"> </w:t>
      </w:r>
      <w:bookmarkStart w:id="18" w:name="lt_pId026"/>
      <w:r w:rsidRPr="00852E89">
        <w:t>Elle a chargé</w:t>
      </w:r>
      <w:r w:rsidR="005E14D2" w:rsidRPr="00852E89">
        <w:t xml:space="preserve"> le Conseil d’entreprendre</w:t>
      </w:r>
      <w:r w:rsidRPr="00852E89">
        <w:t xml:space="preserve"> des études sur la question et de recommander aux Etats Membres des options permettant de mettre en </w:t>
      </w:r>
      <w:r w:rsidR="009707C7" w:rsidRPr="00852E89">
        <w:t>oe</w:t>
      </w:r>
      <w:r w:rsidRPr="00852E89">
        <w:t>uvre de nouvelles</w:t>
      </w:r>
      <w:bookmarkStart w:id="19" w:name="_GoBack"/>
      <w:bookmarkEnd w:id="19"/>
      <w:r w:rsidRPr="00852E89">
        <w:t xml:space="preserve"> procédures propres à améliorer le processus d'élection du Secrétaire général, du Vice-Secrétaire général et des directeurs des Bureaux.</w:t>
      </w:r>
      <w:bookmarkEnd w:id="18"/>
      <w:r w:rsidRPr="00852E89">
        <w:t xml:space="preserve"> </w:t>
      </w:r>
      <w:bookmarkStart w:id="20" w:name="lt_pId027"/>
      <w:r w:rsidRPr="00852E89">
        <w:t>La PP</w:t>
      </w:r>
      <w:r w:rsidR="00D73102" w:rsidRPr="00852E89">
        <w:noBreakHyphen/>
      </w:r>
      <w:r w:rsidR="005E14D2" w:rsidRPr="00852E89">
        <w:t>14 a invité le Conseil à tenir</w:t>
      </w:r>
      <w:r w:rsidRPr="00852E89">
        <w:t xml:space="preserve"> dûment compte de plusieurs options, telles que l'organisation d'exposés, de séances int</w:t>
      </w:r>
      <w:r w:rsidR="00B75BBF" w:rsidRPr="00852E89">
        <w:t>eractives, de séances en direct et</w:t>
      </w:r>
      <w:r w:rsidR="00172D39" w:rsidRPr="00852E89">
        <w:t xml:space="preserve"> d'entretiens </w:t>
      </w:r>
      <w:r w:rsidR="00B75BBF" w:rsidRPr="00852E89">
        <w:t xml:space="preserve">et la soumission de </w:t>
      </w:r>
      <w:r w:rsidRPr="00852E89">
        <w:t xml:space="preserve">questions, </w:t>
      </w:r>
      <w:r w:rsidR="00B75BBF" w:rsidRPr="00852E89">
        <w:t>par le biais de la</w:t>
      </w:r>
      <w:r w:rsidRPr="00852E89">
        <w:t xml:space="preserve"> diffusion sur le web et </w:t>
      </w:r>
      <w:r w:rsidR="00B75BBF" w:rsidRPr="00852E89">
        <w:t>de</w:t>
      </w:r>
      <w:r w:rsidRPr="00852E89">
        <w:t xml:space="preserve"> la participation à distance, ou encore l'amélioration du portail des élections sur le site web de l'UIT.</w:t>
      </w:r>
      <w:bookmarkEnd w:id="20"/>
    </w:p>
    <w:p w:rsidR="00D33CD9" w:rsidRPr="00852E89" w:rsidRDefault="00B75BBF" w:rsidP="00D33CD9">
      <w:bookmarkStart w:id="21" w:name="lt_pId028"/>
      <w:r w:rsidRPr="00852E89">
        <w:t>Les</w:t>
      </w:r>
      <w:r w:rsidR="00D33CD9" w:rsidRPr="00852E89">
        <w:t xml:space="preserve"> auditions des candidats aux postes de fonctionnaires élus de l‘UIT</w:t>
      </w:r>
      <w:r w:rsidRPr="00852E89">
        <w:t xml:space="preserve"> pourraient présenter les avantages suivants</w:t>
      </w:r>
      <w:r w:rsidR="00D33CD9" w:rsidRPr="00852E89">
        <w:t>:</w:t>
      </w:r>
      <w:bookmarkEnd w:id="21"/>
    </w:p>
    <w:p w:rsidR="00D33CD9" w:rsidRPr="00852E89" w:rsidRDefault="005B3631" w:rsidP="00097E3B">
      <w:pPr>
        <w:pStyle w:val="enumlev1"/>
      </w:pPr>
      <w:bookmarkStart w:id="22" w:name="lt_pId029"/>
      <w:r w:rsidRPr="00852E89">
        <w:t>•</w:t>
      </w:r>
      <w:r w:rsidRPr="00852E89">
        <w:tab/>
      </w:r>
      <w:r w:rsidR="004F39E1" w:rsidRPr="00852E89">
        <w:t>a</w:t>
      </w:r>
      <w:r w:rsidR="00D33CD9" w:rsidRPr="00852E89">
        <w:t>mélioration de</w:t>
      </w:r>
      <w:r w:rsidR="00B75BBF" w:rsidRPr="00852E89">
        <w:t xml:space="preserve"> la</w:t>
      </w:r>
      <w:r w:rsidR="00D33CD9" w:rsidRPr="00852E89">
        <w:t xml:space="preserve"> transparence et</w:t>
      </w:r>
      <w:r w:rsidR="00B75BBF" w:rsidRPr="00852E89">
        <w:t xml:space="preserve"> de l'ouverture à </w:t>
      </w:r>
      <w:r w:rsidR="00D33CD9" w:rsidRPr="00852E89">
        <w:t>l’UIT;</w:t>
      </w:r>
      <w:bookmarkEnd w:id="22"/>
    </w:p>
    <w:p w:rsidR="00D33CD9" w:rsidRPr="00852E89" w:rsidRDefault="005B3631" w:rsidP="00097E3B">
      <w:pPr>
        <w:pStyle w:val="enumlev1"/>
      </w:pPr>
      <w:bookmarkStart w:id="23" w:name="lt_pId030"/>
      <w:r w:rsidRPr="00852E89">
        <w:t>•</w:t>
      </w:r>
      <w:r w:rsidRPr="00852E89">
        <w:tab/>
      </w:r>
      <w:r w:rsidR="004F39E1" w:rsidRPr="00852E89">
        <w:t>p</w:t>
      </w:r>
      <w:r w:rsidR="00B75BBF" w:rsidRPr="00852E89">
        <w:t>ossibilité pour les membres de l'UIT</w:t>
      </w:r>
      <w:r w:rsidR="00D33CD9" w:rsidRPr="00852E89">
        <w:t xml:space="preserve"> (y compris les ministères des affaires étrangères, entre autres)</w:t>
      </w:r>
      <w:r w:rsidR="00B75BBF" w:rsidRPr="00852E89">
        <w:t xml:space="preserve"> de prendre des décisions éclairées concernant les candidats</w:t>
      </w:r>
      <w:bookmarkEnd w:id="23"/>
      <w:r w:rsidR="00B75BBF" w:rsidRPr="00852E89">
        <w:t>;</w:t>
      </w:r>
    </w:p>
    <w:p w:rsidR="00D33CD9" w:rsidRPr="00852E89" w:rsidRDefault="005B3631" w:rsidP="00097E3B">
      <w:pPr>
        <w:pStyle w:val="enumlev1"/>
      </w:pPr>
      <w:bookmarkStart w:id="24" w:name="lt_pId031"/>
      <w:r w:rsidRPr="00852E89">
        <w:t>•</w:t>
      </w:r>
      <w:r w:rsidRPr="00852E89">
        <w:tab/>
      </w:r>
      <w:r w:rsidR="004F39E1" w:rsidRPr="00852E89">
        <w:t>p</w:t>
      </w:r>
      <w:r w:rsidR="00D33CD9" w:rsidRPr="00852E89">
        <w:t>ossibilité d’examiner les travaux et les réalisations des candidats lorsque ceux-ci se présentent pour un deuxième mandat;</w:t>
      </w:r>
      <w:bookmarkEnd w:id="24"/>
      <w:r w:rsidR="00D33CD9" w:rsidRPr="00852E89">
        <w:t xml:space="preserve"> </w:t>
      </w:r>
    </w:p>
    <w:p w:rsidR="00D33CD9" w:rsidRPr="00852E89" w:rsidRDefault="005B3631" w:rsidP="004F39E1">
      <w:pPr>
        <w:pStyle w:val="enumlev1"/>
      </w:pPr>
      <w:bookmarkStart w:id="25" w:name="lt_pId032"/>
      <w:r w:rsidRPr="00852E89">
        <w:t>•</w:t>
      </w:r>
      <w:r w:rsidRPr="00852E89">
        <w:tab/>
      </w:r>
      <w:r w:rsidR="004F39E1" w:rsidRPr="00852E89">
        <w:t>p</w:t>
      </w:r>
      <w:r w:rsidR="00D33CD9" w:rsidRPr="00852E89">
        <w:t>ossibilité de favoriser l’inclusion en diffusant les auditions sur le web.</w:t>
      </w:r>
      <w:bookmarkEnd w:id="25"/>
    </w:p>
    <w:p w:rsidR="00D33CD9" w:rsidRPr="00852E89" w:rsidRDefault="00B75BBF" w:rsidP="00D73102">
      <w:bookmarkStart w:id="26" w:name="lt_pId033"/>
      <w:r w:rsidRPr="00852E89">
        <w:t>La pratique</w:t>
      </w:r>
      <w:r w:rsidR="00D33CD9" w:rsidRPr="00852E89">
        <w:t xml:space="preserve"> </w:t>
      </w:r>
      <w:r w:rsidRPr="00852E89">
        <w:t>adoptée par</w:t>
      </w:r>
      <w:r w:rsidR="00D33CD9" w:rsidRPr="00852E89">
        <w:t xml:space="preserve"> les organisations internationales ayant intégré </w:t>
      </w:r>
      <w:r w:rsidR="00D73102" w:rsidRPr="00852E89">
        <w:t>des</w:t>
      </w:r>
      <w:r w:rsidR="00D33CD9" w:rsidRPr="00852E89">
        <w:t xml:space="preserve"> </w:t>
      </w:r>
      <w:r w:rsidRPr="00852E89">
        <w:t>audition</w:t>
      </w:r>
      <w:r w:rsidR="00D73102" w:rsidRPr="00852E89">
        <w:t>s</w:t>
      </w:r>
      <w:r w:rsidR="00D33CD9" w:rsidRPr="00852E89">
        <w:t xml:space="preserve"> dans leur système électoral</w:t>
      </w:r>
      <w:r w:rsidRPr="00852E89">
        <w:t xml:space="preserve"> est la suivante</w:t>
      </w:r>
      <w:r w:rsidR="00D33CD9" w:rsidRPr="00852E89">
        <w:t>:</w:t>
      </w:r>
      <w:bookmarkEnd w:id="26"/>
    </w:p>
    <w:p w:rsidR="00D33CD9" w:rsidRPr="00852E89" w:rsidRDefault="005B3631" w:rsidP="00D73102">
      <w:pPr>
        <w:pStyle w:val="enumlev1"/>
      </w:pPr>
      <w:bookmarkStart w:id="27" w:name="lt_pId034"/>
      <w:r w:rsidRPr="00852E89">
        <w:rPr>
          <w:i/>
          <w:iCs/>
        </w:rPr>
        <w:t>•</w:t>
      </w:r>
      <w:r w:rsidRPr="00852E89">
        <w:rPr>
          <w:i/>
          <w:iCs/>
        </w:rPr>
        <w:tab/>
      </w:r>
      <w:r w:rsidR="00D33CD9" w:rsidRPr="00852E89">
        <w:rPr>
          <w:i/>
          <w:iCs/>
        </w:rPr>
        <w:t>Organisation des Nations Unies (ONU):</w:t>
      </w:r>
      <w:bookmarkEnd w:id="27"/>
      <w:r w:rsidR="00D33CD9" w:rsidRPr="00852E89">
        <w:t xml:space="preserve"> </w:t>
      </w:r>
      <w:bookmarkStart w:id="28" w:name="lt_pId035"/>
      <w:r w:rsidR="00D33CD9" w:rsidRPr="00852E89">
        <w:t xml:space="preserve">les candidats </w:t>
      </w:r>
      <w:r w:rsidR="00B75BBF" w:rsidRPr="00852E89">
        <w:t>à la dernière</w:t>
      </w:r>
      <w:r w:rsidR="00D33CD9" w:rsidRPr="00852E89">
        <w:t xml:space="preserve"> élection du Secrétaire général de l’ONU ont </w:t>
      </w:r>
      <w:r w:rsidR="00B75BBF" w:rsidRPr="00852E89">
        <w:t>pris part à des séances</w:t>
      </w:r>
      <w:r w:rsidR="00D33CD9" w:rsidRPr="00852E89">
        <w:t xml:space="preserve"> d</w:t>
      </w:r>
      <w:r w:rsidR="00B75BBF" w:rsidRPr="00852E89">
        <w:t>'</w:t>
      </w:r>
      <w:r w:rsidR="00D33CD9" w:rsidRPr="00852E89">
        <w:t>auditions</w:t>
      </w:r>
      <w:r w:rsidR="00D73102" w:rsidRPr="00852E89">
        <w:t>/</w:t>
      </w:r>
      <w:r w:rsidR="00D33CD9" w:rsidRPr="00852E89">
        <w:t>questions et réponses qui se sont déroulées pendant trois jours à l’Assemblée générale.</w:t>
      </w:r>
      <w:bookmarkEnd w:id="28"/>
      <w:r w:rsidR="00D33CD9" w:rsidRPr="00852E89">
        <w:t xml:space="preserve"> La nomination du Secrétaire général revient toutefois au Conseil de sécurité.</w:t>
      </w:r>
    </w:p>
    <w:p w:rsidR="00D33CD9" w:rsidRPr="00852E89" w:rsidRDefault="005B3631" w:rsidP="005B3631">
      <w:pPr>
        <w:pStyle w:val="enumlev1"/>
      </w:pPr>
      <w:bookmarkStart w:id="29" w:name="lt_pId036"/>
      <w:r w:rsidRPr="00852E89">
        <w:rPr>
          <w:i/>
          <w:iCs/>
        </w:rPr>
        <w:lastRenderedPageBreak/>
        <w:t>•</w:t>
      </w:r>
      <w:r w:rsidRPr="00852E89">
        <w:rPr>
          <w:i/>
          <w:iCs/>
        </w:rPr>
        <w:tab/>
      </w:r>
      <w:r w:rsidR="00D33CD9" w:rsidRPr="00852E89">
        <w:rPr>
          <w:i/>
          <w:iCs/>
        </w:rPr>
        <w:t>Organisation mondiale de la santé (OMS):</w:t>
      </w:r>
      <w:bookmarkEnd w:id="29"/>
      <w:r w:rsidR="00D33CD9" w:rsidRPr="00852E89">
        <w:t xml:space="preserve"> </w:t>
      </w:r>
      <w:bookmarkStart w:id="30" w:name="lt_pId037"/>
      <w:r w:rsidR="00D33CD9" w:rsidRPr="00852E89">
        <w:t>un an avant la tenue d</w:t>
      </w:r>
      <w:r w:rsidR="00B75BBF" w:rsidRPr="00852E89">
        <w:t>e l'élection</w:t>
      </w:r>
      <w:r w:rsidR="00D33CD9" w:rsidRPr="00852E89">
        <w:t xml:space="preserve">, l’OMS </w:t>
      </w:r>
      <w:r w:rsidR="00B75BBF" w:rsidRPr="00852E89">
        <w:t xml:space="preserve">organise un </w:t>
      </w:r>
      <w:r w:rsidR="00546F9F" w:rsidRPr="00852E89">
        <w:t>F</w:t>
      </w:r>
      <w:r w:rsidR="00B75BBF" w:rsidRPr="00852E89">
        <w:t>orum</w:t>
      </w:r>
      <w:r w:rsidR="00D33CD9" w:rsidRPr="00852E89">
        <w:t xml:space="preserve"> ouvert (diffusé sur le web) auquel participent tous les candidats. Puis, le Conseil exécutif élu de l’OMS (Conseil</w:t>
      </w:r>
      <w:r w:rsidR="00B75BBF" w:rsidRPr="00852E89">
        <w:t xml:space="preserve"> de l'OMS</w:t>
      </w:r>
      <w:r w:rsidR="00D33CD9" w:rsidRPr="00852E89">
        <w:t>) sélectionne cinq candidats</w:t>
      </w:r>
      <w:bookmarkEnd w:id="30"/>
      <w:r w:rsidR="00D33CD9" w:rsidRPr="00852E89">
        <w:t>, auxquels il fai</w:t>
      </w:r>
      <w:bookmarkStart w:id="31" w:name="lt_pId038"/>
      <w:r w:rsidR="00D33CD9" w:rsidRPr="00852E89">
        <w:t>t passer un entretien, avant d’en présenter trois à l’Assemblée délibérante.</w:t>
      </w:r>
      <w:bookmarkEnd w:id="31"/>
    </w:p>
    <w:p w:rsidR="00D33CD9" w:rsidRPr="00852E89" w:rsidRDefault="005B3631" w:rsidP="005B3631">
      <w:pPr>
        <w:pStyle w:val="enumlev1"/>
      </w:pPr>
      <w:bookmarkStart w:id="32" w:name="lt_pId039"/>
      <w:r w:rsidRPr="00852E89">
        <w:rPr>
          <w:i/>
          <w:iCs/>
        </w:rPr>
        <w:t>•</w:t>
      </w:r>
      <w:r w:rsidRPr="00852E89">
        <w:rPr>
          <w:i/>
          <w:iCs/>
        </w:rPr>
        <w:tab/>
      </w:r>
      <w:r w:rsidR="00D33CD9" w:rsidRPr="00852E89">
        <w:rPr>
          <w:i/>
          <w:iCs/>
        </w:rPr>
        <w:t>Organisation mondiale du commerce (OMC):</w:t>
      </w:r>
      <w:bookmarkEnd w:id="32"/>
      <w:r w:rsidR="00D33CD9" w:rsidRPr="00852E89">
        <w:t xml:space="preserve"> </w:t>
      </w:r>
      <w:bookmarkStart w:id="33" w:name="lt_pId040"/>
      <w:r w:rsidR="00D33CD9" w:rsidRPr="00852E89">
        <w:t>les candidats font un exposé devant le Conseil général, répondent à des questions et prennent la parole devant la presse quatre mois avant la tenue des consultations formelles avec les Etats Membres et la nomination finale.</w:t>
      </w:r>
      <w:bookmarkEnd w:id="33"/>
    </w:p>
    <w:p w:rsidR="00D33CD9" w:rsidRPr="00852E89" w:rsidRDefault="005B3631" w:rsidP="005B3631">
      <w:pPr>
        <w:pStyle w:val="enumlev1"/>
      </w:pPr>
      <w:bookmarkStart w:id="34" w:name="lt_pId041"/>
      <w:r w:rsidRPr="00852E89">
        <w:rPr>
          <w:i/>
          <w:iCs/>
        </w:rPr>
        <w:t>•</w:t>
      </w:r>
      <w:r w:rsidRPr="00852E89">
        <w:rPr>
          <w:i/>
          <w:iCs/>
        </w:rPr>
        <w:tab/>
      </w:r>
      <w:r w:rsidR="00D33CD9" w:rsidRPr="00852E89">
        <w:rPr>
          <w:i/>
          <w:iCs/>
        </w:rPr>
        <w:t>Organisation internationale du travail (OIT):</w:t>
      </w:r>
      <w:bookmarkEnd w:id="34"/>
      <w:r w:rsidR="00D33CD9" w:rsidRPr="00852E89">
        <w:t xml:space="preserve"> </w:t>
      </w:r>
      <w:bookmarkStart w:id="35" w:name="lt_pId042"/>
      <w:r w:rsidR="00D33CD9" w:rsidRPr="00852E89">
        <w:t xml:space="preserve">les candidats font un exposé </w:t>
      </w:r>
      <w:r w:rsidR="000E0C9B" w:rsidRPr="00852E89">
        <w:t>dans le cadre</w:t>
      </w:r>
      <w:r w:rsidR="00D33CD9" w:rsidRPr="00852E89">
        <w:t xml:space="preserve"> d’audition</w:t>
      </w:r>
      <w:r w:rsidR="000E0C9B" w:rsidRPr="00852E89">
        <w:t>s organisées</w:t>
      </w:r>
      <w:r w:rsidR="00D33CD9" w:rsidRPr="00852E89">
        <w:t xml:space="preserve"> au début de la session du Conseil d’administration à laquelle aura lieu le scrutin.</w:t>
      </w:r>
      <w:bookmarkEnd w:id="35"/>
    </w:p>
    <w:p w:rsidR="00D33CD9" w:rsidRPr="00852E89" w:rsidRDefault="005B3631" w:rsidP="005B3631">
      <w:pPr>
        <w:pStyle w:val="enumlev1"/>
      </w:pPr>
      <w:bookmarkStart w:id="36" w:name="lt_pId043"/>
      <w:r w:rsidRPr="00852E89">
        <w:rPr>
          <w:i/>
          <w:iCs/>
        </w:rPr>
        <w:t>•</w:t>
      </w:r>
      <w:r w:rsidRPr="00852E89">
        <w:rPr>
          <w:i/>
          <w:iCs/>
        </w:rPr>
        <w:tab/>
      </w:r>
      <w:r w:rsidR="00D33CD9" w:rsidRPr="00852E89">
        <w:rPr>
          <w:i/>
          <w:iCs/>
        </w:rPr>
        <w:t>Banque mondiale:</w:t>
      </w:r>
      <w:bookmarkEnd w:id="36"/>
      <w:r w:rsidR="00D33CD9" w:rsidRPr="00852E89">
        <w:t xml:space="preserve"> </w:t>
      </w:r>
      <w:bookmarkStart w:id="37" w:name="lt_pId044"/>
      <w:r w:rsidR="00D33CD9" w:rsidRPr="00852E89">
        <w:t>lors d</w:t>
      </w:r>
      <w:r w:rsidR="000E0C9B" w:rsidRPr="00852E89">
        <w:t>e l'élection organisée</w:t>
      </w:r>
      <w:r w:rsidR="00D33CD9" w:rsidRPr="00852E89">
        <w:t xml:space="preserve"> récemment, qui</w:t>
      </w:r>
      <w:r w:rsidR="000E0C9B" w:rsidRPr="00852E89">
        <w:t xml:space="preserve"> a </w:t>
      </w:r>
      <w:r w:rsidR="00D33CD9" w:rsidRPr="00852E89">
        <w:t xml:space="preserve">été très </w:t>
      </w:r>
      <w:r w:rsidR="00172D39" w:rsidRPr="00852E89">
        <w:t>controversée</w:t>
      </w:r>
      <w:r w:rsidR="00D33CD9" w:rsidRPr="00852E89">
        <w:t>, les candidats ont participé à un débat informel et ouvert, qui s’est tenu hors du siège de l’institution.</w:t>
      </w:r>
      <w:bookmarkEnd w:id="37"/>
    </w:p>
    <w:p w:rsidR="00D33CD9" w:rsidRPr="00852E89" w:rsidRDefault="005B3631" w:rsidP="005B3631">
      <w:pPr>
        <w:pStyle w:val="enumlev1"/>
      </w:pPr>
      <w:bookmarkStart w:id="38" w:name="lt_pId045"/>
      <w:r w:rsidRPr="00852E89">
        <w:rPr>
          <w:i/>
          <w:iCs/>
        </w:rPr>
        <w:t>•</w:t>
      </w:r>
      <w:r w:rsidRPr="00852E89">
        <w:rPr>
          <w:i/>
          <w:iCs/>
        </w:rPr>
        <w:tab/>
      </w:r>
      <w:r w:rsidR="00D33CD9" w:rsidRPr="00852E89">
        <w:rPr>
          <w:i/>
          <w:iCs/>
        </w:rPr>
        <w:t>Organisation de l'aviation civile internationale (OACI)</w:t>
      </w:r>
      <w:bookmarkEnd w:id="38"/>
      <w:r w:rsidR="00D33CD9" w:rsidRPr="00852E89">
        <w:t xml:space="preserve">: </w:t>
      </w:r>
      <w:bookmarkStart w:id="39" w:name="lt_pId046"/>
      <w:r w:rsidR="000E0C9B" w:rsidRPr="00852E89">
        <w:t>aucune</w:t>
      </w:r>
      <w:r w:rsidR="00D33CD9" w:rsidRPr="00852E89">
        <w:t xml:space="preserve"> information </w:t>
      </w:r>
      <w:r w:rsidR="000E0C9B" w:rsidRPr="00852E89">
        <w:t xml:space="preserve">n'est disponible quant aux </w:t>
      </w:r>
      <w:r w:rsidR="00D33CD9" w:rsidRPr="00852E89">
        <w:t>auditions,</w:t>
      </w:r>
      <w:r w:rsidR="000E0C9B" w:rsidRPr="00852E89">
        <w:t xml:space="preserve"> mais</w:t>
      </w:r>
      <w:r w:rsidR="00D33CD9" w:rsidRPr="00852E89">
        <w:t xml:space="preserve"> cette organisation peut servir de référence pour ce qui est du vote électronique.</w:t>
      </w:r>
      <w:bookmarkEnd w:id="39"/>
    </w:p>
    <w:p w:rsidR="00D33CD9" w:rsidRPr="00852E89" w:rsidRDefault="00D33CD9" w:rsidP="00097E3B">
      <w:pPr>
        <w:pStyle w:val="Heading1"/>
      </w:pPr>
      <w:r w:rsidRPr="00852E89">
        <w:t>2</w:t>
      </w:r>
      <w:r w:rsidRPr="00852E89">
        <w:tab/>
      </w:r>
      <w:bookmarkStart w:id="40" w:name="lt_pId048"/>
      <w:r w:rsidRPr="00852E89">
        <w:t>Proposition</w:t>
      </w:r>
      <w:bookmarkEnd w:id="40"/>
    </w:p>
    <w:p w:rsidR="00D33CD9" w:rsidRPr="00852E89" w:rsidRDefault="00D33CD9" w:rsidP="000E0C9B">
      <w:bookmarkStart w:id="41" w:name="lt_pId049"/>
      <w:r w:rsidRPr="00852E89">
        <w:t xml:space="preserve">Le Conseil charge le Secrétaire général de soumettre à la session ordinaire de 2018 du Conseil </w:t>
      </w:r>
      <w:r w:rsidR="000E0C9B" w:rsidRPr="00852E89">
        <w:t>les modalités de</w:t>
      </w:r>
      <w:r w:rsidRPr="00852E89">
        <w:t xml:space="preserve"> conduite des auditions des candidats qui se présente</w:t>
      </w:r>
      <w:r w:rsidR="000E0C9B" w:rsidRPr="00852E89">
        <w:t>ro</w:t>
      </w:r>
      <w:r w:rsidRPr="00852E89">
        <w:t>nt aux postes de fonctionnaires élus à la PP-18, en tenant compte des lignes directrices énoncées dans l’Annexe 1 de la présente contribution.</w:t>
      </w:r>
      <w:bookmarkEnd w:id="41"/>
    </w:p>
    <w:p w:rsidR="00D33CD9" w:rsidRPr="00852E89" w:rsidRDefault="00D33CD9" w:rsidP="000E0C9B">
      <w:bookmarkStart w:id="42" w:name="lt_pId050"/>
      <w:r w:rsidRPr="00852E89">
        <w:t xml:space="preserve">Le Conseil charge le Secrétaire général de soumettre le projet de </w:t>
      </w:r>
      <w:r w:rsidR="000E0C9B" w:rsidRPr="00852E89">
        <w:t>modalités</w:t>
      </w:r>
      <w:r w:rsidRPr="00852E89">
        <w:t xml:space="preserve"> au Groupe de travail sur les ressources financières et les ressources humaines (GTC-FHR) à sa réunion qui se tiendra début 2018 et invite le GTC-FHR à formuler des commentaires, le cas échéant, à l’intention du Conseil à sa session de 2018.</w:t>
      </w:r>
      <w:bookmarkEnd w:id="42"/>
    </w:p>
    <w:p w:rsidR="00D33CD9" w:rsidRPr="00852E89" w:rsidRDefault="00D33CD9" w:rsidP="00D33CD9"/>
    <w:p w:rsidR="00D33CD9" w:rsidRPr="00852E89" w:rsidRDefault="00D33CD9" w:rsidP="00D33CD9">
      <w:pPr>
        <w:rPr>
          <w:b/>
          <w:bCs/>
        </w:rPr>
      </w:pPr>
      <w:r w:rsidRPr="00852E89">
        <w:rPr>
          <w:b/>
          <w:bCs/>
        </w:rPr>
        <w:br w:type="page"/>
      </w:r>
    </w:p>
    <w:p w:rsidR="00D33CD9" w:rsidRPr="00852E89" w:rsidRDefault="00D33CD9" w:rsidP="000E0C9B">
      <w:pPr>
        <w:pStyle w:val="AnnexNo"/>
      </w:pPr>
      <w:bookmarkStart w:id="43" w:name="lt_pId051"/>
      <w:r w:rsidRPr="00852E89">
        <w:lastRenderedPageBreak/>
        <w:t>ANNEXE 1</w:t>
      </w:r>
      <w:bookmarkEnd w:id="43"/>
    </w:p>
    <w:p w:rsidR="00D33CD9" w:rsidRPr="00852E89" w:rsidRDefault="00D33CD9" w:rsidP="00172D39">
      <w:bookmarkStart w:id="44" w:name="lt_pId052"/>
      <w:r w:rsidRPr="00852E89">
        <w:t>Lignes directrices à l’intention du Secrétaire général en vue de parachever</w:t>
      </w:r>
      <w:r w:rsidR="000E0C9B" w:rsidRPr="00852E89">
        <w:t xml:space="preserve"> et de soumettre une </w:t>
      </w:r>
      <w:r w:rsidRPr="00852E89">
        <w:t xml:space="preserve">proposition </w:t>
      </w:r>
      <w:r w:rsidR="000E0C9B" w:rsidRPr="00852E89">
        <w:t xml:space="preserve">relative </w:t>
      </w:r>
      <w:r w:rsidR="005B3631" w:rsidRPr="00852E89">
        <w:t>aux auditions</w:t>
      </w:r>
      <w:r w:rsidRPr="00852E89">
        <w:t xml:space="preserve"> des candidats </w:t>
      </w:r>
      <w:r w:rsidR="000E0C9B" w:rsidRPr="00852E89">
        <w:t>(</w:t>
      </w:r>
      <w:r w:rsidRPr="00852E89">
        <w:t>fonctionnaires élus de l’UIT</w:t>
      </w:r>
      <w:r w:rsidR="000E0C9B" w:rsidRPr="00852E89">
        <w:t>)</w:t>
      </w:r>
      <w:r w:rsidRPr="00852E89">
        <w:t xml:space="preserve"> à la session ordinaire de 2018 du Conseil de l’UIT:</w:t>
      </w:r>
      <w:bookmarkEnd w:id="44"/>
    </w:p>
    <w:p w:rsidR="00D33CD9" w:rsidRPr="00852E89" w:rsidRDefault="00801C3D" w:rsidP="00546F9F">
      <w:pPr>
        <w:pStyle w:val="enumlev1"/>
      </w:pPr>
      <w:r>
        <w:t>–</w:t>
      </w:r>
      <w:r w:rsidR="00D33CD9" w:rsidRPr="00852E89">
        <w:tab/>
      </w:r>
      <w:bookmarkStart w:id="45" w:name="lt_pId054"/>
      <w:r w:rsidR="004F39E1" w:rsidRPr="00852E89">
        <w:t>p</w:t>
      </w:r>
      <w:r w:rsidR="00D33CD9" w:rsidRPr="00852E89">
        <w:t xml:space="preserve">résenter </w:t>
      </w:r>
      <w:r w:rsidR="000E0C9B" w:rsidRPr="00852E89">
        <w:t>des modalités/une définition pour les auditions par exemple, les auditions sont un événement autonome qui serait dirigé par</w:t>
      </w:r>
      <w:r w:rsidR="00D33CD9" w:rsidRPr="00852E89">
        <w:t xml:space="preserve"> le Président du Conseil ou un haut fonctionnaire</w:t>
      </w:r>
      <w:bookmarkStart w:id="46" w:name="lt_pId055"/>
      <w:bookmarkEnd w:id="45"/>
      <w:r w:rsidR="000E0C9B" w:rsidRPr="00852E89">
        <w:t>. Evénement organisé</w:t>
      </w:r>
      <w:r w:rsidR="00D33CD9" w:rsidRPr="00852E89">
        <w:t xml:space="preserve"> spécialement pour les candidats qui parti</w:t>
      </w:r>
      <w:r w:rsidR="000E0C9B" w:rsidRPr="00852E89">
        <w:t>cipent au processus d’élection aux</w:t>
      </w:r>
      <w:r w:rsidR="00D33CD9" w:rsidRPr="00852E89">
        <w:t xml:space="preserve"> postes les plus importants </w:t>
      </w:r>
      <w:r w:rsidR="000E0C9B" w:rsidRPr="00852E89">
        <w:t>à</w:t>
      </w:r>
      <w:r w:rsidR="00D33CD9" w:rsidRPr="00852E89">
        <w:t xml:space="preserve"> l’UIT </w:t>
      </w:r>
      <w:r w:rsidR="00546F9F" w:rsidRPr="00852E89">
        <w:t>-</w:t>
      </w:r>
      <w:r w:rsidR="00D33CD9" w:rsidRPr="00852E89">
        <w:t>Secrétaire général, Vice-secrétaire général et directeurs des Bureaux</w:t>
      </w:r>
      <w:r w:rsidR="00546F9F" w:rsidRPr="00852E89">
        <w:t>-</w:t>
      </w:r>
      <w:r w:rsidR="000E0C9B" w:rsidRPr="00852E89">
        <w:t xml:space="preserve"> afin qu’ils exposent</w:t>
      </w:r>
      <w:r w:rsidR="00D33CD9" w:rsidRPr="00852E89">
        <w:t xml:space="preserve"> leur vision de l’Union);</w:t>
      </w:r>
      <w:bookmarkEnd w:id="46"/>
    </w:p>
    <w:p w:rsidR="00D33CD9" w:rsidRPr="00852E89" w:rsidRDefault="00801C3D" w:rsidP="00546F9F">
      <w:pPr>
        <w:pStyle w:val="enumlev1"/>
      </w:pPr>
      <w:r>
        <w:t>–</w:t>
      </w:r>
      <w:r w:rsidR="00D33CD9" w:rsidRPr="00852E89">
        <w:tab/>
      </w:r>
      <w:bookmarkStart w:id="47" w:name="lt_pId057"/>
      <w:r w:rsidR="004F39E1" w:rsidRPr="00852E89">
        <w:t>p</w:t>
      </w:r>
      <w:r w:rsidR="00D33CD9" w:rsidRPr="00852E89">
        <w:t>roposer</w:t>
      </w:r>
      <w:r w:rsidR="000E0C9B" w:rsidRPr="00852E89">
        <w:t xml:space="preserve"> une durée maximale d'</w:t>
      </w:r>
      <w:r w:rsidR="00D33CD9" w:rsidRPr="00852E89">
        <w:t>audition</w:t>
      </w:r>
      <w:r w:rsidR="000E0C9B" w:rsidRPr="00852E89">
        <w:t xml:space="preserve"> pour chaque candidat</w:t>
      </w:r>
      <w:r w:rsidR="00D33CD9" w:rsidRPr="00852E89">
        <w:t>, comprenant</w:t>
      </w:r>
      <w:r w:rsidR="000E0C9B" w:rsidRPr="00852E89">
        <w:t xml:space="preserve"> </w:t>
      </w:r>
      <w:r w:rsidR="00D33CD9" w:rsidRPr="00852E89">
        <w:t>l’exposé du candidat sur sa vision ainsi qu’une séance de questions et réponses;</w:t>
      </w:r>
      <w:bookmarkEnd w:id="47"/>
    </w:p>
    <w:p w:rsidR="00D33CD9" w:rsidRPr="00852E89" w:rsidRDefault="00801C3D" w:rsidP="00546F9F">
      <w:pPr>
        <w:pStyle w:val="enumlev1"/>
      </w:pPr>
      <w:r>
        <w:t>–</w:t>
      </w:r>
      <w:r w:rsidR="00D33CD9" w:rsidRPr="00852E89">
        <w:tab/>
      </w:r>
      <w:bookmarkStart w:id="48" w:name="lt_pId059"/>
      <w:r w:rsidR="004F39E1" w:rsidRPr="00852E89">
        <w:t>d</w:t>
      </w:r>
      <w:r w:rsidR="00D33CD9" w:rsidRPr="00852E89">
        <w:t>éfinir les principes de base pour que les candidats répondent à des questions aléatoires lors de leur audition (</w:t>
      </w:r>
      <w:r w:rsidR="000E0C9B" w:rsidRPr="00852E89">
        <w:t xml:space="preserve">par exemple deux ou trois questions aléatoires posées par </w:t>
      </w:r>
      <w:r w:rsidR="00D33CD9" w:rsidRPr="00852E89">
        <w:t>le public ou les personnes qui suivent l’audition diffusée sur le web);</w:t>
      </w:r>
      <w:bookmarkEnd w:id="48"/>
    </w:p>
    <w:p w:rsidR="00D33CD9" w:rsidRPr="00852E89" w:rsidRDefault="00801C3D" w:rsidP="00546F9F">
      <w:pPr>
        <w:pStyle w:val="enumlev1"/>
      </w:pPr>
      <w:r>
        <w:t>–</w:t>
      </w:r>
      <w:r w:rsidR="00D33CD9" w:rsidRPr="00852E89">
        <w:tab/>
      </w:r>
      <w:bookmarkStart w:id="49" w:name="lt_pId061"/>
      <w:r w:rsidR="004F39E1" w:rsidRPr="00852E89">
        <w:t>v</w:t>
      </w:r>
      <w:r w:rsidR="00D33CD9" w:rsidRPr="00852E89">
        <w:t>eiller à ce que les membres de l’UIT puissent assister aux auditions ou les suivre par voie électronique (</w:t>
      </w:r>
      <w:r w:rsidR="00B207E9" w:rsidRPr="00852E89">
        <w:t>par exemple diffuse</w:t>
      </w:r>
      <w:r w:rsidR="00766AF8" w:rsidRPr="00852E89">
        <w:t>r</w:t>
      </w:r>
      <w:r w:rsidR="00D33CD9" w:rsidRPr="00852E89">
        <w:t xml:space="preserve"> </w:t>
      </w:r>
      <w:r w:rsidR="00B207E9" w:rsidRPr="00852E89">
        <w:t>l</w:t>
      </w:r>
      <w:r w:rsidR="00D33CD9" w:rsidRPr="00852E89">
        <w:t xml:space="preserve">es auditions sur le web, en limitant l’accès aux membres de l’UIT </w:t>
      </w:r>
      <w:r w:rsidR="00B207E9" w:rsidRPr="00852E89">
        <w:t>via leur</w:t>
      </w:r>
      <w:r w:rsidR="00D33CD9" w:rsidRPr="00852E89">
        <w:t xml:space="preserve"> compte TIES);</w:t>
      </w:r>
      <w:bookmarkEnd w:id="49"/>
    </w:p>
    <w:p w:rsidR="00D33CD9" w:rsidRPr="00852E89" w:rsidRDefault="00801C3D" w:rsidP="00546F9F">
      <w:pPr>
        <w:pStyle w:val="enumlev1"/>
      </w:pPr>
      <w:r>
        <w:t>–</w:t>
      </w:r>
      <w:r w:rsidR="00D33CD9" w:rsidRPr="00852E89">
        <w:tab/>
      </w:r>
      <w:bookmarkStart w:id="50" w:name="lt_pId063"/>
      <w:r w:rsidR="004F39E1" w:rsidRPr="00852E89">
        <w:t>p</w:t>
      </w:r>
      <w:r w:rsidR="00D33CD9" w:rsidRPr="00852E89">
        <w:t>roposer une date et un lieu appropriés pour le déroulement des auditions avant la PP-18;</w:t>
      </w:r>
      <w:bookmarkEnd w:id="50"/>
    </w:p>
    <w:p w:rsidR="00D33CD9" w:rsidRPr="00852E89" w:rsidRDefault="00801C3D" w:rsidP="00546F9F">
      <w:pPr>
        <w:pStyle w:val="enumlev1"/>
      </w:pPr>
      <w:r>
        <w:t>–</w:t>
      </w:r>
      <w:r w:rsidR="00D33CD9" w:rsidRPr="00852E89">
        <w:tab/>
      </w:r>
      <w:bookmarkStart w:id="51" w:name="lt_pId065"/>
      <w:r w:rsidR="004F39E1" w:rsidRPr="00852E89">
        <w:t>p</w:t>
      </w:r>
      <w:r w:rsidR="00B207E9" w:rsidRPr="00852E89">
        <w:t>roposer</w:t>
      </w:r>
      <w:r w:rsidR="00D33CD9" w:rsidRPr="00852E89">
        <w:t xml:space="preserve"> la</w:t>
      </w:r>
      <w:r w:rsidR="00B207E9" w:rsidRPr="00852E89">
        <w:t xml:space="preserve"> possibilité de rembourser les dépenses</w:t>
      </w:r>
      <w:r w:rsidR="00D33CD9" w:rsidRPr="00852E89">
        <w:t xml:space="preserve"> de traduction, </w:t>
      </w:r>
      <w:r w:rsidR="00B207E9" w:rsidRPr="00852E89">
        <w:t>de</w:t>
      </w:r>
      <w:r w:rsidR="00D33CD9" w:rsidRPr="00852E89">
        <w:t xml:space="preserve"> location de</w:t>
      </w:r>
      <w:r w:rsidR="00B207E9" w:rsidRPr="00852E89">
        <w:t xml:space="preserve"> </w:t>
      </w:r>
      <w:r w:rsidR="00D33CD9" w:rsidRPr="00852E89">
        <w:t xml:space="preserve">salle </w:t>
      </w:r>
      <w:r w:rsidR="00B207E9" w:rsidRPr="00852E89">
        <w:t xml:space="preserve">engagées par </w:t>
      </w:r>
      <w:r w:rsidR="00D33CD9" w:rsidRPr="00852E89">
        <w:t xml:space="preserve">l’UIT </w:t>
      </w:r>
      <w:r w:rsidR="00B207E9" w:rsidRPr="00852E89">
        <w:t>pour les</w:t>
      </w:r>
      <w:r w:rsidR="00D33CD9" w:rsidRPr="00852E89">
        <w:t xml:space="preserve"> auditions (par</w:t>
      </w:r>
      <w:r w:rsidR="00B207E9" w:rsidRPr="00852E89">
        <w:t xml:space="preserve"> exemple</w:t>
      </w:r>
      <w:r w:rsidR="00D33CD9" w:rsidRPr="00852E89">
        <w:t xml:space="preserve"> </w:t>
      </w:r>
      <w:r w:rsidR="00B207E9" w:rsidRPr="00852E89">
        <w:t xml:space="preserve">proposer que les </w:t>
      </w:r>
      <w:r w:rsidR="00D33CD9" w:rsidRPr="00852E89">
        <w:t>pays qui présentent des candidats</w:t>
      </w:r>
      <w:r w:rsidR="00B207E9" w:rsidRPr="00852E89">
        <w:t xml:space="preserve"> partagent</w:t>
      </w:r>
      <w:r w:rsidR="00D33CD9" w:rsidRPr="00852E89">
        <w:t xml:space="preserve"> les coûts des auditions</w:t>
      </w:r>
      <w:r w:rsidR="00B207E9" w:rsidRPr="00852E89">
        <w:t xml:space="preserve"> et remboursent ces dépenses par</w:t>
      </w:r>
      <w:r w:rsidR="00D33CD9" w:rsidRPr="00852E89">
        <w:t xml:space="preserve"> parts égales à l’UIT);</w:t>
      </w:r>
      <w:bookmarkEnd w:id="51"/>
    </w:p>
    <w:p w:rsidR="00B207E9" w:rsidRPr="00852E89" w:rsidRDefault="00801C3D" w:rsidP="00546F9F">
      <w:pPr>
        <w:pStyle w:val="enumlev1"/>
      </w:pPr>
      <w:r>
        <w:t>–</w:t>
      </w:r>
      <w:r w:rsidR="00D33CD9" w:rsidRPr="00852E89">
        <w:tab/>
      </w:r>
      <w:bookmarkStart w:id="52" w:name="lt_pId067"/>
      <w:r w:rsidR="004F39E1" w:rsidRPr="00852E89">
        <w:t>c</w:t>
      </w:r>
      <w:r w:rsidR="00D33CD9" w:rsidRPr="00852E89">
        <w:t>réer</w:t>
      </w:r>
      <w:r w:rsidR="00B207E9" w:rsidRPr="00852E89">
        <w:t xml:space="preserve"> un espace en ligne consacré aux supports de communication</w:t>
      </w:r>
      <w:r w:rsidR="00D33CD9" w:rsidRPr="00852E89">
        <w:t xml:space="preserve"> (PDF, vidéos, etc.)</w:t>
      </w:r>
      <w:r w:rsidR="00B207E9" w:rsidRPr="00852E89">
        <w:t xml:space="preserve"> de la campagne des candidats</w:t>
      </w:r>
      <w:r w:rsidR="00D33CD9" w:rsidRPr="00852E89">
        <w:t>, afin que les parties prenantes puissent accéder aux informations relatives aux candidats par voie électronique.</w:t>
      </w:r>
      <w:bookmarkEnd w:id="52"/>
    </w:p>
    <w:p w:rsidR="00571EEA" w:rsidRPr="00852E89" w:rsidRDefault="00B207E9" w:rsidP="00B207E9">
      <w:pPr>
        <w:jc w:val="center"/>
      </w:pPr>
      <w:r w:rsidRPr="00852E89">
        <w:t>______________</w:t>
      </w:r>
    </w:p>
    <w:sectPr w:rsidR="00571EEA" w:rsidRPr="00852E89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D9" w:rsidRDefault="00D33CD9">
      <w:r>
        <w:separator/>
      </w:r>
    </w:p>
  </w:endnote>
  <w:endnote w:type="continuationSeparator" w:id="0">
    <w:p w:rsidR="00D33CD9" w:rsidRDefault="00D3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801C3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9707C7">
      <w:t>P:\FRA\SG\CONSEIL\C17\000\076F.docx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A1845">
      <w:t>09.05.17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707C7">
      <w:t>08.05.17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801C3D" w:rsidP="00801C3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P:\FRA\SG\CONSEIL\C17\000\076REV1F.docx</w:t>
    </w:r>
    <w:r>
      <w:fldChar w:fldCharType="end"/>
    </w:r>
    <w:r w:rsidR="008746B1">
      <w:t>(417</w:t>
    </w:r>
    <w:r>
      <w:t>823</w:t>
    </w:r>
    <w:r w:rsidR="008746B1">
      <w:t>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A1845">
      <w:t>09.05.17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707C7">
      <w:t>08.05.17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Default="00801C3D" w:rsidP="00801C3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P:\FRA\SG\CONSEIL\C17\000\076REV1F.docx</w:t>
    </w:r>
    <w:r>
      <w:fldChar w:fldCharType="end"/>
    </w:r>
    <w:r w:rsidR="008746B1">
      <w:t>(417</w:t>
    </w:r>
    <w:r>
      <w:t>823</w:t>
    </w:r>
    <w:r w:rsidR="008746B1">
      <w:t>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A1845">
      <w:t>09.05.17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707C7">
      <w:t>08.05.17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D9" w:rsidRDefault="00D33CD9">
      <w:r>
        <w:t>____________________</w:t>
      </w:r>
    </w:p>
  </w:footnote>
  <w:footnote w:type="continuationSeparator" w:id="0">
    <w:p w:rsidR="00D33CD9" w:rsidRDefault="00D3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801C3D">
      <w:rPr>
        <w:noProof/>
      </w:rPr>
      <w:t>4</w:t>
    </w:r>
    <w:r>
      <w:rPr>
        <w:noProof/>
      </w:rPr>
      <w:fldChar w:fldCharType="end"/>
    </w:r>
  </w:p>
  <w:p w:rsidR="00732045" w:rsidRDefault="00732045" w:rsidP="0093234A">
    <w:pPr>
      <w:pStyle w:val="Header"/>
    </w:pPr>
    <w:r>
      <w:t>C1</w:t>
    </w:r>
    <w:r w:rsidR="0093234A">
      <w:t>7</w:t>
    </w:r>
    <w:r w:rsidR="005E14D2">
      <w:t>/76</w:t>
    </w:r>
    <w:r w:rsidR="009870C5">
      <w:t>(Rév.1)</w:t>
    </w:r>
    <w:r w:rsidR="00835128">
      <w:t>-</w:t>
    </w:r>
    <w: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A1AE3"/>
    <w:multiLevelType w:val="multilevel"/>
    <w:tmpl w:val="5E82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63988"/>
    <w:multiLevelType w:val="multilevel"/>
    <w:tmpl w:val="A430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D9"/>
    <w:rsid w:val="00097E3B"/>
    <w:rsid w:val="000D0D0A"/>
    <w:rsid w:val="000E0C9B"/>
    <w:rsid w:val="00103163"/>
    <w:rsid w:val="00115D93"/>
    <w:rsid w:val="001247A8"/>
    <w:rsid w:val="001378C0"/>
    <w:rsid w:val="00140F68"/>
    <w:rsid w:val="00155A99"/>
    <w:rsid w:val="00172D39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75B72"/>
    <w:rsid w:val="002A5D44"/>
    <w:rsid w:val="002E0BC4"/>
    <w:rsid w:val="002F1B76"/>
    <w:rsid w:val="00355FF5"/>
    <w:rsid w:val="00361350"/>
    <w:rsid w:val="004038CB"/>
    <w:rsid w:val="0040546F"/>
    <w:rsid w:val="004206F1"/>
    <w:rsid w:val="0042404A"/>
    <w:rsid w:val="0044618F"/>
    <w:rsid w:val="0046769A"/>
    <w:rsid w:val="00475FB3"/>
    <w:rsid w:val="004C37A9"/>
    <w:rsid w:val="004F259E"/>
    <w:rsid w:val="004F39E1"/>
    <w:rsid w:val="00511F1D"/>
    <w:rsid w:val="00520F36"/>
    <w:rsid w:val="00540615"/>
    <w:rsid w:val="00540A6D"/>
    <w:rsid w:val="00546F9F"/>
    <w:rsid w:val="00571EEA"/>
    <w:rsid w:val="00575417"/>
    <w:rsid w:val="005768E1"/>
    <w:rsid w:val="005B3631"/>
    <w:rsid w:val="005C3890"/>
    <w:rsid w:val="005E14D2"/>
    <w:rsid w:val="005F7BFE"/>
    <w:rsid w:val="00600017"/>
    <w:rsid w:val="00610E80"/>
    <w:rsid w:val="006235CA"/>
    <w:rsid w:val="00642B93"/>
    <w:rsid w:val="006643AB"/>
    <w:rsid w:val="006E0733"/>
    <w:rsid w:val="007210CD"/>
    <w:rsid w:val="00732045"/>
    <w:rsid w:val="007369DB"/>
    <w:rsid w:val="00766AF8"/>
    <w:rsid w:val="007956C2"/>
    <w:rsid w:val="007A187E"/>
    <w:rsid w:val="007C72C2"/>
    <w:rsid w:val="007D4436"/>
    <w:rsid w:val="007F257A"/>
    <w:rsid w:val="007F3665"/>
    <w:rsid w:val="00800037"/>
    <w:rsid w:val="00801C3D"/>
    <w:rsid w:val="00835128"/>
    <w:rsid w:val="00852E89"/>
    <w:rsid w:val="00861D73"/>
    <w:rsid w:val="008746B1"/>
    <w:rsid w:val="008A4E87"/>
    <w:rsid w:val="008D76E6"/>
    <w:rsid w:val="0092392D"/>
    <w:rsid w:val="0093234A"/>
    <w:rsid w:val="009707C7"/>
    <w:rsid w:val="0097333E"/>
    <w:rsid w:val="009870C5"/>
    <w:rsid w:val="009C307F"/>
    <w:rsid w:val="00A2113E"/>
    <w:rsid w:val="00A23A51"/>
    <w:rsid w:val="00A24607"/>
    <w:rsid w:val="00A25CD3"/>
    <w:rsid w:val="00A717C7"/>
    <w:rsid w:val="00A82767"/>
    <w:rsid w:val="00AA332F"/>
    <w:rsid w:val="00AA7BBB"/>
    <w:rsid w:val="00AB64A8"/>
    <w:rsid w:val="00AC0266"/>
    <w:rsid w:val="00AD24EC"/>
    <w:rsid w:val="00B207E9"/>
    <w:rsid w:val="00B309F9"/>
    <w:rsid w:val="00B32B60"/>
    <w:rsid w:val="00B61619"/>
    <w:rsid w:val="00B630E3"/>
    <w:rsid w:val="00B75BBF"/>
    <w:rsid w:val="00BB4545"/>
    <w:rsid w:val="00BD5873"/>
    <w:rsid w:val="00C04BE3"/>
    <w:rsid w:val="00C25D29"/>
    <w:rsid w:val="00C27A7C"/>
    <w:rsid w:val="00CA08ED"/>
    <w:rsid w:val="00CF183B"/>
    <w:rsid w:val="00D050BC"/>
    <w:rsid w:val="00D33CD9"/>
    <w:rsid w:val="00D375CD"/>
    <w:rsid w:val="00D553A2"/>
    <w:rsid w:val="00D7310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1845"/>
    <w:rsid w:val="00FA5EB1"/>
    <w:rsid w:val="00FA7439"/>
    <w:rsid w:val="00FC4EC0"/>
    <w:rsid w:val="00FD7BD5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docId w15:val="{2851C977-B7E8-42AC-ABAF-1B43DE7D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5</TotalTime>
  <Pages>4</Pages>
  <Words>1137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7523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Bontemps, Johann</dc:creator>
  <cp:keywords>C2010, C10</cp:keywords>
  <dc:description>Document C17/-F  Pour: _x000d_Date du document: janvier 2017_x000d_Enregistré par ITU51009317 à 15:30:24 le 06/04/2017</dc:description>
  <cp:lastModifiedBy>Jones, Jacqueline</cp:lastModifiedBy>
  <cp:revision>3</cp:revision>
  <cp:lastPrinted>2017-05-08T12:38:00Z</cp:lastPrinted>
  <dcterms:created xsi:type="dcterms:W3CDTF">2017-05-09T16:01:00Z</dcterms:created>
  <dcterms:modified xsi:type="dcterms:W3CDTF">2017-05-09T16:07:00Z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