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E269C" w:rsidRPr="00813E5E" w:rsidTr="000E75E8">
        <w:trPr>
          <w:cantSplit/>
        </w:trPr>
        <w:tc>
          <w:tcPr>
            <w:tcW w:w="6911" w:type="dxa"/>
          </w:tcPr>
          <w:p w:rsidR="006E269C" w:rsidRPr="00813E5E" w:rsidRDefault="006E269C" w:rsidP="002F1511">
            <w:pPr>
              <w:spacing w:before="360" w:after="48"/>
              <w:rPr>
                <w:position w:val="6"/>
              </w:rPr>
            </w:pPr>
            <w:bookmarkStart w:id="0" w:name="dc06"/>
            <w:bookmarkEnd w:id="0"/>
            <w:r w:rsidRPr="00777123">
              <w:rPr>
                <w:b/>
                <w:bCs/>
                <w:position w:val="6"/>
                <w:sz w:val="30"/>
                <w:szCs w:val="30"/>
              </w:rPr>
              <w:t>Council 201</w:t>
            </w:r>
            <w:r>
              <w:rPr>
                <w:b/>
                <w:bCs/>
                <w:position w:val="6"/>
                <w:sz w:val="30"/>
                <w:szCs w:val="30"/>
              </w:rPr>
              <w:t>7</w:t>
            </w:r>
            <w:r w:rsidRPr="00777123">
              <w:rPr>
                <w:rFonts w:cs="Times"/>
                <w:b/>
                <w:position w:val="6"/>
                <w:sz w:val="26"/>
                <w:szCs w:val="26"/>
                <w:lang w:val="en-US"/>
              </w:rPr>
              <w:br/>
            </w:r>
            <w:r w:rsidRPr="00777123">
              <w:rPr>
                <w:b/>
                <w:bCs/>
                <w:position w:val="6"/>
                <w:szCs w:val="24"/>
              </w:rPr>
              <w:t xml:space="preserve">Geneva, </w:t>
            </w:r>
            <w:r>
              <w:rPr>
                <w:b/>
                <w:bCs/>
                <w:position w:val="6"/>
                <w:szCs w:val="24"/>
              </w:rPr>
              <w:t>1</w:t>
            </w:r>
            <w:r w:rsidR="002F1511">
              <w:rPr>
                <w:b/>
                <w:bCs/>
                <w:position w:val="6"/>
                <w:szCs w:val="24"/>
              </w:rPr>
              <w:t>5</w:t>
            </w:r>
            <w:r>
              <w:rPr>
                <w:b/>
                <w:bCs/>
                <w:position w:val="6"/>
                <w:szCs w:val="24"/>
              </w:rPr>
              <w:t>-25</w:t>
            </w:r>
            <w:r w:rsidRPr="00777123">
              <w:rPr>
                <w:b/>
                <w:bCs/>
                <w:position w:val="6"/>
                <w:szCs w:val="24"/>
              </w:rPr>
              <w:t xml:space="preserve"> May </w:t>
            </w:r>
            <w:r>
              <w:rPr>
                <w:b/>
                <w:bCs/>
                <w:position w:val="6"/>
                <w:szCs w:val="24"/>
              </w:rPr>
              <w:t>2017</w:t>
            </w:r>
          </w:p>
        </w:tc>
        <w:tc>
          <w:tcPr>
            <w:tcW w:w="3120" w:type="dxa"/>
          </w:tcPr>
          <w:p w:rsidR="006E269C" w:rsidRPr="00813E5E" w:rsidRDefault="006E269C" w:rsidP="000E75E8">
            <w:pPr>
              <w:spacing w:before="0"/>
              <w:jc w:val="right"/>
            </w:pPr>
            <w:bookmarkStart w:id="1" w:name="ditulogo"/>
            <w:bookmarkEnd w:id="1"/>
            <w:r w:rsidRPr="00F21593">
              <w:rPr>
                <w:rFonts w:ascii="Verdana" w:hAnsi="Verdana"/>
                <w:noProof/>
                <w:color w:val="FFFFFF"/>
                <w:sz w:val="26"/>
                <w:szCs w:val="26"/>
                <w:lang w:val="en-US" w:eastAsia="zh-CN"/>
              </w:rPr>
              <w:drawing>
                <wp:inline distT="0" distB="0" distL="0" distR="0" wp14:anchorId="2AF51E1C" wp14:editId="1890F2EA">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6E269C" w:rsidRPr="00813E5E" w:rsidTr="000E75E8">
        <w:trPr>
          <w:cantSplit/>
        </w:trPr>
        <w:tc>
          <w:tcPr>
            <w:tcW w:w="6911" w:type="dxa"/>
            <w:tcBorders>
              <w:bottom w:val="single" w:sz="12" w:space="0" w:color="auto"/>
            </w:tcBorders>
          </w:tcPr>
          <w:p w:rsidR="006E269C" w:rsidRPr="00813E5E" w:rsidRDefault="006E269C" w:rsidP="000E75E8">
            <w:pPr>
              <w:spacing w:before="0" w:after="48"/>
              <w:rPr>
                <w:b/>
                <w:smallCaps/>
                <w:szCs w:val="24"/>
              </w:rPr>
            </w:pPr>
          </w:p>
        </w:tc>
        <w:tc>
          <w:tcPr>
            <w:tcW w:w="3120" w:type="dxa"/>
            <w:tcBorders>
              <w:bottom w:val="single" w:sz="12" w:space="0" w:color="auto"/>
            </w:tcBorders>
          </w:tcPr>
          <w:p w:rsidR="006E269C" w:rsidRPr="00813E5E" w:rsidRDefault="006E269C" w:rsidP="000E75E8">
            <w:pPr>
              <w:spacing w:before="0"/>
              <w:rPr>
                <w:szCs w:val="24"/>
              </w:rPr>
            </w:pPr>
          </w:p>
        </w:tc>
      </w:tr>
      <w:tr w:rsidR="006E269C" w:rsidRPr="00813E5E" w:rsidTr="000E75E8">
        <w:trPr>
          <w:cantSplit/>
        </w:trPr>
        <w:tc>
          <w:tcPr>
            <w:tcW w:w="6911" w:type="dxa"/>
            <w:tcBorders>
              <w:top w:val="single" w:sz="12" w:space="0" w:color="auto"/>
            </w:tcBorders>
          </w:tcPr>
          <w:p w:rsidR="006E269C" w:rsidRPr="00813E5E" w:rsidRDefault="006E269C" w:rsidP="000E75E8">
            <w:pPr>
              <w:spacing w:before="0" w:after="48"/>
              <w:rPr>
                <w:b/>
                <w:smallCaps/>
                <w:szCs w:val="24"/>
              </w:rPr>
            </w:pPr>
          </w:p>
        </w:tc>
        <w:tc>
          <w:tcPr>
            <w:tcW w:w="3120" w:type="dxa"/>
            <w:tcBorders>
              <w:top w:val="single" w:sz="12" w:space="0" w:color="auto"/>
            </w:tcBorders>
          </w:tcPr>
          <w:p w:rsidR="006E269C" w:rsidRPr="00813E5E" w:rsidRDefault="006E269C" w:rsidP="000E75E8">
            <w:pPr>
              <w:spacing w:before="0"/>
              <w:rPr>
                <w:szCs w:val="24"/>
              </w:rPr>
            </w:pPr>
          </w:p>
        </w:tc>
      </w:tr>
      <w:tr w:rsidR="006E269C" w:rsidRPr="00777123" w:rsidTr="000E75E8">
        <w:trPr>
          <w:cantSplit/>
          <w:trHeight w:val="23"/>
        </w:trPr>
        <w:tc>
          <w:tcPr>
            <w:tcW w:w="6911" w:type="dxa"/>
            <w:vMerge w:val="restart"/>
          </w:tcPr>
          <w:p w:rsidR="006E269C" w:rsidRPr="00777123" w:rsidRDefault="006E269C" w:rsidP="002F1511">
            <w:pPr>
              <w:tabs>
                <w:tab w:val="left" w:pos="851"/>
              </w:tabs>
              <w:spacing w:before="0"/>
              <w:rPr>
                <w:b/>
              </w:rPr>
            </w:pPr>
            <w:r>
              <w:rPr>
                <w:b/>
              </w:rPr>
              <w:t>Agenda item</w:t>
            </w:r>
            <w:r w:rsidR="002F1511">
              <w:rPr>
                <w:b/>
              </w:rPr>
              <w:t>: PL 2.7</w:t>
            </w:r>
          </w:p>
        </w:tc>
        <w:tc>
          <w:tcPr>
            <w:tcW w:w="3120" w:type="dxa"/>
          </w:tcPr>
          <w:p w:rsidR="006E269C" w:rsidRPr="002F1511" w:rsidRDefault="006E269C" w:rsidP="002F1511">
            <w:pPr>
              <w:tabs>
                <w:tab w:val="left" w:pos="851"/>
              </w:tabs>
              <w:spacing w:before="0"/>
              <w:rPr>
                <w:b/>
              </w:rPr>
            </w:pPr>
            <w:r w:rsidRPr="002F1511">
              <w:rPr>
                <w:b/>
              </w:rPr>
              <w:t>Document C17/</w:t>
            </w:r>
            <w:r w:rsidR="002F1511" w:rsidRPr="002F1511">
              <w:rPr>
                <w:b/>
              </w:rPr>
              <w:t>76-E</w:t>
            </w:r>
          </w:p>
        </w:tc>
      </w:tr>
      <w:tr w:rsidR="006E269C" w:rsidRPr="00777123" w:rsidTr="000E75E8">
        <w:trPr>
          <w:cantSplit/>
          <w:trHeight w:val="23"/>
        </w:trPr>
        <w:tc>
          <w:tcPr>
            <w:tcW w:w="6911" w:type="dxa"/>
            <w:vMerge/>
          </w:tcPr>
          <w:p w:rsidR="006E269C" w:rsidRPr="00813E5E" w:rsidRDefault="006E269C" w:rsidP="000E75E8">
            <w:pPr>
              <w:tabs>
                <w:tab w:val="left" w:pos="851"/>
              </w:tabs>
              <w:rPr>
                <w:b/>
              </w:rPr>
            </w:pPr>
          </w:p>
        </w:tc>
        <w:tc>
          <w:tcPr>
            <w:tcW w:w="3120" w:type="dxa"/>
          </w:tcPr>
          <w:p w:rsidR="006E269C" w:rsidRPr="002F1511" w:rsidRDefault="002F1511" w:rsidP="000E75E8">
            <w:pPr>
              <w:tabs>
                <w:tab w:val="left" w:pos="993"/>
              </w:tabs>
              <w:spacing w:before="0"/>
              <w:rPr>
                <w:b/>
              </w:rPr>
            </w:pPr>
            <w:r w:rsidRPr="002F1511">
              <w:rPr>
                <w:b/>
              </w:rPr>
              <w:t xml:space="preserve">28 April </w:t>
            </w:r>
            <w:r w:rsidR="006E269C" w:rsidRPr="002F1511">
              <w:rPr>
                <w:b/>
              </w:rPr>
              <w:t>2017</w:t>
            </w:r>
          </w:p>
        </w:tc>
      </w:tr>
      <w:tr w:rsidR="006E269C" w:rsidRPr="00777123" w:rsidTr="000E75E8">
        <w:trPr>
          <w:cantSplit/>
          <w:trHeight w:val="23"/>
        </w:trPr>
        <w:tc>
          <w:tcPr>
            <w:tcW w:w="6911" w:type="dxa"/>
            <w:vMerge/>
          </w:tcPr>
          <w:p w:rsidR="006E269C" w:rsidRPr="00813E5E" w:rsidRDefault="006E269C" w:rsidP="000E75E8">
            <w:pPr>
              <w:tabs>
                <w:tab w:val="left" w:pos="851"/>
              </w:tabs>
              <w:rPr>
                <w:b/>
              </w:rPr>
            </w:pPr>
          </w:p>
        </w:tc>
        <w:tc>
          <w:tcPr>
            <w:tcW w:w="3120" w:type="dxa"/>
          </w:tcPr>
          <w:p w:rsidR="006E269C" w:rsidRPr="00777123" w:rsidRDefault="006E269C" w:rsidP="006E269C">
            <w:pPr>
              <w:tabs>
                <w:tab w:val="left" w:pos="993"/>
              </w:tabs>
              <w:spacing w:before="0"/>
              <w:rPr>
                <w:b/>
              </w:rPr>
            </w:pPr>
            <w:r>
              <w:rPr>
                <w:b/>
              </w:rPr>
              <w:t>Original: English</w:t>
            </w:r>
          </w:p>
        </w:tc>
      </w:tr>
    </w:tbl>
    <w:p w:rsidR="002F1511" w:rsidRPr="002F1511" w:rsidRDefault="002F1511" w:rsidP="002F1511">
      <w:pPr>
        <w:pStyle w:val="Source"/>
      </w:pPr>
      <w:r w:rsidRPr="002F1511">
        <w:t>Note by the Secretary-General</w:t>
      </w:r>
    </w:p>
    <w:p w:rsidR="0049034A" w:rsidRPr="006E269C" w:rsidRDefault="0049034A" w:rsidP="000E0778">
      <w:pPr>
        <w:pStyle w:val="Title1"/>
      </w:pPr>
      <w:r w:rsidRPr="006E269C">
        <w:t xml:space="preserve">CONTRIBUTION FROM </w:t>
      </w:r>
      <w:r w:rsidR="000E0778" w:rsidRPr="006E269C">
        <w:t>THE REPUBLIC</w:t>
      </w:r>
      <w:r w:rsidR="000E0778">
        <w:t xml:space="preserve"> OF BULGARIA, </w:t>
      </w:r>
      <w:r w:rsidRPr="006E269C">
        <w:t xml:space="preserve">THE </w:t>
      </w:r>
      <w:r>
        <w:t xml:space="preserve">REPUBLIC OF LITHUANIA, </w:t>
      </w:r>
      <w:r w:rsidR="000E0778">
        <w:t xml:space="preserve">THE REPUBLIC OF POLAND, PORTUGAL, SPAIN, THE </w:t>
      </w:r>
      <w:r w:rsidR="0099746C">
        <w:t xml:space="preserve">CONFEDERATION OF </w:t>
      </w:r>
      <w:r>
        <w:t xml:space="preserve">SWITZERLAND, </w:t>
      </w:r>
      <w:r w:rsidRPr="006E269C">
        <w:t xml:space="preserve">THE CZECH REPUBLIC </w:t>
      </w:r>
      <w:r w:rsidR="00157C4A">
        <w:t xml:space="preserve">AND </w:t>
      </w:r>
      <w:r w:rsidR="000E0778">
        <w:t>ROMANIA</w:t>
      </w:r>
    </w:p>
    <w:p w:rsidR="00945C79" w:rsidRDefault="00945C79" w:rsidP="002F1511">
      <w:pPr>
        <w:pStyle w:val="Title1"/>
      </w:pPr>
      <w:r w:rsidRPr="006E269C">
        <w:t xml:space="preserve">PROPOSAL ON </w:t>
      </w:r>
      <w:r w:rsidR="003421CD">
        <w:t xml:space="preserve">THE </w:t>
      </w:r>
      <w:r w:rsidRPr="006E269C">
        <w:t>INTRODUCTION</w:t>
      </w:r>
      <w:r w:rsidR="000E0778">
        <w:t xml:space="preserve"> OF HEARING FOR THE ITU ELECTED </w:t>
      </w:r>
      <w:r w:rsidRPr="006E269C">
        <w:t>OFFICIALS</w:t>
      </w:r>
    </w:p>
    <w:p w:rsidR="002F1511" w:rsidRPr="00403482" w:rsidRDefault="002F1511" w:rsidP="000E0778">
      <w:pPr>
        <w:spacing w:before="360"/>
        <w:jc w:val="both"/>
        <w:rPr>
          <w:rFonts w:asciiTheme="minorHAnsi" w:hAnsiTheme="minorHAnsi"/>
          <w:szCs w:val="24"/>
        </w:rPr>
      </w:pPr>
      <w:r w:rsidRPr="00403482">
        <w:rPr>
          <w:rFonts w:asciiTheme="minorHAnsi" w:hAnsiTheme="minorHAnsi"/>
          <w:szCs w:val="24"/>
        </w:rPr>
        <w:t xml:space="preserve">I have the honour to transmit to the Member States of the Council a contribution submitted by </w:t>
      </w:r>
      <w:r w:rsidR="000E0778" w:rsidRPr="000E0778">
        <w:rPr>
          <w:rFonts w:asciiTheme="minorHAnsi" w:hAnsiTheme="minorHAnsi"/>
          <w:b/>
          <w:bCs/>
          <w:szCs w:val="24"/>
        </w:rPr>
        <w:t>the Republic of Bulgaria, the Republic of Lithuania, the Republic of Poland, Portugal, Spain, the Confederation of Switzerland, the Czech Republic</w:t>
      </w:r>
      <w:r w:rsidR="000E0778">
        <w:rPr>
          <w:rFonts w:asciiTheme="minorHAnsi" w:hAnsiTheme="minorHAnsi"/>
          <w:szCs w:val="24"/>
        </w:rPr>
        <w:t xml:space="preserve"> and </w:t>
      </w:r>
      <w:r w:rsidR="000E0778" w:rsidRPr="000E0778">
        <w:rPr>
          <w:rFonts w:asciiTheme="minorHAnsi" w:hAnsiTheme="minorHAnsi"/>
          <w:b/>
          <w:bCs/>
          <w:szCs w:val="24"/>
        </w:rPr>
        <w:t>Romania</w:t>
      </w:r>
      <w:r w:rsidR="000E0778">
        <w:rPr>
          <w:rFonts w:asciiTheme="minorHAnsi" w:hAnsiTheme="minorHAnsi"/>
          <w:szCs w:val="24"/>
        </w:rPr>
        <w:t>.</w:t>
      </w:r>
    </w:p>
    <w:p w:rsidR="002F1511" w:rsidRPr="00403482" w:rsidRDefault="002F1511" w:rsidP="002F1511">
      <w:pPr>
        <w:spacing w:before="360"/>
        <w:jc w:val="both"/>
        <w:rPr>
          <w:rFonts w:asciiTheme="minorHAnsi" w:hAnsiTheme="minorHAnsi"/>
          <w:szCs w:val="24"/>
        </w:rPr>
      </w:pPr>
    </w:p>
    <w:p w:rsidR="002F1511" w:rsidRPr="00403482" w:rsidRDefault="002F1511" w:rsidP="002F1511">
      <w:pPr>
        <w:tabs>
          <w:tab w:val="clear" w:pos="2268"/>
          <w:tab w:val="clear" w:pos="2835"/>
          <w:tab w:val="center" w:pos="7088"/>
        </w:tabs>
      </w:pPr>
      <w:r w:rsidRPr="00403482">
        <w:tab/>
      </w:r>
      <w:r w:rsidRPr="00403482">
        <w:tab/>
      </w:r>
      <w:r w:rsidRPr="00403482">
        <w:tab/>
      </w:r>
      <w:r w:rsidRPr="00403482">
        <w:tab/>
        <w:t>Houlin ZHAO</w:t>
      </w:r>
      <w:r w:rsidRPr="00403482">
        <w:br/>
      </w:r>
      <w:r w:rsidRPr="00403482">
        <w:tab/>
      </w:r>
      <w:r w:rsidRPr="00403482">
        <w:tab/>
      </w:r>
      <w:r w:rsidRPr="00403482">
        <w:tab/>
      </w:r>
      <w:r w:rsidRPr="00403482">
        <w:tab/>
        <w:t>Secretary-General</w:t>
      </w:r>
    </w:p>
    <w:p w:rsidR="002F1511" w:rsidRPr="002F1511" w:rsidRDefault="002F1511" w:rsidP="002F1511"/>
    <w:p w:rsidR="002F1511" w:rsidRDefault="002F1511">
      <w:pPr>
        <w:tabs>
          <w:tab w:val="clear" w:pos="567"/>
          <w:tab w:val="clear" w:pos="1134"/>
          <w:tab w:val="clear" w:pos="1701"/>
          <w:tab w:val="clear" w:pos="2268"/>
          <w:tab w:val="clear" w:pos="2835"/>
        </w:tabs>
        <w:overflowPunct/>
        <w:autoSpaceDE/>
        <w:autoSpaceDN/>
        <w:adjustRightInd/>
        <w:spacing w:before="0" w:after="160" w:line="259" w:lineRule="auto"/>
        <w:textAlignment w:val="auto"/>
      </w:pPr>
      <w:r>
        <w:br w:type="page"/>
      </w:r>
    </w:p>
    <w:p w:rsidR="000E0778" w:rsidRPr="006E269C" w:rsidRDefault="000E0778" w:rsidP="000E0778">
      <w:pPr>
        <w:pStyle w:val="Title1"/>
      </w:pPr>
      <w:r w:rsidRPr="006E269C">
        <w:lastRenderedPageBreak/>
        <w:t>CONTRIBUTION FROM THE REPUBLIC</w:t>
      </w:r>
      <w:r>
        <w:t xml:space="preserve"> OF BULGARIA, </w:t>
      </w:r>
      <w:r w:rsidRPr="006E269C">
        <w:t xml:space="preserve">THE </w:t>
      </w:r>
      <w:r>
        <w:t xml:space="preserve">REPUBLIC OF LITHUANIA, THE REPUBLIC OF POLAND, PORTUGAL, SPAIN, THE CONFEDERATION OF SWITZERLAND, </w:t>
      </w:r>
      <w:r w:rsidRPr="006E269C">
        <w:t xml:space="preserve">THE CZECH REPUBLIC </w:t>
      </w:r>
      <w:r>
        <w:t>AND ROMANIA</w:t>
      </w:r>
    </w:p>
    <w:p w:rsidR="000E0778" w:rsidRDefault="000E0778" w:rsidP="000E0778">
      <w:pPr>
        <w:pStyle w:val="Title1"/>
      </w:pPr>
      <w:r w:rsidRPr="006E269C">
        <w:t xml:space="preserve">PROPOSAL ON </w:t>
      </w:r>
      <w:r>
        <w:t xml:space="preserve">THE </w:t>
      </w:r>
      <w:r w:rsidRPr="006E269C">
        <w:t>INTRODUCTION</w:t>
      </w:r>
      <w:r>
        <w:t xml:space="preserve"> OF HEARING FOR THE ITU ELECTED </w:t>
      </w:r>
      <w:r w:rsidRPr="006E269C">
        <w:t>OFFICIALS</w:t>
      </w:r>
    </w:p>
    <w:p w:rsidR="00945C79" w:rsidRPr="000D04F8" w:rsidRDefault="00945C79" w:rsidP="00945C79"/>
    <w:p w:rsidR="00945C79" w:rsidRPr="000D04F8" w:rsidRDefault="00945C79" w:rsidP="00945C79">
      <w:pPr>
        <w:pStyle w:val="Heading1"/>
        <w:rPr>
          <w:sz w:val="24"/>
          <w:szCs w:val="24"/>
        </w:rPr>
      </w:pPr>
      <w:r w:rsidRPr="000D04F8">
        <w:rPr>
          <w:sz w:val="24"/>
          <w:szCs w:val="24"/>
        </w:rPr>
        <w:t>1</w:t>
      </w:r>
      <w:r w:rsidRPr="000D04F8">
        <w:rPr>
          <w:sz w:val="24"/>
          <w:szCs w:val="24"/>
        </w:rPr>
        <w:tab/>
        <w:t>Introduction</w:t>
      </w:r>
      <w:r>
        <w:rPr>
          <w:sz w:val="24"/>
          <w:szCs w:val="24"/>
        </w:rPr>
        <w:t>, background and analysis</w:t>
      </w:r>
    </w:p>
    <w:p w:rsidR="00945C79" w:rsidRPr="00C521DC" w:rsidRDefault="00945C79" w:rsidP="00E50829">
      <w:p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rPr>
          <w:szCs w:val="24"/>
          <w:lang w:val="lt-LT" w:eastAsia="lt-LT"/>
        </w:rPr>
      </w:pPr>
      <w:r w:rsidRPr="00C521DC">
        <w:rPr>
          <w:szCs w:val="24"/>
          <w:lang w:val="en-US" w:eastAsia="lt-LT"/>
        </w:rPr>
        <w:t xml:space="preserve">ITU Council </w:t>
      </w:r>
      <w:r>
        <w:rPr>
          <w:szCs w:val="24"/>
          <w:lang w:val="bg-BG" w:eastAsia="lt-LT"/>
        </w:rPr>
        <w:t xml:space="preserve">2016 </w:t>
      </w:r>
      <w:r w:rsidR="003421CD">
        <w:rPr>
          <w:szCs w:val="24"/>
          <w:lang w:val="en-US" w:eastAsia="lt-LT"/>
        </w:rPr>
        <w:t xml:space="preserve">was </w:t>
      </w:r>
      <w:r w:rsidRPr="00C521DC">
        <w:rPr>
          <w:szCs w:val="24"/>
          <w:lang w:val="en-US" w:eastAsia="lt-LT"/>
        </w:rPr>
        <w:t xml:space="preserve">invited to initiate </w:t>
      </w:r>
      <w:r>
        <w:rPr>
          <w:szCs w:val="24"/>
          <w:lang w:val="en-US" w:eastAsia="lt-LT"/>
        </w:rPr>
        <w:t xml:space="preserve">a </w:t>
      </w:r>
      <w:r w:rsidRPr="00C521DC">
        <w:rPr>
          <w:szCs w:val="24"/>
          <w:lang w:val="en-US" w:eastAsia="lt-LT"/>
        </w:rPr>
        <w:t>study on how to improve electoral process</w:t>
      </w:r>
      <w:r>
        <w:rPr>
          <w:szCs w:val="24"/>
          <w:lang w:val="en-US" w:eastAsia="lt-LT"/>
        </w:rPr>
        <w:t>. In this relation</w:t>
      </w:r>
      <w:r w:rsidRPr="00C521DC">
        <w:rPr>
          <w:szCs w:val="24"/>
          <w:lang w:val="en-US" w:eastAsia="lt-LT"/>
        </w:rPr>
        <w:t xml:space="preserve"> ITU Members were discu</w:t>
      </w:r>
      <w:r w:rsidR="00E33EA4">
        <w:rPr>
          <w:szCs w:val="24"/>
          <w:lang w:val="en-US" w:eastAsia="lt-LT"/>
        </w:rPr>
        <w:t>s</w:t>
      </w:r>
      <w:r w:rsidR="00E50829">
        <w:rPr>
          <w:szCs w:val="24"/>
          <w:lang w:val="en-US" w:eastAsia="lt-LT"/>
        </w:rPr>
        <w:t>sing a possibility to create a dedicated</w:t>
      </w:r>
      <w:r w:rsidRPr="00C521DC">
        <w:rPr>
          <w:szCs w:val="24"/>
          <w:lang w:val="en-US" w:eastAsia="lt-LT"/>
        </w:rPr>
        <w:t xml:space="preserve"> online space for campaign material</w:t>
      </w:r>
      <w:r w:rsidR="00E33EA4">
        <w:rPr>
          <w:szCs w:val="24"/>
          <w:lang w:val="en-US" w:eastAsia="lt-LT"/>
        </w:rPr>
        <w:t xml:space="preserve"> (PDF, </w:t>
      </w:r>
      <w:r w:rsidR="00E33EA4" w:rsidRPr="00C521DC">
        <w:rPr>
          <w:szCs w:val="24"/>
          <w:lang w:val="en-US" w:eastAsia="lt-LT"/>
        </w:rPr>
        <w:t>video</w:t>
      </w:r>
      <w:r w:rsidR="00E33EA4">
        <w:rPr>
          <w:szCs w:val="24"/>
          <w:lang w:val="en-US" w:eastAsia="lt-LT"/>
        </w:rPr>
        <w:t>, etc.) of the candidates</w:t>
      </w:r>
      <w:r w:rsidRPr="00C521DC">
        <w:rPr>
          <w:szCs w:val="24"/>
          <w:lang w:val="en-US" w:eastAsia="lt-LT"/>
        </w:rPr>
        <w:t xml:space="preserve">, so that </w:t>
      </w:r>
      <w:r w:rsidR="00E33EA4">
        <w:rPr>
          <w:szCs w:val="24"/>
          <w:lang w:val="en-US" w:eastAsia="lt-LT"/>
        </w:rPr>
        <w:t>stakeholders could access i</w:t>
      </w:r>
      <w:r w:rsidRPr="00C521DC">
        <w:rPr>
          <w:szCs w:val="24"/>
          <w:lang w:val="en-US" w:eastAsia="lt-LT"/>
        </w:rPr>
        <w:t xml:space="preserve">nformation about </w:t>
      </w:r>
      <w:r w:rsidR="00E33EA4">
        <w:rPr>
          <w:szCs w:val="24"/>
          <w:lang w:val="en-US" w:eastAsia="lt-LT"/>
        </w:rPr>
        <w:t xml:space="preserve">the </w:t>
      </w:r>
      <w:r w:rsidRPr="00C521DC">
        <w:rPr>
          <w:szCs w:val="24"/>
          <w:lang w:val="en-US" w:eastAsia="lt-LT"/>
        </w:rPr>
        <w:t>candidates electronically.</w:t>
      </w:r>
    </w:p>
    <w:p w:rsidR="00945C79" w:rsidRDefault="00945C79" w:rsidP="00E33EA4">
      <w:p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rPr>
          <w:szCs w:val="24"/>
          <w:lang w:val="en-US" w:eastAsia="lt-LT"/>
        </w:rPr>
      </w:pPr>
      <w:r w:rsidRPr="00C521DC">
        <w:rPr>
          <w:szCs w:val="24"/>
          <w:lang w:val="en-US" w:eastAsia="lt-LT"/>
        </w:rPr>
        <w:t xml:space="preserve">During the previous discussions </w:t>
      </w:r>
      <w:r w:rsidR="00E33EA4">
        <w:rPr>
          <w:szCs w:val="24"/>
          <w:lang w:val="en-US" w:eastAsia="lt-LT"/>
        </w:rPr>
        <w:t xml:space="preserve">ITU </w:t>
      </w:r>
      <w:r w:rsidRPr="00C521DC">
        <w:rPr>
          <w:szCs w:val="24"/>
          <w:lang w:val="en-US" w:eastAsia="lt-LT"/>
        </w:rPr>
        <w:t xml:space="preserve">Member States </w:t>
      </w:r>
      <w:r w:rsidR="00E33EA4">
        <w:rPr>
          <w:szCs w:val="24"/>
          <w:lang w:val="en-US" w:eastAsia="lt-LT"/>
        </w:rPr>
        <w:t xml:space="preserve">have </w:t>
      </w:r>
      <w:r w:rsidRPr="00C521DC">
        <w:rPr>
          <w:szCs w:val="24"/>
          <w:lang w:val="en-US" w:eastAsia="lt-LT"/>
        </w:rPr>
        <w:t xml:space="preserve">supported </w:t>
      </w:r>
      <w:r>
        <w:rPr>
          <w:szCs w:val="24"/>
          <w:lang w:val="en-US" w:eastAsia="lt-LT"/>
        </w:rPr>
        <w:t>the</w:t>
      </w:r>
      <w:r w:rsidR="00E33EA4">
        <w:rPr>
          <w:szCs w:val="24"/>
          <w:lang w:val="en-US" w:eastAsia="lt-LT"/>
        </w:rPr>
        <w:t xml:space="preserve"> idea on</w:t>
      </w:r>
      <w:r>
        <w:rPr>
          <w:szCs w:val="24"/>
          <w:lang w:val="en-US" w:eastAsia="lt-LT"/>
        </w:rPr>
        <w:t xml:space="preserve"> </w:t>
      </w:r>
      <w:r w:rsidRPr="00C521DC">
        <w:rPr>
          <w:szCs w:val="24"/>
          <w:lang w:val="en-US" w:eastAsia="lt-LT"/>
        </w:rPr>
        <w:t xml:space="preserve">holding </w:t>
      </w:r>
      <w:r>
        <w:rPr>
          <w:szCs w:val="24"/>
          <w:lang w:val="en-US" w:eastAsia="lt-LT"/>
        </w:rPr>
        <w:t xml:space="preserve">of </w:t>
      </w:r>
      <w:r w:rsidRPr="00C521DC">
        <w:rPr>
          <w:szCs w:val="24"/>
          <w:lang w:val="en-US" w:eastAsia="lt-LT"/>
        </w:rPr>
        <w:t>candidates’ for</w:t>
      </w:r>
      <w:r>
        <w:rPr>
          <w:szCs w:val="24"/>
          <w:lang w:val="en-US" w:eastAsia="lt-LT"/>
        </w:rPr>
        <w:t>a</w:t>
      </w:r>
      <w:r w:rsidRPr="00C521DC">
        <w:rPr>
          <w:szCs w:val="24"/>
          <w:lang w:val="en-US" w:eastAsia="lt-LT"/>
        </w:rPr>
        <w:t xml:space="preserve"> (hearings)</w:t>
      </w:r>
      <w:r w:rsidR="00E33EA4">
        <w:rPr>
          <w:szCs w:val="24"/>
          <w:lang w:val="en-US" w:eastAsia="lt-LT"/>
        </w:rPr>
        <w:t>. A</w:t>
      </w:r>
      <w:r>
        <w:rPr>
          <w:szCs w:val="24"/>
          <w:lang w:val="en-US" w:eastAsia="lt-LT"/>
        </w:rPr>
        <w:t xml:space="preserve"> reference and good example in this regard is the </w:t>
      </w:r>
      <w:r w:rsidRPr="00C521DC">
        <w:rPr>
          <w:szCs w:val="24"/>
          <w:lang w:val="en-US" w:eastAsia="lt-LT"/>
        </w:rPr>
        <w:t xml:space="preserve">practice of </w:t>
      </w:r>
      <w:r>
        <w:rPr>
          <w:szCs w:val="24"/>
          <w:lang w:val="en-US" w:eastAsia="lt-LT"/>
        </w:rPr>
        <w:t xml:space="preserve">other </w:t>
      </w:r>
      <w:r w:rsidRPr="00C521DC">
        <w:rPr>
          <w:szCs w:val="24"/>
          <w:lang w:val="en-US" w:eastAsia="lt-LT"/>
        </w:rPr>
        <w:t>international organizations that ITU could follow</w:t>
      </w:r>
      <w:r w:rsidR="00E33EA4">
        <w:rPr>
          <w:szCs w:val="24"/>
          <w:lang w:val="en-US" w:eastAsia="lt-LT"/>
        </w:rPr>
        <w:t xml:space="preserve"> (see information below)</w:t>
      </w:r>
      <w:r w:rsidRPr="00C521DC">
        <w:rPr>
          <w:szCs w:val="24"/>
          <w:lang w:val="en-US" w:eastAsia="lt-LT"/>
        </w:rPr>
        <w:t xml:space="preserve">. </w:t>
      </w:r>
    </w:p>
    <w:p w:rsidR="00945C79" w:rsidRDefault="003421CD" w:rsidP="00945C79">
      <w:p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
        <w:t xml:space="preserve">Furthermore, </w:t>
      </w:r>
      <w:r w:rsidR="00945C79">
        <w:t>PP-14 recognised the des</w:t>
      </w:r>
      <w:r w:rsidR="00E33EA4">
        <w:t>ire</w:t>
      </w:r>
      <w:r w:rsidR="00945C79">
        <w:t xml:space="preserve"> to improve the electoral process of the elected officials in the Union (Document 175, Recommendation 8). It instructed Council to initiate studies on the issue and to recommend to Member States options for implementing new procedures to improve the electoral process of Secretary-General, Deputy Secretary-General and Directors of the Bureaux. PP-14 invited Council to give due consideration to several options such as presentations, interactive sessions, live sessions, interviews, submission of questions, through webcasting and remote participation, as well as further enhancing the election portal in the ITU website.</w:t>
      </w:r>
    </w:p>
    <w:p w:rsidR="00945C79" w:rsidRPr="003421CD" w:rsidRDefault="00945C79" w:rsidP="00E33EA4">
      <w:pPr>
        <w:tabs>
          <w:tab w:val="clear" w:pos="567"/>
          <w:tab w:val="clear" w:pos="1134"/>
          <w:tab w:val="clear" w:pos="1701"/>
          <w:tab w:val="clear" w:pos="2268"/>
          <w:tab w:val="clear" w:pos="2835"/>
        </w:tabs>
        <w:overflowPunct/>
        <w:autoSpaceDE/>
        <w:autoSpaceDN/>
        <w:adjustRightInd/>
        <w:spacing w:before="0"/>
        <w:jc w:val="both"/>
        <w:textAlignment w:val="auto"/>
        <w:rPr>
          <w:szCs w:val="24"/>
          <w:lang w:val="lt-LT" w:eastAsia="lt-LT"/>
        </w:rPr>
      </w:pPr>
      <w:r w:rsidRPr="003421CD">
        <w:rPr>
          <w:szCs w:val="24"/>
          <w:lang w:val="lt-LT" w:eastAsia="lt-LT"/>
        </w:rPr>
        <w:t>T</w:t>
      </w:r>
      <w:r w:rsidRPr="003421CD">
        <w:rPr>
          <w:szCs w:val="24"/>
          <w:lang w:val="en-US" w:eastAsia="lt-LT"/>
        </w:rPr>
        <w:t>he envisaged value of the hearing of candidates for the ITU elected positions:</w:t>
      </w:r>
    </w:p>
    <w:p w:rsidR="00945C79" w:rsidRPr="00C521DC" w:rsidRDefault="00945C79" w:rsidP="000E0778">
      <w:pPr>
        <w:numPr>
          <w:ilvl w:val="0"/>
          <w:numId w:val="2"/>
        </w:numPr>
        <w:tabs>
          <w:tab w:val="clear" w:pos="567"/>
          <w:tab w:val="clear" w:pos="1134"/>
          <w:tab w:val="clear" w:pos="1701"/>
          <w:tab w:val="clear" w:pos="2268"/>
          <w:tab w:val="clear" w:pos="2835"/>
        </w:tabs>
        <w:overflowPunct/>
        <w:autoSpaceDE/>
        <w:autoSpaceDN/>
        <w:adjustRightInd/>
        <w:ind w:left="714" w:hanging="357"/>
        <w:jc w:val="both"/>
        <w:textAlignment w:val="auto"/>
        <w:rPr>
          <w:szCs w:val="24"/>
          <w:lang w:val="lt-LT" w:eastAsia="lt-LT"/>
        </w:rPr>
      </w:pPr>
      <w:r>
        <w:rPr>
          <w:szCs w:val="24"/>
          <w:lang w:val="en-US" w:eastAsia="lt-LT"/>
        </w:rPr>
        <w:t>Improved t</w:t>
      </w:r>
      <w:r w:rsidRPr="00C521DC">
        <w:rPr>
          <w:szCs w:val="24"/>
          <w:lang w:val="en-US" w:eastAsia="lt-LT"/>
        </w:rPr>
        <w:t>ransparency and openness of the ITU;</w:t>
      </w:r>
    </w:p>
    <w:p w:rsidR="00945C79" w:rsidRPr="00C521DC" w:rsidRDefault="00945C79" w:rsidP="00945C79">
      <w:pPr>
        <w:numPr>
          <w:ilvl w:val="0"/>
          <w:numId w:val="2"/>
        </w:num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rPr>
          <w:szCs w:val="24"/>
          <w:lang w:val="lt-LT" w:eastAsia="lt-LT"/>
        </w:rPr>
      </w:pPr>
      <w:r w:rsidRPr="00C521DC">
        <w:rPr>
          <w:szCs w:val="24"/>
          <w:lang w:val="en-US" w:eastAsia="lt-LT"/>
        </w:rPr>
        <w:t>Value for ITU members</w:t>
      </w:r>
      <w:r w:rsidR="003421CD">
        <w:rPr>
          <w:szCs w:val="24"/>
          <w:lang w:val="en-US" w:eastAsia="lt-LT"/>
        </w:rPr>
        <w:t>hip</w:t>
      </w:r>
      <w:r w:rsidRPr="00C521DC">
        <w:rPr>
          <w:szCs w:val="24"/>
          <w:lang w:val="en-US" w:eastAsia="lt-LT"/>
        </w:rPr>
        <w:t xml:space="preserve"> (including Ministries of Foreign </w:t>
      </w:r>
      <w:r>
        <w:rPr>
          <w:szCs w:val="24"/>
          <w:lang w:val="en-US" w:eastAsia="lt-LT"/>
        </w:rPr>
        <w:t>A</w:t>
      </w:r>
      <w:r w:rsidRPr="00C521DC">
        <w:rPr>
          <w:szCs w:val="24"/>
          <w:lang w:val="en-US" w:eastAsia="lt-LT"/>
        </w:rPr>
        <w:t>ffairs, etc.) in making informed decisions about candidates;</w:t>
      </w:r>
    </w:p>
    <w:p w:rsidR="00945C79" w:rsidRPr="00C521DC" w:rsidRDefault="00945C79" w:rsidP="00945C79">
      <w:pPr>
        <w:numPr>
          <w:ilvl w:val="0"/>
          <w:numId w:val="2"/>
        </w:num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rPr>
          <w:szCs w:val="24"/>
          <w:lang w:val="lt-LT" w:eastAsia="lt-LT"/>
        </w:rPr>
      </w:pPr>
      <w:r w:rsidRPr="00C521DC">
        <w:rPr>
          <w:szCs w:val="24"/>
          <w:lang w:val="en-US" w:eastAsia="lt-LT"/>
        </w:rPr>
        <w:t>Possibility to review candidates work</w:t>
      </w:r>
      <w:r w:rsidR="003421CD">
        <w:rPr>
          <w:szCs w:val="24"/>
          <w:lang w:val="en-US" w:eastAsia="lt-LT"/>
        </w:rPr>
        <w:t xml:space="preserve"> a</w:t>
      </w:r>
      <w:r w:rsidR="00E50829">
        <w:rPr>
          <w:szCs w:val="24"/>
          <w:lang w:val="en-US" w:eastAsia="lt-LT"/>
        </w:rPr>
        <w:t>n</w:t>
      </w:r>
      <w:r w:rsidR="003421CD">
        <w:rPr>
          <w:szCs w:val="24"/>
          <w:lang w:val="en-US" w:eastAsia="lt-LT"/>
        </w:rPr>
        <w:t>d achievements</w:t>
      </w:r>
      <w:r w:rsidRPr="00C521DC">
        <w:rPr>
          <w:szCs w:val="24"/>
          <w:lang w:val="en-US" w:eastAsia="lt-LT"/>
        </w:rPr>
        <w:t xml:space="preserve"> when (s)he runs for </w:t>
      </w:r>
      <w:r>
        <w:rPr>
          <w:szCs w:val="24"/>
          <w:lang w:val="en-US" w:eastAsia="lt-LT"/>
        </w:rPr>
        <w:t>a</w:t>
      </w:r>
      <w:r w:rsidRPr="00C521DC">
        <w:rPr>
          <w:szCs w:val="24"/>
          <w:lang w:val="en-US" w:eastAsia="lt-LT"/>
        </w:rPr>
        <w:t xml:space="preserve"> 2</w:t>
      </w:r>
      <w:r w:rsidRPr="00C521DC">
        <w:rPr>
          <w:szCs w:val="24"/>
          <w:vertAlign w:val="superscript"/>
          <w:lang w:val="en-US" w:eastAsia="lt-LT"/>
        </w:rPr>
        <w:t>nd</w:t>
      </w:r>
      <w:r w:rsidRPr="00C521DC">
        <w:rPr>
          <w:szCs w:val="24"/>
          <w:lang w:val="en-US" w:eastAsia="lt-LT"/>
        </w:rPr>
        <w:t xml:space="preserve"> term; </w:t>
      </w:r>
    </w:p>
    <w:p w:rsidR="00945C79" w:rsidRPr="00C521DC" w:rsidRDefault="00945C79" w:rsidP="00945C79">
      <w:pPr>
        <w:numPr>
          <w:ilvl w:val="0"/>
          <w:numId w:val="2"/>
        </w:num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rPr>
          <w:szCs w:val="24"/>
          <w:lang w:val="lt-LT" w:eastAsia="lt-LT"/>
        </w:rPr>
      </w:pPr>
      <w:r w:rsidRPr="00C521DC">
        <w:rPr>
          <w:szCs w:val="24"/>
          <w:lang w:val="en-US" w:eastAsia="lt-LT"/>
        </w:rPr>
        <w:t>Possibility for inclu</w:t>
      </w:r>
      <w:r w:rsidR="00E33EA4">
        <w:rPr>
          <w:szCs w:val="24"/>
          <w:lang w:val="en-US" w:eastAsia="lt-LT"/>
        </w:rPr>
        <w:t>siveness by webcasting hearings.</w:t>
      </w:r>
    </w:p>
    <w:p w:rsidR="00945C79" w:rsidRPr="003421CD" w:rsidRDefault="00945C79" w:rsidP="00E33EA4">
      <w:pPr>
        <w:tabs>
          <w:tab w:val="clear" w:pos="567"/>
          <w:tab w:val="clear" w:pos="1134"/>
          <w:tab w:val="clear" w:pos="1701"/>
          <w:tab w:val="clear" w:pos="2268"/>
          <w:tab w:val="clear" w:pos="2835"/>
        </w:tabs>
        <w:overflowPunct/>
        <w:autoSpaceDE/>
        <w:autoSpaceDN/>
        <w:adjustRightInd/>
        <w:spacing w:before="0"/>
        <w:jc w:val="both"/>
        <w:textAlignment w:val="auto"/>
        <w:rPr>
          <w:szCs w:val="24"/>
          <w:lang w:val="lt-LT" w:eastAsia="lt-LT"/>
        </w:rPr>
      </w:pPr>
      <w:r w:rsidRPr="003421CD">
        <w:rPr>
          <w:szCs w:val="24"/>
          <w:lang w:val="en-US" w:eastAsia="lt-LT"/>
        </w:rPr>
        <w:t>Practice of the International Organizations that practice hearings in their election systems:</w:t>
      </w:r>
    </w:p>
    <w:p w:rsidR="00945C79" w:rsidRPr="00C521DC" w:rsidRDefault="00945C79" w:rsidP="0049034A">
      <w:pPr>
        <w:numPr>
          <w:ilvl w:val="0"/>
          <w:numId w:val="1"/>
        </w:numPr>
        <w:tabs>
          <w:tab w:val="clear" w:pos="567"/>
          <w:tab w:val="clear" w:pos="1134"/>
          <w:tab w:val="clear" w:pos="1701"/>
          <w:tab w:val="clear" w:pos="2268"/>
          <w:tab w:val="clear" w:pos="2835"/>
        </w:tabs>
        <w:overflowPunct/>
        <w:autoSpaceDE/>
        <w:autoSpaceDN/>
        <w:adjustRightInd/>
        <w:spacing w:before="0"/>
        <w:jc w:val="both"/>
        <w:textAlignment w:val="auto"/>
        <w:rPr>
          <w:szCs w:val="24"/>
          <w:lang w:val="lt-LT" w:eastAsia="lt-LT"/>
        </w:rPr>
      </w:pPr>
      <w:r w:rsidRPr="00C521DC">
        <w:rPr>
          <w:i/>
          <w:iCs/>
          <w:szCs w:val="24"/>
          <w:lang w:val="en-US" w:eastAsia="lt-LT"/>
        </w:rPr>
        <w:t>United Nations (</w:t>
      </w:r>
      <w:r w:rsidRPr="003421CD">
        <w:rPr>
          <w:i/>
          <w:iCs/>
          <w:szCs w:val="24"/>
          <w:lang w:val="en-US" w:eastAsia="lt-LT"/>
        </w:rPr>
        <w:t>UN</w:t>
      </w:r>
      <w:r w:rsidRPr="00C521DC">
        <w:rPr>
          <w:i/>
          <w:iCs/>
          <w:szCs w:val="24"/>
          <w:lang w:val="en-US" w:eastAsia="lt-LT"/>
        </w:rPr>
        <w:t>)</w:t>
      </w:r>
      <w:r w:rsidRPr="00C521DC">
        <w:rPr>
          <w:szCs w:val="24"/>
          <w:lang w:val="en-US" w:eastAsia="lt-LT"/>
        </w:rPr>
        <w:t xml:space="preserve">: during the last election, candidates for </w:t>
      </w:r>
      <w:r w:rsidR="0049034A">
        <w:t>Secretary-General</w:t>
      </w:r>
      <w:r w:rsidRPr="00C521DC">
        <w:rPr>
          <w:szCs w:val="24"/>
          <w:lang w:val="en-US" w:eastAsia="lt-LT"/>
        </w:rPr>
        <w:t xml:space="preserve"> participate on a three-day hearings/Q&amp;A at the G</w:t>
      </w:r>
      <w:r w:rsidR="0049034A">
        <w:rPr>
          <w:szCs w:val="24"/>
          <w:lang w:val="en-US" w:eastAsia="lt-LT"/>
        </w:rPr>
        <w:t xml:space="preserve">eneral </w:t>
      </w:r>
      <w:r w:rsidRPr="00C521DC">
        <w:rPr>
          <w:szCs w:val="24"/>
          <w:lang w:val="en-US" w:eastAsia="lt-LT"/>
        </w:rPr>
        <w:t>A</w:t>
      </w:r>
      <w:r w:rsidR="0049034A">
        <w:rPr>
          <w:szCs w:val="24"/>
          <w:lang w:val="en-US" w:eastAsia="lt-LT"/>
        </w:rPr>
        <w:t>ssembly</w:t>
      </w:r>
      <w:r w:rsidRPr="00C521DC">
        <w:rPr>
          <w:szCs w:val="24"/>
          <w:lang w:val="en-US" w:eastAsia="lt-LT"/>
        </w:rPr>
        <w:t>, even though the appointment is done by the Security Council.</w:t>
      </w:r>
      <w:bookmarkStart w:id="2" w:name="_GoBack"/>
      <w:bookmarkEnd w:id="2"/>
    </w:p>
    <w:p w:rsidR="00945C79" w:rsidRPr="00C521DC" w:rsidRDefault="00945C79" w:rsidP="00945C79">
      <w:pPr>
        <w:numPr>
          <w:ilvl w:val="0"/>
          <w:numId w:val="1"/>
        </w:num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rPr>
          <w:szCs w:val="24"/>
          <w:lang w:val="lt-LT" w:eastAsia="lt-LT"/>
        </w:rPr>
      </w:pPr>
      <w:r w:rsidRPr="00C521DC">
        <w:rPr>
          <w:i/>
          <w:iCs/>
          <w:szCs w:val="24"/>
          <w:lang w:val="en-US" w:eastAsia="lt-LT"/>
        </w:rPr>
        <w:t>World Health Organizations (</w:t>
      </w:r>
      <w:r w:rsidRPr="003421CD">
        <w:rPr>
          <w:i/>
          <w:iCs/>
          <w:szCs w:val="24"/>
          <w:lang w:val="en-US" w:eastAsia="lt-LT"/>
        </w:rPr>
        <w:t>WHO</w:t>
      </w:r>
      <w:r w:rsidRPr="00C521DC">
        <w:rPr>
          <w:i/>
          <w:iCs/>
          <w:szCs w:val="24"/>
          <w:lang w:val="en-US" w:eastAsia="lt-LT"/>
        </w:rPr>
        <w:t>)</w:t>
      </w:r>
      <w:r w:rsidRPr="00C521DC">
        <w:rPr>
          <w:szCs w:val="24"/>
          <w:lang w:val="en-US" w:eastAsia="lt-LT"/>
        </w:rPr>
        <w:t>: holds an open forum (webcasted) with all candidates one year before the election, then the WHO elected Executive Board (their Council) short-lists five candidates. Then the executive board interviews these candidates and forwards three to the deciding Assembly.</w:t>
      </w:r>
    </w:p>
    <w:p w:rsidR="00945C79" w:rsidRPr="00C521DC" w:rsidRDefault="00945C79" w:rsidP="00945C79">
      <w:pPr>
        <w:numPr>
          <w:ilvl w:val="0"/>
          <w:numId w:val="1"/>
        </w:num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rPr>
          <w:szCs w:val="24"/>
          <w:lang w:val="lt-LT" w:eastAsia="lt-LT"/>
        </w:rPr>
      </w:pPr>
      <w:r w:rsidRPr="00C521DC">
        <w:rPr>
          <w:i/>
          <w:iCs/>
          <w:szCs w:val="24"/>
          <w:lang w:val="en-US" w:eastAsia="lt-LT"/>
        </w:rPr>
        <w:t>World Trade Organization (</w:t>
      </w:r>
      <w:r w:rsidRPr="003421CD">
        <w:rPr>
          <w:i/>
          <w:iCs/>
          <w:szCs w:val="24"/>
          <w:lang w:val="en-US" w:eastAsia="lt-LT"/>
        </w:rPr>
        <w:t>WTO</w:t>
      </w:r>
      <w:r w:rsidRPr="00C521DC">
        <w:rPr>
          <w:i/>
          <w:iCs/>
          <w:szCs w:val="24"/>
          <w:lang w:val="en-US" w:eastAsia="lt-LT"/>
        </w:rPr>
        <w:t>)</w:t>
      </w:r>
      <w:r w:rsidRPr="00C521DC">
        <w:rPr>
          <w:szCs w:val="24"/>
          <w:lang w:val="en-US" w:eastAsia="lt-LT"/>
        </w:rPr>
        <w:t xml:space="preserve">: candidates make a presentation to the General Council, answer questions, and speak to the press four months before the formal consultations on </w:t>
      </w:r>
      <w:smartTag w:uri="urn:schemas-microsoft-com:office:smarttags" w:element="place">
        <w:smartTag w:uri="urn:schemas-microsoft-com:office:smarttags" w:element="place">
          <w:r w:rsidRPr="00C521DC">
            <w:rPr>
              <w:szCs w:val="24"/>
              <w:lang w:val="en-US" w:eastAsia="lt-LT"/>
            </w:rPr>
            <w:t>Member</w:t>
          </w:r>
        </w:smartTag>
        <w:r w:rsidRPr="00C521DC">
          <w:rPr>
            <w:szCs w:val="24"/>
            <w:lang w:val="en-US" w:eastAsia="lt-LT"/>
          </w:rPr>
          <w:t xml:space="preserve"> </w:t>
        </w:r>
        <w:smartTag w:uri="urn:schemas-microsoft-com:office:smarttags" w:element="place">
          <w:r w:rsidRPr="00C521DC">
            <w:rPr>
              <w:szCs w:val="24"/>
              <w:lang w:val="en-US" w:eastAsia="lt-LT"/>
            </w:rPr>
            <w:t>States</w:t>
          </w:r>
        </w:smartTag>
      </w:smartTag>
      <w:r w:rsidRPr="00C521DC">
        <w:rPr>
          <w:szCs w:val="24"/>
          <w:lang w:val="en-US" w:eastAsia="lt-LT"/>
        </w:rPr>
        <w:t xml:space="preserve"> and the final appointment.</w:t>
      </w:r>
    </w:p>
    <w:p w:rsidR="00945C79" w:rsidRPr="00C521DC" w:rsidRDefault="00945C79" w:rsidP="00945C79">
      <w:pPr>
        <w:numPr>
          <w:ilvl w:val="0"/>
          <w:numId w:val="1"/>
        </w:num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rPr>
          <w:szCs w:val="24"/>
          <w:lang w:val="lt-LT" w:eastAsia="lt-LT"/>
        </w:rPr>
      </w:pPr>
      <w:r w:rsidRPr="00C521DC">
        <w:rPr>
          <w:i/>
          <w:iCs/>
          <w:szCs w:val="24"/>
          <w:lang w:val="en-US" w:eastAsia="lt-LT"/>
        </w:rPr>
        <w:lastRenderedPageBreak/>
        <w:t>International Labor Organization (</w:t>
      </w:r>
      <w:r w:rsidRPr="003421CD">
        <w:rPr>
          <w:i/>
          <w:iCs/>
          <w:szCs w:val="24"/>
          <w:lang w:val="en-US" w:eastAsia="lt-LT"/>
        </w:rPr>
        <w:t>ILO</w:t>
      </w:r>
      <w:r w:rsidRPr="00C521DC">
        <w:rPr>
          <w:i/>
          <w:iCs/>
          <w:szCs w:val="24"/>
          <w:lang w:val="en-US" w:eastAsia="lt-LT"/>
        </w:rPr>
        <w:t>)</w:t>
      </w:r>
      <w:r w:rsidRPr="00C521DC">
        <w:rPr>
          <w:szCs w:val="24"/>
          <w:lang w:val="en-US" w:eastAsia="lt-LT"/>
        </w:rPr>
        <w:t>: candidates make a hearings presentation at the beginning of the Governing Body’s Session that will hold the ballots for election</w:t>
      </w:r>
    </w:p>
    <w:p w:rsidR="00945C79" w:rsidRPr="00C521DC" w:rsidRDefault="00945C79" w:rsidP="00945C79">
      <w:pPr>
        <w:numPr>
          <w:ilvl w:val="0"/>
          <w:numId w:val="1"/>
        </w:num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rPr>
          <w:szCs w:val="24"/>
          <w:lang w:val="lt-LT" w:eastAsia="lt-LT"/>
        </w:rPr>
      </w:pPr>
      <w:r w:rsidRPr="00C521DC">
        <w:rPr>
          <w:i/>
          <w:iCs/>
          <w:szCs w:val="24"/>
          <w:lang w:val="en-US" w:eastAsia="lt-LT"/>
        </w:rPr>
        <w:t>World Bank (</w:t>
      </w:r>
      <w:r w:rsidRPr="003421CD">
        <w:rPr>
          <w:i/>
          <w:iCs/>
          <w:szCs w:val="24"/>
          <w:lang w:val="en-US" w:eastAsia="lt-LT"/>
        </w:rPr>
        <w:t>WB</w:t>
      </w:r>
      <w:r w:rsidRPr="00C521DC">
        <w:rPr>
          <w:i/>
          <w:iCs/>
          <w:szCs w:val="24"/>
          <w:lang w:val="en-US" w:eastAsia="lt-LT"/>
        </w:rPr>
        <w:t>)</w:t>
      </w:r>
      <w:r w:rsidRPr="00C521DC">
        <w:rPr>
          <w:szCs w:val="24"/>
          <w:lang w:val="en-US" w:eastAsia="lt-LT"/>
        </w:rPr>
        <w:t>:  recently had its truly contested election where candidates participated in an unofficial open debate held outside the WB.</w:t>
      </w:r>
    </w:p>
    <w:p w:rsidR="00945C79" w:rsidRPr="00E50829" w:rsidRDefault="00945C79" w:rsidP="00E50829">
      <w:pPr>
        <w:numPr>
          <w:ilvl w:val="0"/>
          <w:numId w:val="1"/>
        </w:numPr>
        <w:tabs>
          <w:tab w:val="clear" w:pos="567"/>
          <w:tab w:val="clear" w:pos="1134"/>
          <w:tab w:val="clear" w:pos="1701"/>
          <w:tab w:val="clear" w:pos="2268"/>
          <w:tab w:val="clear" w:pos="2835"/>
        </w:tabs>
        <w:overflowPunct/>
        <w:autoSpaceDE/>
        <w:autoSpaceDN/>
        <w:adjustRightInd/>
        <w:spacing w:before="0"/>
        <w:jc w:val="both"/>
        <w:textAlignment w:val="auto"/>
        <w:rPr>
          <w:szCs w:val="24"/>
          <w:lang w:val="lt-LT" w:eastAsia="lt-LT"/>
        </w:rPr>
      </w:pPr>
      <w:r w:rsidRPr="00C521DC">
        <w:rPr>
          <w:i/>
          <w:iCs/>
          <w:szCs w:val="24"/>
          <w:lang w:val="en-US" w:eastAsia="lt-LT"/>
        </w:rPr>
        <w:t>International Civil Aviation Organization (</w:t>
      </w:r>
      <w:r w:rsidRPr="003421CD">
        <w:rPr>
          <w:i/>
          <w:iCs/>
          <w:szCs w:val="24"/>
          <w:lang w:val="en-US" w:eastAsia="lt-LT"/>
        </w:rPr>
        <w:t>ICAO</w:t>
      </w:r>
      <w:r w:rsidRPr="00C521DC">
        <w:rPr>
          <w:i/>
          <w:iCs/>
          <w:szCs w:val="24"/>
          <w:lang w:val="en-US" w:eastAsia="lt-LT"/>
        </w:rPr>
        <w:t>)</w:t>
      </w:r>
      <w:r w:rsidRPr="00C521DC">
        <w:rPr>
          <w:szCs w:val="24"/>
          <w:lang w:val="en-US" w:eastAsia="lt-LT"/>
        </w:rPr>
        <w:t>: no information on hearings, but useful as a benchmark for electronic voting.</w:t>
      </w:r>
    </w:p>
    <w:p w:rsidR="00E50829" w:rsidRDefault="00E50829" w:rsidP="00E50829">
      <w:pPr>
        <w:tabs>
          <w:tab w:val="clear" w:pos="567"/>
          <w:tab w:val="clear" w:pos="1134"/>
          <w:tab w:val="clear" w:pos="1701"/>
          <w:tab w:val="clear" w:pos="2268"/>
          <w:tab w:val="clear" w:pos="2835"/>
        </w:tabs>
        <w:overflowPunct/>
        <w:autoSpaceDE/>
        <w:autoSpaceDN/>
        <w:adjustRightInd/>
        <w:spacing w:before="0"/>
        <w:jc w:val="both"/>
        <w:textAlignment w:val="auto"/>
        <w:rPr>
          <w:szCs w:val="24"/>
          <w:lang w:val="lt-LT" w:eastAsia="lt-LT"/>
        </w:rPr>
      </w:pPr>
    </w:p>
    <w:p w:rsidR="00E50829" w:rsidRPr="00C521DC" w:rsidRDefault="00E50829" w:rsidP="00E50829">
      <w:pPr>
        <w:tabs>
          <w:tab w:val="clear" w:pos="567"/>
          <w:tab w:val="clear" w:pos="1134"/>
          <w:tab w:val="clear" w:pos="1701"/>
          <w:tab w:val="clear" w:pos="2268"/>
          <w:tab w:val="clear" w:pos="2835"/>
        </w:tabs>
        <w:overflowPunct/>
        <w:autoSpaceDE/>
        <w:autoSpaceDN/>
        <w:adjustRightInd/>
        <w:spacing w:before="0"/>
        <w:jc w:val="both"/>
        <w:textAlignment w:val="auto"/>
        <w:rPr>
          <w:szCs w:val="24"/>
          <w:lang w:val="lt-LT" w:eastAsia="lt-LT"/>
        </w:rPr>
      </w:pPr>
    </w:p>
    <w:p w:rsidR="00945C79" w:rsidRPr="000D04F8" w:rsidRDefault="00945C79" w:rsidP="00E50829">
      <w:pPr>
        <w:pStyle w:val="Heading1"/>
        <w:spacing w:before="0"/>
        <w:rPr>
          <w:sz w:val="24"/>
          <w:szCs w:val="24"/>
        </w:rPr>
      </w:pPr>
      <w:r w:rsidRPr="000D04F8">
        <w:rPr>
          <w:sz w:val="24"/>
          <w:szCs w:val="24"/>
        </w:rPr>
        <w:t>2</w:t>
      </w:r>
      <w:r w:rsidRPr="000D04F8">
        <w:rPr>
          <w:sz w:val="24"/>
          <w:szCs w:val="24"/>
        </w:rPr>
        <w:tab/>
        <w:t>Proposal</w:t>
      </w:r>
    </w:p>
    <w:p w:rsidR="00945C79" w:rsidRPr="000D04F8" w:rsidRDefault="003421CD" w:rsidP="00945C79">
      <w:pPr>
        <w:keepLines/>
        <w:jc w:val="both"/>
        <w:rPr>
          <w:szCs w:val="24"/>
        </w:rPr>
      </w:pPr>
      <w:r>
        <w:rPr>
          <w:szCs w:val="24"/>
        </w:rPr>
        <w:t xml:space="preserve">The </w:t>
      </w:r>
      <w:r w:rsidR="00945C79" w:rsidRPr="000D04F8">
        <w:rPr>
          <w:szCs w:val="24"/>
        </w:rPr>
        <w:t xml:space="preserve">Council instructs the Secretary-General to submit to the 2018 ordinary session of </w:t>
      </w:r>
      <w:r>
        <w:rPr>
          <w:szCs w:val="24"/>
        </w:rPr>
        <w:t xml:space="preserve">the </w:t>
      </w:r>
      <w:r w:rsidR="00945C79" w:rsidRPr="000D04F8">
        <w:rPr>
          <w:szCs w:val="24"/>
        </w:rPr>
        <w:t>Council a concept</w:t>
      </w:r>
      <w:r w:rsidR="00945C79">
        <w:rPr>
          <w:szCs w:val="24"/>
        </w:rPr>
        <w:t xml:space="preserve"> of conducting </w:t>
      </w:r>
      <w:r w:rsidR="00945C79" w:rsidRPr="000D04F8">
        <w:rPr>
          <w:szCs w:val="24"/>
        </w:rPr>
        <w:t>hearing</w:t>
      </w:r>
      <w:r w:rsidR="00945C79">
        <w:rPr>
          <w:szCs w:val="24"/>
        </w:rPr>
        <w:t>s</w:t>
      </w:r>
      <w:r w:rsidR="00945C79" w:rsidRPr="000D04F8">
        <w:rPr>
          <w:szCs w:val="24"/>
        </w:rPr>
        <w:t xml:space="preserve"> of </w:t>
      </w:r>
      <w:r w:rsidR="00945C79">
        <w:rPr>
          <w:szCs w:val="24"/>
        </w:rPr>
        <w:t xml:space="preserve">the </w:t>
      </w:r>
      <w:r w:rsidR="00945C79" w:rsidRPr="000D04F8">
        <w:rPr>
          <w:szCs w:val="24"/>
        </w:rPr>
        <w:t xml:space="preserve">candidates </w:t>
      </w:r>
      <w:r w:rsidR="00945C79">
        <w:rPr>
          <w:szCs w:val="24"/>
        </w:rPr>
        <w:t xml:space="preserve">running </w:t>
      </w:r>
      <w:r w:rsidR="00945C79" w:rsidRPr="000D04F8">
        <w:rPr>
          <w:szCs w:val="24"/>
        </w:rPr>
        <w:t>for elected positions at PP-18 taking into account</w:t>
      </w:r>
      <w:r>
        <w:rPr>
          <w:szCs w:val="24"/>
        </w:rPr>
        <w:t xml:space="preserve"> the consideration in Annex 1 of</w:t>
      </w:r>
      <w:r w:rsidR="00945C79" w:rsidRPr="000D04F8">
        <w:rPr>
          <w:szCs w:val="24"/>
        </w:rPr>
        <w:t xml:space="preserve"> this contribution.</w:t>
      </w:r>
    </w:p>
    <w:p w:rsidR="00945C79" w:rsidRPr="000D04F8" w:rsidRDefault="003421CD" w:rsidP="00945C79">
      <w:pPr>
        <w:keepLines/>
        <w:jc w:val="both"/>
        <w:rPr>
          <w:szCs w:val="24"/>
        </w:rPr>
      </w:pPr>
      <w:r>
        <w:rPr>
          <w:szCs w:val="24"/>
        </w:rPr>
        <w:t xml:space="preserve">The </w:t>
      </w:r>
      <w:r w:rsidR="00945C79" w:rsidRPr="000D04F8">
        <w:rPr>
          <w:szCs w:val="24"/>
        </w:rPr>
        <w:t>Council instructs the Secretary-General to submit the draft of the concept to CWG-FHR at its meeting in the beginning of 2018 and invites the CWG-FHR</w:t>
      </w:r>
      <w:r w:rsidR="00945C79">
        <w:rPr>
          <w:szCs w:val="24"/>
        </w:rPr>
        <w:t xml:space="preserve"> </w:t>
      </w:r>
      <w:r w:rsidR="00945C79" w:rsidRPr="000D04F8">
        <w:rPr>
          <w:szCs w:val="24"/>
        </w:rPr>
        <w:t>worki</w:t>
      </w:r>
      <w:r>
        <w:rPr>
          <w:szCs w:val="24"/>
        </w:rPr>
        <w:t>ng group to bring its comments, if any,</w:t>
      </w:r>
      <w:r w:rsidR="00945C79" w:rsidRPr="000D04F8">
        <w:rPr>
          <w:szCs w:val="24"/>
        </w:rPr>
        <w:t xml:space="preserve"> to the attention of </w:t>
      </w:r>
      <w:r>
        <w:rPr>
          <w:szCs w:val="24"/>
        </w:rPr>
        <w:t xml:space="preserve">the </w:t>
      </w:r>
      <w:r w:rsidR="00945C79" w:rsidRPr="000D04F8">
        <w:rPr>
          <w:szCs w:val="24"/>
        </w:rPr>
        <w:t>Council 2018.</w:t>
      </w:r>
    </w:p>
    <w:p w:rsidR="00B23B66" w:rsidRPr="000D04F8" w:rsidRDefault="00B23B66" w:rsidP="00B23B66">
      <w:pPr>
        <w:rPr>
          <w:rFonts w:asciiTheme="minorHAnsi" w:hAnsiTheme="minorHAnsi"/>
          <w:szCs w:val="24"/>
        </w:rPr>
      </w:pPr>
    </w:p>
    <w:p w:rsidR="000E0778" w:rsidRDefault="000E0778">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asciiTheme="minorHAnsi" w:hAnsiTheme="minorHAnsi"/>
          <w:b/>
          <w:bCs/>
          <w:szCs w:val="24"/>
        </w:rPr>
      </w:pPr>
      <w:r>
        <w:rPr>
          <w:rFonts w:asciiTheme="minorHAnsi" w:hAnsiTheme="minorHAnsi"/>
          <w:b/>
          <w:bCs/>
          <w:szCs w:val="24"/>
        </w:rPr>
        <w:br w:type="page"/>
      </w:r>
    </w:p>
    <w:p w:rsidR="00B23B66" w:rsidRPr="0049034A" w:rsidRDefault="00B23B66" w:rsidP="0049034A">
      <w:pPr>
        <w:spacing w:line="259" w:lineRule="auto"/>
        <w:jc w:val="center"/>
        <w:rPr>
          <w:rFonts w:asciiTheme="minorHAnsi" w:hAnsiTheme="minorHAnsi"/>
          <w:sz w:val="32"/>
          <w:szCs w:val="32"/>
        </w:rPr>
      </w:pPr>
      <w:r w:rsidRPr="0049034A">
        <w:rPr>
          <w:rFonts w:asciiTheme="minorHAnsi" w:hAnsiTheme="minorHAnsi"/>
          <w:sz w:val="32"/>
          <w:szCs w:val="32"/>
        </w:rPr>
        <w:lastRenderedPageBreak/>
        <w:t>A</w:t>
      </w:r>
      <w:r w:rsidR="0049034A" w:rsidRPr="0049034A">
        <w:rPr>
          <w:rFonts w:asciiTheme="minorHAnsi" w:hAnsiTheme="minorHAnsi"/>
          <w:sz w:val="32"/>
          <w:szCs w:val="32"/>
        </w:rPr>
        <w:t>NNEX</w:t>
      </w:r>
      <w:r w:rsidR="002C38E9" w:rsidRPr="0049034A">
        <w:rPr>
          <w:rFonts w:asciiTheme="minorHAnsi" w:hAnsiTheme="minorHAnsi"/>
          <w:sz w:val="32"/>
          <w:szCs w:val="32"/>
        </w:rPr>
        <w:t xml:space="preserve"> </w:t>
      </w:r>
      <w:r w:rsidRPr="0049034A">
        <w:rPr>
          <w:rFonts w:asciiTheme="minorHAnsi" w:hAnsiTheme="minorHAnsi"/>
          <w:sz w:val="32"/>
          <w:szCs w:val="32"/>
        </w:rPr>
        <w:t>1</w:t>
      </w:r>
    </w:p>
    <w:p w:rsidR="00C521DC" w:rsidRPr="00C521DC" w:rsidRDefault="00C521DC" w:rsidP="00FC4A3A">
      <w:p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rPr>
          <w:rFonts w:asciiTheme="minorHAnsi" w:hAnsiTheme="minorHAnsi"/>
          <w:szCs w:val="24"/>
          <w:lang w:val="lt-LT" w:eastAsia="lt-LT"/>
        </w:rPr>
      </w:pPr>
      <w:r w:rsidRPr="00C521DC">
        <w:rPr>
          <w:rFonts w:asciiTheme="minorHAnsi" w:hAnsiTheme="minorHAnsi"/>
          <w:szCs w:val="24"/>
          <w:lang w:val="en-US" w:eastAsia="lt-LT"/>
        </w:rPr>
        <w:t>Guidelines</w:t>
      </w:r>
      <w:r w:rsidR="0069131F">
        <w:rPr>
          <w:rFonts w:asciiTheme="minorHAnsi" w:hAnsiTheme="minorHAnsi"/>
          <w:szCs w:val="24"/>
          <w:lang w:val="en-US" w:eastAsia="lt-LT"/>
        </w:rPr>
        <w:t xml:space="preserve"> to</w:t>
      </w:r>
      <w:r w:rsidR="0049034A">
        <w:rPr>
          <w:rFonts w:asciiTheme="minorHAnsi" w:hAnsiTheme="minorHAnsi"/>
          <w:szCs w:val="24"/>
          <w:lang w:val="en-US" w:eastAsia="lt-LT"/>
        </w:rPr>
        <w:t xml:space="preserve"> the ITU Secretary-</w:t>
      </w:r>
      <w:r w:rsidR="00FC4A3A">
        <w:rPr>
          <w:rFonts w:asciiTheme="minorHAnsi" w:hAnsiTheme="minorHAnsi"/>
          <w:szCs w:val="24"/>
          <w:lang w:val="en-US" w:eastAsia="lt-LT"/>
        </w:rPr>
        <w:t>General</w:t>
      </w:r>
      <w:r w:rsidRPr="00C521DC">
        <w:rPr>
          <w:rFonts w:asciiTheme="minorHAnsi" w:hAnsiTheme="minorHAnsi"/>
          <w:szCs w:val="24"/>
          <w:lang w:val="en-US" w:eastAsia="lt-LT"/>
        </w:rPr>
        <w:t xml:space="preserve"> to finalize a</w:t>
      </w:r>
      <w:r w:rsidR="00FC4A3A">
        <w:rPr>
          <w:rFonts w:asciiTheme="minorHAnsi" w:hAnsiTheme="minorHAnsi"/>
          <w:szCs w:val="24"/>
          <w:lang w:val="en-US" w:eastAsia="lt-LT"/>
        </w:rPr>
        <w:t>nd submit proposal on hearing</w:t>
      </w:r>
      <w:r w:rsidRPr="00C521DC">
        <w:rPr>
          <w:rFonts w:asciiTheme="minorHAnsi" w:hAnsiTheme="minorHAnsi"/>
          <w:szCs w:val="24"/>
          <w:lang w:val="en-US" w:eastAsia="lt-LT"/>
        </w:rPr>
        <w:t xml:space="preserve"> of candidates (elected officials</w:t>
      </w:r>
      <w:r w:rsidR="00FC4A3A">
        <w:rPr>
          <w:rFonts w:asciiTheme="minorHAnsi" w:hAnsiTheme="minorHAnsi"/>
          <w:szCs w:val="24"/>
          <w:lang w:val="en-US" w:eastAsia="lt-LT"/>
        </w:rPr>
        <w:t xml:space="preserve"> of the ITU</w:t>
      </w:r>
      <w:r w:rsidRPr="00C521DC">
        <w:rPr>
          <w:rFonts w:asciiTheme="minorHAnsi" w:hAnsiTheme="minorHAnsi"/>
          <w:szCs w:val="24"/>
          <w:lang w:val="en-US" w:eastAsia="lt-LT"/>
        </w:rPr>
        <w:t xml:space="preserve">) </w:t>
      </w:r>
      <w:r w:rsidR="00FC4A3A">
        <w:rPr>
          <w:rFonts w:asciiTheme="minorHAnsi" w:hAnsiTheme="minorHAnsi"/>
          <w:szCs w:val="24"/>
          <w:lang w:val="en-US" w:eastAsia="lt-LT"/>
        </w:rPr>
        <w:t>to the ordinary session of the ITU Council 2018</w:t>
      </w:r>
      <w:r w:rsidRPr="00C521DC">
        <w:rPr>
          <w:rFonts w:asciiTheme="minorHAnsi" w:hAnsiTheme="minorHAnsi"/>
          <w:szCs w:val="24"/>
          <w:lang w:val="en-US" w:eastAsia="lt-LT"/>
        </w:rPr>
        <w:t>:</w:t>
      </w:r>
    </w:p>
    <w:p w:rsidR="00C521DC" w:rsidRPr="00E33EA4" w:rsidRDefault="000E0778" w:rsidP="000E0778">
      <w:pPr>
        <w:tabs>
          <w:tab w:val="clear" w:pos="567"/>
          <w:tab w:val="clear" w:pos="1134"/>
          <w:tab w:val="clear" w:pos="1701"/>
          <w:tab w:val="clear" w:pos="2268"/>
          <w:tab w:val="clear" w:pos="2835"/>
        </w:tabs>
        <w:overflowPunct/>
        <w:autoSpaceDE/>
        <w:autoSpaceDN/>
        <w:adjustRightInd/>
        <w:spacing w:before="100" w:beforeAutospacing="1" w:after="100" w:afterAutospacing="1"/>
        <w:ind w:left="708" w:hanging="708"/>
        <w:jc w:val="both"/>
        <w:textAlignment w:val="auto"/>
        <w:rPr>
          <w:rFonts w:asciiTheme="minorHAnsi" w:hAnsiTheme="minorHAnsi"/>
          <w:szCs w:val="24"/>
          <w:lang w:val="lt-LT" w:eastAsia="lt-LT"/>
        </w:rPr>
      </w:pPr>
      <w:r>
        <w:rPr>
          <w:rFonts w:asciiTheme="minorHAnsi" w:hAnsiTheme="minorHAnsi"/>
          <w:szCs w:val="24"/>
          <w:lang w:val="en-US" w:eastAsia="lt-LT"/>
        </w:rPr>
        <w:t>-</w:t>
      </w:r>
      <w:r>
        <w:rPr>
          <w:rFonts w:asciiTheme="minorHAnsi" w:hAnsiTheme="minorHAnsi"/>
          <w:szCs w:val="24"/>
          <w:lang w:val="en-US" w:eastAsia="lt-LT"/>
        </w:rPr>
        <w:tab/>
      </w:r>
      <w:r w:rsidR="00E50829">
        <w:rPr>
          <w:rFonts w:asciiTheme="minorHAnsi" w:hAnsiTheme="minorHAnsi"/>
          <w:szCs w:val="24"/>
          <w:lang w:val="en-US" w:eastAsia="lt-LT"/>
        </w:rPr>
        <w:t>To outline a</w:t>
      </w:r>
      <w:r w:rsidR="00C521DC" w:rsidRPr="00E33EA4">
        <w:rPr>
          <w:rFonts w:asciiTheme="minorHAnsi" w:hAnsiTheme="minorHAnsi"/>
          <w:szCs w:val="24"/>
          <w:lang w:val="en-US" w:eastAsia="lt-LT"/>
        </w:rPr>
        <w:t xml:space="preserve"> concept/definition of a hearing (for example, a hearing </w:t>
      </w:r>
      <w:r w:rsidR="002C38E9" w:rsidRPr="00E33EA4">
        <w:rPr>
          <w:rFonts w:asciiTheme="minorHAnsi" w:hAnsiTheme="minorHAnsi"/>
          <w:szCs w:val="24"/>
          <w:lang w:val="en-US" w:eastAsia="lt-LT"/>
        </w:rPr>
        <w:t xml:space="preserve">is </w:t>
      </w:r>
      <w:r w:rsidR="00C521DC" w:rsidRPr="00E33EA4">
        <w:rPr>
          <w:rFonts w:asciiTheme="minorHAnsi" w:hAnsiTheme="minorHAnsi"/>
          <w:szCs w:val="24"/>
          <w:lang w:val="en-US" w:eastAsia="lt-LT"/>
        </w:rPr>
        <w:t xml:space="preserve">a self-standing event that would be led by the Chairman of the Council or a high-level staff member. Event specifically organized for candidates that participate in the election process for the major ITU posts – </w:t>
      </w:r>
      <w:r w:rsidR="0049034A">
        <w:rPr>
          <w:rFonts w:asciiTheme="minorHAnsi" w:hAnsiTheme="minorHAnsi"/>
          <w:szCs w:val="24"/>
          <w:lang w:val="en-US" w:eastAsia="lt-LT"/>
        </w:rPr>
        <w:t>Secretary-General</w:t>
      </w:r>
      <w:r w:rsidR="00C521DC" w:rsidRPr="00E33EA4">
        <w:rPr>
          <w:rFonts w:asciiTheme="minorHAnsi" w:hAnsiTheme="minorHAnsi"/>
          <w:szCs w:val="24"/>
          <w:lang w:val="en-US" w:eastAsia="lt-LT"/>
        </w:rPr>
        <w:t xml:space="preserve">, </w:t>
      </w:r>
      <w:r w:rsidR="0049034A">
        <w:rPr>
          <w:rFonts w:asciiTheme="minorHAnsi" w:hAnsiTheme="minorHAnsi"/>
          <w:szCs w:val="24"/>
          <w:lang w:val="en-US" w:eastAsia="lt-LT"/>
        </w:rPr>
        <w:t>Deputy Secretary-General and D</w:t>
      </w:r>
      <w:r w:rsidR="005B6269">
        <w:rPr>
          <w:rFonts w:asciiTheme="minorHAnsi" w:hAnsiTheme="minorHAnsi"/>
          <w:szCs w:val="24"/>
          <w:lang w:val="en-US" w:eastAsia="lt-LT"/>
        </w:rPr>
        <w:t>irectors</w:t>
      </w:r>
      <w:r w:rsidR="00C521DC" w:rsidRPr="00E33EA4">
        <w:rPr>
          <w:rFonts w:asciiTheme="minorHAnsi" w:hAnsiTheme="minorHAnsi"/>
          <w:szCs w:val="24"/>
          <w:lang w:val="en-US" w:eastAsia="lt-LT"/>
        </w:rPr>
        <w:t xml:space="preserve"> </w:t>
      </w:r>
      <w:r w:rsidR="00FC4A3A" w:rsidRPr="00E33EA4">
        <w:rPr>
          <w:rFonts w:asciiTheme="minorHAnsi" w:hAnsiTheme="minorHAnsi"/>
          <w:szCs w:val="24"/>
          <w:lang w:val="en-US" w:eastAsia="lt-LT"/>
        </w:rPr>
        <w:t>of the 3 B</w:t>
      </w:r>
      <w:r w:rsidR="002C38E9" w:rsidRPr="00E33EA4">
        <w:rPr>
          <w:rFonts w:asciiTheme="minorHAnsi" w:hAnsiTheme="minorHAnsi"/>
          <w:szCs w:val="24"/>
          <w:lang w:val="en-US" w:eastAsia="lt-LT"/>
        </w:rPr>
        <w:t xml:space="preserve">ureaus </w:t>
      </w:r>
      <w:r w:rsidR="00E50829">
        <w:rPr>
          <w:rFonts w:asciiTheme="minorHAnsi" w:hAnsiTheme="minorHAnsi"/>
          <w:szCs w:val="24"/>
          <w:lang w:val="en-US" w:eastAsia="lt-LT"/>
        </w:rPr>
        <w:t>–</w:t>
      </w:r>
      <w:r w:rsidR="00C521DC" w:rsidRPr="00E33EA4">
        <w:rPr>
          <w:rFonts w:asciiTheme="minorHAnsi" w:hAnsiTheme="minorHAnsi"/>
          <w:szCs w:val="24"/>
          <w:lang w:val="en-US" w:eastAsia="lt-LT"/>
        </w:rPr>
        <w:t xml:space="preserve"> to appear in the hearing</w:t>
      </w:r>
      <w:r w:rsidR="002C38E9" w:rsidRPr="00E33EA4">
        <w:rPr>
          <w:rFonts w:asciiTheme="minorHAnsi" w:hAnsiTheme="minorHAnsi"/>
          <w:szCs w:val="24"/>
          <w:lang w:val="en-US" w:eastAsia="lt-LT"/>
        </w:rPr>
        <w:t xml:space="preserve"> </w:t>
      </w:r>
      <w:r w:rsidR="00E50829">
        <w:rPr>
          <w:rFonts w:asciiTheme="minorHAnsi" w:hAnsiTheme="minorHAnsi"/>
          <w:szCs w:val="24"/>
          <w:lang w:val="en-US" w:eastAsia="lt-LT"/>
        </w:rPr>
        <w:t xml:space="preserve">in order </w:t>
      </w:r>
      <w:r w:rsidR="002C38E9" w:rsidRPr="00E33EA4">
        <w:rPr>
          <w:rFonts w:asciiTheme="minorHAnsi" w:hAnsiTheme="minorHAnsi"/>
          <w:szCs w:val="24"/>
          <w:lang w:val="en-US" w:eastAsia="lt-LT"/>
        </w:rPr>
        <w:t xml:space="preserve">to </w:t>
      </w:r>
      <w:r w:rsidR="002C38E9" w:rsidRPr="00E33EA4">
        <w:rPr>
          <w:lang w:val="en-US"/>
        </w:rPr>
        <w:t>outline the</w:t>
      </w:r>
      <w:r w:rsidR="00E50829">
        <w:rPr>
          <w:lang w:val="en-US"/>
        </w:rPr>
        <w:t>ir</w:t>
      </w:r>
      <w:r w:rsidR="002C38E9" w:rsidRPr="00E33EA4">
        <w:rPr>
          <w:lang w:val="en-US"/>
        </w:rPr>
        <w:t xml:space="preserve"> vision of the Union</w:t>
      </w:r>
      <w:r w:rsidR="00C521DC" w:rsidRPr="00E33EA4">
        <w:rPr>
          <w:rFonts w:asciiTheme="minorHAnsi" w:hAnsiTheme="minorHAnsi"/>
          <w:szCs w:val="24"/>
          <w:lang w:val="en-US" w:eastAsia="lt-LT"/>
        </w:rPr>
        <w:t>);</w:t>
      </w:r>
    </w:p>
    <w:p w:rsidR="00C521DC" w:rsidRPr="00E33EA4" w:rsidRDefault="00FC4A3A" w:rsidP="000E0778">
      <w:pPr>
        <w:tabs>
          <w:tab w:val="clear" w:pos="567"/>
          <w:tab w:val="clear" w:pos="1134"/>
          <w:tab w:val="clear" w:pos="1701"/>
          <w:tab w:val="clear" w:pos="2268"/>
          <w:tab w:val="clear" w:pos="2835"/>
        </w:tabs>
        <w:overflowPunct/>
        <w:autoSpaceDE/>
        <w:autoSpaceDN/>
        <w:adjustRightInd/>
        <w:spacing w:before="100" w:beforeAutospacing="1" w:after="100" w:afterAutospacing="1"/>
        <w:ind w:left="708" w:hanging="708"/>
        <w:jc w:val="both"/>
        <w:textAlignment w:val="auto"/>
        <w:rPr>
          <w:rFonts w:asciiTheme="minorHAnsi" w:hAnsiTheme="minorHAnsi"/>
          <w:szCs w:val="24"/>
          <w:lang w:val="en-US" w:eastAsia="lt-LT"/>
        </w:rPr>
      </w:pPr>
      <w:r w:rsidRPr="00E33EA4">
        <w:rPr>
          <w:rFonts w:asciiTheme="minorHAnsi" w:hAnsiTheme="minorHAnsi"/>
          <w:szCs w:val="24"/>
          <w:lang w:val="en-US" w:eastAsia="lt-LT"/>
        </w:rPr>
        <w:t>-</w:t>
      </w:r>
      <w:r w:rsidR="000E0778">
        <w:rPr>
          <w:rFonts w:asciiTheme="minorHAnsi" w:hAnsiTheme="minorHAnsi"/>
          <w:szCs w:val="24"/>
          <w:lang w:val="en-US" w:eastAsia="lt-LT"/>
        </w:rPr>
        <w:tab/>
      </w:r>
      <w:r w:rsidRPr="00E33EA4">
        <w:rPr>
          <w:rFonts w:asciiTheme="minorHAnsi" w:hAnsiTheme="minorHAnsi"/>
          <w:szCs w:val="24"/>
          <w:lang w:val="en-US" w:eastAsia="lt-LT"/>
        </w:rPr>
        <w:t>To p</w:t>
      </w:r>
      <w:r w:rsidR="00C521DC" w:rsidRPr="00E33EA4">
        <w:rPr>
          <w:rFonts w:asciiTheme="minorHAnsi" w:hAnsiTheme="minorHAnsi"/>
          <w:szCs w:val="24"/>
          <w:lang w:val="en-US" w:eastAsia="lt-LT"/>
        </w:rPr>
        <w:t>ropose a max</w:t>
      </w:r>
      <w:r w:rsidRPr="00E33EA4">
        <w:rPr>
          <w:rFonts w:asciiTheme="minorHAnsi" w:hAnsiTheme="minorHAnsi"/>
          <w:szCs w:val="24"/>
          <w:lang w:val="en-US" w:eastAsia="lt-LT"/>
        </w:rPr>
        <w:t>imum</w:t>
      </w:r>
      <w:r w:rsidR="00C521DC" w:rsidRPr="00E33EA4">
        <w:rPr>
          <w:rFonts w:asciiTheme="minorHAnsi" w:hAnsiTheme="minorHAnsi"/>
          <w:szCs w:val="24"/>
          <w:lang w:val="en-US" w:eastAsia="lt-LT"/>
        </w:rPr>
        <w:t xml:space="preserve"> t</w:t>
      </w:r>
      <w:r w:rsidRPr="00E33EA4">
        <w:rPr>
          <w:rFonts w:asciiTheme="minorHAnsi" w:hAnsiTheme="minorHAnsi"/>
          <w:szCs w:val="24"/>
          <w:lang w:val="en-US" w:eastAsia="lt-LT"/>
        </w:rPr>
        <w:t xml:space="preserve">ime of a hearing per candidate, </w:t>
      </w:r>
      <w:r w:rsidR="00C521DC" w:rsidRPr="00E33EA4">
        <w:rPr>
          <w:rFonts w:asciiTheme="minorHAnsi" w:hAnsiTheme="minorHAnsi"/>
          <w:szCs w:val="24"/>
          <w:lang w:val="en-US" w:eastAsia="lt-LT"/>
        </w:rPr>
        <w:t>including presentation on candidates vision and question and answer session;</w:t>
      </w:r>
    </w:p>
    <w:p w:rsidR="00FC4A3A" w:rsidRPr="00E33EA4" w:rsidRDefault="00FC4A3A" w:rsidP="000E0778">
      <w:pPr>
        <w:tabs>
          <w:tab w:val="clear" w:pos="567"/>
          <w:tab w:val="clear" w:pos="1134"/>
          <w:tab w:val="clear" w:pos="1701"/>
          <w:tab w:val="clear" w:pos="2268"/>
          <w:tab w:val="clear" w:pos="2835"/>
        </w:tabs>
        <w:overflowPunct/>
        <w:autoSpaceDE/>
        <w:autoSpaceDN/>
        <w:adjustRightInd/>
        <w:spacing w:before="100" w:beforeAutospacing="1" w:after="100" w:afterAutospacing="1"/>
        <w:ind w:left="708" w:hanging="708"/>
        <w:jc w:val="both"/>
        <w:textAlignment w:val="auto"/>
        <w:rPr>
          <w:rFonts w:asciiTheme="minorHAnsi" w:hAnsiTheme="minorHAnsi"/>
          <w:szCs w:val="24"/>
          <w:lang w:val="en-US" w:eastAsia="lt-LT"/>
        </w:rPr>
      </w:pPr>
      <w:r w:rsidRPr="00E33EA4">
        <w:rPr>
          <w:rFonts w:asciiTheme="minorHAnsi" w:hAnsiTheme="minorHAnsi"/>
          <w:szCs w:val="24"/>
          <w:lang w:val="en-US" w:eastAsia="lt-LT"/>
        </w:rPr>
        <w:t>-</w:t>
      </w:r>
      <w:r w:rsidR="000E0778">
        <w:rPr>
          <w:rFonts w:asciiTheme="minorHAnsi" w:hAnsiTheme="minorHAnsi"/>
          <w:szCs w:val="24"/>
          <w:lang w:val="en-US" w:eastAsia="lt-LT"/>
        </w:rPr>
        <w:tab/>
      </w:r>
      <w:r w:rsidRPr="00E33EA4">
        <w:rPr>
          <w:rFonts w:asciiTheme="minorHAnsi" w:hAnsiTheme="minorHAnsi"/>
          <w:szCs w:val="24"/>
          <w:lang w:val="en-US" w:eastAsia="lt-LT"/>
        </w:rPr>
        <w:t>To outline the b</w:t>
      </w:r>
      <w:r w:rsidR="005B6269">
        <w:rPr>
          <w:rFonts w:asciiTheme="minorHAnsi" w:hAnsiTheme="minorHAnsi"/>
          <w:szCs w:val="24"/>
          <w:lang w:val="en-US" w:eastAsia="lt-LT"/>
        </w:rPr>
        <w:t>asic principles for candidates</w:t>
      </w:r>
      <w:r w:rsidRPr="00E33EA4">
        <w:rPr>
          <w:rFonts w:asciiTheme="minorHAnsi" w:hAnsiTheme="minorHAnsi"/>
          <w:szCs w:val="24"/>
          <w:lang w:val="en-US" w:eastAsia="lt-LT"/>
        </w:rPr>
        <w:t xml:space="preserve"> to answer random questions</w:t>
      </w:r>
      <w:r w:rsidR="00E50829">
        <w:rPr>
          <w:rFonts w:asciiTheme="minorHAnsi" w:hAnsiTheme="minorHAnsi"/>
          <w:szCs w:val="24"/>
          <w:lang w:val="en-US" w:eastAsia="lt-LT"/>
        </w:rPr>
        <w:t xml:space="preserve"> during the hearing</w:t>
      </w:r>
      <w:r w:rsidR="005B6269">
        <w:rPr>
          <w:rFonts w:asciiTheme="minorHAnsi" w:hAnsiTheme="minorHAnsi"/>
          <w:szCs w:val="24"/>
          <w:lang w:val="en-US" w:eastAsia="lt-LT"/>
        </w:rPr>
        <w:t xml:space="preserve"> </w:t>
      </w:r>
      <w:r w:rsidRPr="00E33EA4">
        <w:rPr>
          <w:rFonts w:asciiTheme="minorHAnsi" w:hAnsiTheme="minorHAnsi"/>
          <w:szCs w:val="24"/>
          <w:lang w:val="en-US" w:eastAsia="lt-LT"/>
        </w:rPr>
        <w:t xml:space="preserve">(e. g., 2-3 </w:t>
      </w:r>
      <w:r w:rsidR="005B6269">
        <w:rPr>
          <w:rFonts w:asciiTheme="minorHAnsi" w:hAnsiTheme="minorHAnsi"/>
          <w:szCs w:val="24"/>
          <w:lang w:val="en-US" w:eastAsia="lt-LT"/>
        </w:rPr>
        <w:t xml:space="preserve">random </w:t>
      </w:r>
      <w:r w:rsidRPr="00E33EA4">
        <w:rPr>
          <w:rFonts w:asciiTheme="minorHAnsi" w:hAnsiTheme="minorHAnsi"/>
          <w:szCs w:val="24"/>
          <w:lang w:val="en-US" w:eastAsia="lt-LT"/>
        </w:rPr>
        <w:t xml:space="preserve">questions from the audience or those following </w:t>
      </w:r>
      <w:r w:rsidR="005B6269">
        <w:rPr>
          <w:rFonts w:asciiTheme="minorHAnsi" w:hAnsiTheme="minorHAnsi"/>
          <w:szCs w:val="24"/>
          <w:lang w:val="en-US" w:eastAsia="lt-LT"/>
        </w:rPr>
        <w:t xml:space="preserve">it on </w:t>
      </w:r>
      <w:r w:rsidRPr="00E33EA4">
        <w:rPr>
          <w:rFonts w:asciiTheme="minorHAnsi" w:hAnsiTheme="minorHAnsi"/>
          <w:szCs w:val="24"/>
          <w:lang w:val="en-US" w:eastAsia="lt-LT"/>
        </w:rPr>
        <w:t>the webcast);</w:t>
      </w:r>
    </w:p>
    <w:p w:rsidR="000D04F8" w:rsidRPr="00E33EA4" w:rsidRDefault="00FC4A3A" w:rsidP="000E0778">
      <w:pPr>
        <w:tabs>
          <w:tab w:val="clear" w:pos="567"/>
          <w:tab w:val="clear" w:pos="1134"/>
          <w:tab w:val="clear" w:pos="1701"/>
          <w:tab w:val="clear" w:pos="2268"/>
          <w:tab w:val="clear" w:pos="2835"/>
        </w:tabs>
        <w:overflowPunct/>
        <w:autoSpaceDE/>
        <w:autoSpaceDN/>
        <w:adjustRightInd/>
        <w:spacing w:before="0" w:after="240"/>
        <w:ind w:left="708" w:hanging="708"/>
        <w:jc w:val="both"/>
        <w:textAlignment w:val="auto"/>
        <w:rPr>
          <w:rFonts w:asciiTheme="minorHAnsi" w:hAnsiTheme="minorHAnsi"/>
          <w:szCs w:val="24"/>
          <w:lang w:val="en-US" w:eastAsia="lt-LT"/>
        </w:rPr>
      </w:pPr>
      <w:r w:rsidRPr="00E33EA4">
        <w:rPr>
          <w:rFonts w:asciiTheme="minorHAnsi" w:hAnsiTheme="minorHAnsi"/>
          <w:szCs w:val="24"/>
          <w:lang w:val="en-US" w:eastAsia="lt-LT"/>
        </w:rPr>
        <w:t>-</w:t>
      </w:r>
      <w:r w:rsidR="000E0778">
        <w:rPr>
          <w:rFonts w:asciiTheme="minorHAnsi" w:hAnsiTheme="minorHAnsi"/>
          <w:szCs w:val="24"/>
          <w:lang w:val="en-US" w:eastAsia="lt-LT"/>
        </w:rPr>
        <w:tab/>
      </w:r>
      <w:r w:rsidRPr="00E33EA4">
        <w:rPr>
          <w:rFonts w:asciiTheme="minorHAnsi" w:hAnsiTheme="minorHAnsi"/>
          <w:szCs w:val="24"/>
          <w:lang w:val="en-US" w:eastAsia="lt-LT"/>
        </w:rPr>
        <w:t>To en</w:t>
      </w:r>
      <w:r w:rsidR="00C521DC" w:rsidRPr="00E33EA4">
        <w:rPr>
          <w:rFonts w:asciiTheme="minorHAnsi" w:hAnsiTheme="minorHAnsi"/>
          <w:szCs w:val="24"/>
          <w:lang w:val="en-US" w:eastAsia="lt-LT"/>
        </w:rPr>
        <w:t xml:space="preserve">sure that ITU members have </w:t>
      </w:r>
      <w:r w:rsidR="0049034A">
        <w:rPr>
          <w:rFonts w:asciiTheme="minorHAnsi" w:hAnsiTheme="minorHAnsi"/>
          <w:szCs w:val="24"/>
          <w:lang w:val="en-US" w:eastAsia="lt-LT"/>
        </w:rPr>
        <w:t>a possibility</w:t>
      </w:r>
      <w:r w:rsidR="00C521DC" w:rsidRPr="00E33EA4">
        <w:rPr>
          <w:rFonts w:asciiTheme="minorHAnsi" w:hAnsiTheme="minorHAnsi"/>
          <w:szCs w:val="24"/>
          <w:lang w:val="en-US" w:eastAsia="lt-LT"/>
        </w:rPr>
        <w:t xml:space="preserve"> to attend the hearing </w:t>
      </w:r>
      <w:r w:rsidR="000D04F8" w:rsidRPr="00E33EA4">
        <w:rPr>
          <w:rFonts w:asciiTheme="minorHAnsi" w:hAnsiTheme="minorHAnsi"/>
          <w:szCs w:val="24"/>
          <w:lang w:val="en-US" w:eastAsia="lt-LT"/>
        </w:rPr>
        <w:t xml:space="preserve">or follow </w:t>
      </w:r>
      <w:r w:rsidR="00B55E3D" w:rsidRPr="00E33EA4">
        <w:rPr>
          <w:rFonts w:asciiTheme="minorHAnsi" w:hAnsiTheme="minorHAnsi"/>
          <w:szCs w:val="24"/>
          <w:lang w:val="en-US" w:eastAsia="lt-LT"/>
        </w:rPr>
        <w:t>it</w:t>
      </w:r>
      <w:r w:rsidR="000D04F8" w:rsidRPr="00E33EA4">
        <w:rPr>
          <w:rFonts w:asciiTheme="minorHAnsi" w:hAnsiTheme="minorHAnsi"/>
          <w:szCs w:val="24"/>
          <w:lang w:val="en-US" w:eastAsia="lt-LT"/>
        </w:rPr>
        <w:t xml:space="preserve"> by electronic means </w:t>
      </w:r>
      <w:r w:rsidR="00C521DC" w:rsidRPr="00E33EA4">
        <w:rPr>
          <w:rFonts w:asciiTheme="minorHAnsi" w:hAnsiTheme="minorHAnsi"/>
          <w:szCs w:val="24"/>
          <w:lang w:val="en-US" w:eastAsia="lt-LT"/>
        </w:rPr>
        <w:t>(e.</w:t>
      </w:r>
      <w:r w:rsidRPr="00E33EA4">
        <w:rPr>
          <w:rFonts w:asciiTheme="minorHAnsi" w:hAnsiTheme="minorHAnsi"/>
          <w:szCs w:val="24"/>
          <w:lang w:val="en-US" w:eastAsia="lt-LT"/>
        </w:rPr>
        <w:t xml:space="preserve"> </w:t>
      </w:r>
      <w:r w:rsidR="00C521DC" w:rsidRPr="00E33EA4">
        <w:rPr>
          <w:rFonts w:asciiTheme="minorHAnsi" w:hAnsiTheme="minorHAnsi"/>
          <w:szCs w:val="24"/>
          <w:lang w:val="en-US" w:eastAsia="lt-LT"/>
        </w:rPr>
        <w:t>g.</w:t>
      </w:r>
      <w:r w:rsidRPr="00E33EA4">
        <w:rPr>
          <w:rFonts w:asciiTheme="minorHAnsi" w:hAnsiTheme="minorHAnsi"/>
          <w:szCs w:val="24"/>
          <w:lang w:val="en-US" w:eastAsia="lt-LT"/>
        </w:rPr>
        <w:t>,</w:t>
      </w:r>
      <w:r w:rsidR="00C521DC" w:rsidRPr="00E33EA4">
        <w:rPr>
          <w:rFonts w:asciiTheme="minorHAnsi" w:hAnsiTheme="minorHAnsi"/>
          <w:szCs w:val="24"/>
          <w:lang w:val="en-US" w:eastAsia="lt-LT"/>
        </w:rPr>
        <w:t xml:space="preserve"> to webcast it via </w:t>
      </w:r>
      <w:r w:rsidR="005B6269">
        <w:rPr>
          <w:rFonts w:asciiTheme="minorHAnsi" w:hAnsiTheme="minorHAnsi"/>
          <w:szCs w:val="24"/>
          <w:lang w:val="en-US" w:eastAsia="lt-LT"/>
        </w:rPr>
        <w:t xml:space="preserve">ITU </w:t>
      </w:r>
      <w:r w:rsidR="00C521DC" w:rsidRPr="00E33EA4">
        <w:rPr>
          <w:rFonts w:asciiTheme="minorHAnsi" w:hAnsiTheme="minorHAnsi"/>
          <w:szCs w:val="24"/>
          <w:lang w:val="en-US" w:eastAsia="lt-LT"/>
        </w:rPr>
        <w:t>TIES-protected account for membership only);</w:t>
      </w:r>
    </w:p>
    <w:p w:rsidR="00C521DC" w:rsidRPr="00E33EA4" w:rsidRDefault="00C521DC" w:rsidP="000E0778">
      <w:pPr>
        <w:tabs>
          <w:tab w:val="clear" w:pos="567"/>
          <w:tab w:val="clear" w:pos="1134"/>
          <w:tab w:val="clear" w:pos="1701"/>
          <w:tab w:val="clear" w:pos="2268"/>
          <w:tab w:val="clear" w:pos="2835"/>
        </w:tabs>
        <w:overflowPunct/>
        <w:autoSpaceDE/>
        <w:autoSpaceDN/>
        <w:adjustRightInd/>
        <w:spacing w:before="0" w:after="240"/>
        <w:ind w:left="708" w:hanging="708"/>
        <w:jc w:val="both"/>
        <w:textAlignment w:val="auto"/>
        <w:rPr>
          <w:rFonts w:asciiTheme="minorHAnsi" w:hAnsiTheme="minorHAnsi"/>
          <w:szCs w:val="24"/>
          <w:lang w:val="lt-LT" w:eastAsia="lt-LT"/>
        </w:rPr>
      </w:pPr>
      <w:r w:rsidRPr="00E33EA4">
        <w:rPr>
          <w:rFonts w:asciiTheme="minorHAnsi" w:hAnsiTheme="minorHAnsi"/>
          <w:szCs w:val="24"/>
          <w:lang w:val="en-US" w:eastAsia="lt-LT"/>
        </w:rPr>
        <w:t>-</w:t>
      </w:r>
      <w:r w:rsidR="000E0778">
        <w:rPr>
          <w:rFonts w:asciiTheme="minorHAnsi" w:hAnsiTheme="minorHAnsi"/>
          <w:szCs w:val="24"/>
          <w:lang w:val="en-US" w:eastAsia="lt-LT"/>
        </w:rPr>
        <w:tab/>
      </w:r>
      <w:r w:rsidRPr="00E33EA4">
        <w:rPr>
          <w:rFonts w:asciiTheme="minorHAnsi" w:hAnsiTheme="minorHAnsi"/>
          <w:szCs w:val="24"/>
          <w:lang w:val="en-US" w:eastAsia="lt-LT"/>
        </w:rPr>
        <w:t xml:space="preserve">To </w:t>
      </w:r>
      <w:r w:rsidR="00FC4A3A" w:rsidRPr="00E33EA4">
        <w:rPr>
          <w:rFonts w:asciiTheme="minorHAnsi" w:hAnsiTheme="minorHAnsi"/>
          <w:szCs w:val="24"/>
          <w:lang w:val="en-US" w:eastAsia="lt-LT"/>
        </w:rPr>
        <w:t xml:space="preserve">propose </w:t>
      </w:r>
      <w:r w:rsidR="000D04F8" w:rsidRPr="00E33EA4">
        <w:rPr>
          <w:rFonts w:asciiTheme="minorHAnsi" w:hAnsiTheme="minorHAnsi"/>
          <w:szCs w:val="24"/>
          <w:lang w:val="en-US" w:eastAsia="lt-LT"/>
        </w:rPr>
        <w:t>appropriate date and meeting</w:t>
      </w:r>
      <w:r w:rsidRPr="00E33EA4">
        <w:rPr>
          <w:rFonts w:asciiTheme="minorHAnsi" w:hAnsiTheme="minorHAnsi"/>
          <w:szCs w:val="24"/>
          <w:lang w:val="en-US" w:eastAsia="lt-LT"/>
        </w:rPr>
        <w:t xml:space="preserve"> for such a hearing</w:t>
      </w:r>
      <w:r w:rsidR="005B6269">
        <w:rPr>
          <w:rFonts w:asciiTheme="minorHAnsi" w:hAnsiTheme="minorHAnsi"/>
          <w:szCs w:val="24"/>
          <w:lang w:val="en-US" w:eastAsia="lt-LT"/>
        </w:rPr>
        <w:t xml:space="preserve"> prior to PP-18</w:t>
      </w:r>
      <w:r w:rsidRPr="00E33EA4">
        <w:rPr>
          <w:rFonts w:asciiTheme="minorHAnsi" w:hAnsiTheme="minorHAnsi"/>
          <w:szCs w:val="24"/>
          <w:lang w:val="en-US" w:eastAsia="lt-LT"/>
        </w:rPr>
        <w:t>;</w:t>
      </w:r>
    </w:p>
    <w:p w:rsidR="00C521DC" w:rsidRPr="00E50829" w:rsidRDefault="00C521DC" w:rsidP="000E0778">
      <w:pPr>
        <w:tabs>
          <w:tab w:val="clear" w:pos="567"/>
          <w:tab w:val="clear" w:pos="1134"/>
          <w:tab w:val="clear" w:pos="1701"/>
          <w:tab w:val="clear" w:pos="2268"/>
          <w:tab w:val="clear" w:pos="2835"/>
        </w:tabs>
        <w:overflowPunct/>
        <w:autoSpaceDE/>
        <w:autoSpaceDN/>
        <w:adjustRightInd/>
        <w:spacing w:before="100" w:beforeAutospacing="1" w:after="100" w:afterAutospacing="1"/>
        <w:ind w:left="708" w:hanging="708"/>
        <w:jc w:val="both"/>
        <w:textAlignment w:val="auto"/>
        <w:rPr>
          <w:rFonts w:asciiTheme="minorHAnsi" w:hAnsiTheme="minorHAnsi"/>
          <w:szCs w:val="24"/>
          <w:lang w:val="en-US" w:eastAsia="lt-LT"/>
        </w:rPr>
      </w:pPr>
      <w:r w:rsidRPr="00E33EA4">
        <w:rPr>
          <w:rFonts w:asciiTheme="minorHAnsi" w:hAnsiTheme="minorHAnsi"/>
          <w:szCs w:val="24"/>
          <w:lang w:val="en-US" w:eastAsia="lt-LT"/>
        </w:rPr>
        <w:t>-</w:t>
      </w:r>
      <w:r w:rsidR="000E0778">
        <w:rPr>
          <w:rFonts w:asciiTheme="minorHAnsi" w:hAnsiTheme="minorHAnsi"/>
          <w:szCs w:val="24"/>
          <w:lang w:val="en-US" w:eastAsia="lt-LT"/>
        </w:rPr>
        <w:tab/>
      </w:r>
      <w:r w:rsidRPr="00E33EA4">
        <w:rPr>
          <w:rFonts w:asciiTheme="minorHAnsi" w:hAnsiTheme="minorHAnsi"/>
          <w:szCs w:val="24"/>
          <w:lang w:val="en-US" w:eastAsia="lt-LT"/>
        </w:rPr>
        <w:t xml:space="preserve">To </w:t>
      </w:r>
      <w:r w:rsidR="002C38E9" w:rsidRPr="00E33EA4">
        <w:rPr>
          <w:rFonts w:asciiTheme="minorHAnsi" w:hAnsiTheme="minorHAnsi"/>
          <w:szCs w:val="24"/>
          <w:lang w:val="en-US" w:eastAsia="lt-LT"/>
        </w:rPr>
        <w:t>propose</w:t>
      </w:r>
      <w:r w:rsidRPr="00E33EA4">
        <w:rPr>
          <w:rFonts w:asciiTheme="minorHAnsi" w:hAnsiTheme="minorHAnsi"/>
          <w:szCs w:val="24"/>
          <w:lang w:val="en-US" w:eastAsia="lt-LT"/>
        </w:rPr>
        <w:t xml:space="preserve"> </w:t>
      </w:r>
      <w:r w:rsidR="002C38E9" w:rsidRPr="00E33EA4">
        <w:rPr>
          <w:rFonts w:asciiTheme="minorHAnsi" w:hAnsiTheme="minorHAnsi"/>
          <w:szCs w:val="24"/>
          <w:lang w:val="en-US" w:eastAsia="lt-LT"/>
        </w:rPr>
        <w:t xml:space="preserve">possibility to reimburse </w:t>
      </w:r>
      <w:r w:rsidRPr="00E33EA4">
        <w:rPr>
          <w:rFonts w:asciiTheme="minorHAnsi" w:hAnsiTheme="minorHAnsi"/>
          <w:szCs w:val="24"/>
          <w:lang w:val="en-US" w:eastAsia="lt-LT"/>
        </w:rPr>
        <w:t xml:space="preserve">translation, room rental </w:t>
      </w:r>
      <w:r w:rsidR="002C38E9" w:rsidRPr="00E33EA4">
        <w:rPr>
          <w:rFonts w:asciiTheme="minorHAnsi" w:hAnsiTheme="minorHAnsi"/>
          <w:szCs w:val="24"/>
          <w:lang w:val="en-US" w:eastAsia="lt-LT"/>
        </w:rPr>
        <w:t xml:space="preserve">or other </w:t>
      </w:r>
      <w:r w:rsidRPr="00E33EA4">
        <w:rPr>
          <w:rFonts w:asciiTheme="minorHAnsi" w:hAnsiTheme="minorHAnsi"/>
          <w:szCs w:val="24"/>
          <w:lang w:val="en-US" w:eastAsia="lt-LT"/>
        </w:rPr>
        <w:t>costs</w:t>
      </w:r>
      <w:r w:rsidR="002C38E9" w:rsidRPr="00E33EA4">
        <w:rPr>
          <w:rFonts w:asciiTheme="minorHAnsi" w:hAnsiTheme="minorHAnsi"/>
          <w:szCs w:val="24"/>
          <w:lang w:val="en-US" w:eastAsia="lt-LT"/>
        </w:rPr>
        <w:t xml:space="preserve"> incurred by the </w:t>
      </w:r>
      <w:r w:rsidR="002C38E9" w:rsidRPr="00E50829">
        <w:rPr>
          <w:rFonts w:asciiTheme="minorHAnsi" w:hAnsiTheme="minorHAnsi"/>
          <w:szCs w:val="24"/>
          <w:lang w:val="en-US" w:eastAsia="lt-LT"/>
        </w:rPr>
        <w:t>ITU related to the hearing</w:t>
      </w:r>
      <w:r w:rsidRPr="00E50829">
        <w:rPr>
          <w:rFonts w:asciiTheme="minorHAnsi" w:hAnsiTheme="minorHAnsi"/>
          <w:szCs w:val="24"/>
          <w:lang w:val="en-US" w:eastAsia="lt-LT"/>
        </w:rPr>
        <w:t xml:space="preserve"> (e.</w:t>
      </w:r>
      <w:r w:rsidR="00FC4A3A" w:rsidRPr="00E50829">
        <w:rPr>
          <w:rFonts w:asciiTheme="minorHAnsi" w:hAnsiTheme="minorHAnsi"/>
          <w:szCs w:val="24"/>
          <w:lang w:val="en-US" w:eastAsia="lt-LT"/>
        </w:rPr>
        <w:t xml:space="preserve"> </w:t>
      </w:r>
      <w:r w:rsidRPr="00E50829">
        <w:rPr>
          <w:rFonts w:asciiTheme="minorHAnsi" w:hAnsiTheme="minorHAnsi"/>
          <w:szCs w:val="24"/>
          <w:lang w:val="en-US" w:eastAsia="lt-LT"/>
        </w:rPr>
        <w:t>g., for countries that present candidates to share the costs of the hea</w:t>
      </w:r>
      <w:r w:rsidR="002C38E9" w:rsidRPr="00E50829">
        <w:rPr>
          <w:rFonts w:asciiTheme="minorHAnsi" w:hAnsiTheme="minorHAnsi"/>
          <w:szCs w:val="24"/>
          <w:lang w:val="en-US" w:eastAsia="lt-LT"/>
        </w:rPr>
        <w:t>rings and reimburse those cost in equal parts</w:t>
      </w:r>
      <w:r w:rsidR="0046365E" w:rsidRPr="00E50829">
        <w:rPr>
          <w:rFonts w:asciiTheme="minorHAnsi" w:hAnsiTheme="minorHAnsi"/>
          <w:szCs w:val="24"/>
          <w:lang w:val="en-US" w:eastAsia="lt-LT"/>
        </w:rPr>
        <w:t xml:space="preserve"> to ITU);</w:t>
      </w:r>
    </w:p>
    <w:p w:rsidR="00E50829" w:rsidRDefault="0046365E" w:rsidP="000E0778">
      <w:pPr>
        <w:tabs>
          <w:tab w:val="clear" w:pos="567"/>
          <w:tab w:val="clear" w:pos="1134"/>
          <w:tab w:val="clear" w:pos="1701"/>
          <w:tab w:val="clear" w:pos="2268"/>
          <w:tab w:val="clear" w:pos="2835"/>
        </w:tabs>
        <w:overflowPunct/>
        <w:autoSpaceDE/>
        <w:autoSpaceDN/>
        <w:adjustRightInd/>
        <w:spacing w:before="100" w:beforeAutospacing="1" w:after="100" w:afterAutospacing="1"/>
        <w:ind w:left="708" w:hanging="708"/>
        <w:jc w:val="both"/>
        <w:textAlignment w:val="auto"/>
        <w:rPr>
          <w:szCs w:val="24"/>
          <w:lang w:val="en-US" w:eastAsia="lt-LT"/>
        </w:rPr>
      </w:pPr>
      <w:r w:rsidRPr="00E50829">
        <w:rPr>
          <w:rFonts w:asciiTheme="minorHAnsi" w:hAnsiTheme="minorHAnsi"/>
          <w:szCs w:val="24"/>
          <w:lang w:val="en-US" w:eastAsia="lt-LT"/>
        </w:rPr>
        <w:t>-</w:t>
      </w:r>
      <w:r w:rsidR="000E0778">
        <w:rPr>
          <w:rFonts w:asciiTheme="minorHAnsi" w:hAnsiTheme="minorHAnsi"/>
          <w:szCs w:val="24"/>
          <w:lang w:val="en-US" w:eastAsia="lt-LT"/>
        </w:rPr>
        <w:tab/>
      </w:r>
      <w:r w:rsidR="00E33EA4" w:rsidRPr="00E50829">
        <w:rPr>
          <w:rFonts w:asciiTheme="minorHAnsi" w:hAnsiTheme="minorHAnsi"/>
          <w:szCs w:val="24"/>
          <w:lang w:val="en-US" w:eastAsia="lt-LT"/>
        </w:rPr>
        <w:t>T</w:t>
      </w:r>
      <w:r w:rsidRPr="00E50829">
        <w:rPr>
          <w:rFonts w:asciiTheme="minorHAnsi" w:hAnsiTheme="minorHAnsi"/>
          <w:szCs w:val="24"/>
          <w:lang w:val="en-US" w:eastAsia="lt-LT"/>
        </w:rPr>
        <w:t>o creat</w:t>
      </w:r>
      <w:r w:rsidR="0049034A" w:rsidRPr="00E50829">
        <w:rPr>
          <w:rFonts w:asciiTheme="minorHAnsi" w:hAnsiTheme="minorHAnsi"/>
          <w:szCs w:val="24"/>
          <w:lang w:val="en-US" w:eastAsia="lt-LT"/>
        </w:rPr>
        <w:t xml:space="preserve">e </w:t>
      </w:r>
      <w:r w:rsidR="00E50829">
        <w:rPr>
          <w:szCs w:val="24"/>
          <w:lang w:val="en-US" w:eastAsia="lt-LT"/>
        </w:rPr>
        <w:t>a dedicated</w:t>
      </w:r>
      <w:r w:rsidR="00E50829" w:rsidRPr="00E50829">
        <w:rPr>
          <w:szCs w:val="24"/>
          <w:lang w:val="en-US" w:eastAsia="lt-LT"/>
        </w:rPr>
        <w:t xml:space="preserve"> online space for campaign material (PDF, video, etc.), so that stakeholders </w:t>
      </w:r>
      <w:r w:rsidR="00E50829">
        <w:rPr>
          <w:szCs w:val="24"/>
          <w:lang w:val="en-US" w:eastAsia="lt-LT"/>
        </w:rPr>
        <w:t>could access i</w:t>
      </w:r>
      <w:r w:rsidR="00E50829" w:rsidRPr="00C521DC">
        <w:rPr>
          <w:szCs w:val="24"/>
          <w:lang w:val="en-US" w:eastAsia="lt-LT"/>
        </w:rPr>
        <w:t xml:space="preserve">nformation about </w:t>
      </w:r>
      <w:r w:rsidR="00E50829">
        <w:rPr>
          <w:szCs w:val="24"/>
          <w:lang w:val="en-US" w:eastAsia="lt-LT"/>
        </w:rPr>
        <w:t xml:space="preserve">the </w:t>
      </w:r>
      <w:r w:rsidR="00E50829" w:rsidRPr="00C521DC">
        <w:rPr>
          <w:szCs w:val="24"/>
          <w:lang w:val="en-US" w:eastAsia="lt-LT"/>
        </w:rPr>
        <w:t>candidates electronically.</w:t>
      </w:r>
    </w:p>
    <w:p w:rsidR="000E0778" w:rsidRDefault="000E0778" w:rsidP="00E50829">
      <w:p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rPr>
          <w:szCs w:val="24"/>
          <w:lang w:val="en-US" w:eastAsia="lt-LT"/>
        </w:rPr>
      </w:pPr>
    </w:p>
    <w:p w:rsidR="000E0778" w:rsidRPr="000E0778" w:rsidRDefault="000E0778" w:rsidP="000E0778">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rPr>
          <w:szCs w:val="24"/>
          <w:u w:val="single"/>
          <w:lang w:val="lt-LT" w:eastAsia="lt-LT"/>
        </w:rPr>
      </w:pPr>
      <w:r>
        <w:rPr>
          <w:szCs w:val="24"/>
          <w:u w:val="single"/>
          <w:lang w:val="en-US" w:eastAsia="lt-LT"/>
        </w:rPr>
        <w:t>                      </w:t>
      </w:r>
    </w:p>
    <w:sectPr w:rsidR="000E0778" w:rsidRPr="000E0778" w:rsidSect="000E0778">
      <w:headerReference w:type="default" r:id="rId8"/>
      <w:footerReference w:type="first" r:id="rId9"/>
      <w:pgSz w:w="11907" w:h="16839"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32A" w:rsidRDefault="002B632A" w:rsidP="00B23B66">
      <w:pPr>
        <w:spacing w:before="0"/>
      </w:pPr>
      <w:r>
        <w:separator/>
      </w:r>
    </w:p>
  </w:endnote>
  <w:endnote w:type="continuationSeparator" w:id="0">
    <w:p w:rsidR="002B632A" w:rsidRDefault="002B632A" w:rsidP="00B23B6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778" w:rsidRDefault="000E0778" w:rsidP="000E0778">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32A" w:rsidRDefault="002B632A" w:rsidP="00B23B66">
      <w:pPr>
        <w:spacing w:before="0"/>
      </w:pPr>
      <w:r>
        <w:separator/>
      </w:r>
    </w:p>
  </w:footnote>
  <w:footnote w:type="continuationSeparator" w:id="0">
    <w:p w:rsidR="002B632A" w:rsidRDefault="002B632A" w:rsidP="00B23B66">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011103"/>
      <w:docPartObj>
        <w:docPartGallery w:val="Page Numbers (Top of Page)"/>
        <w:docPartUnique/>
      </w:docPartObj>
    </w:sdtPr>
    <w:sdtEndPr>
      <w:rPr>
        <w:noProof/>
        <w:sz w:val="20"/>
      </w:rPr>
    </w:sdtEndPr>
    <w:sdtContent>
      <w:p w:rsidR="000E0778" w:rsidRPr="000E0778" w:rsidRDefault="000E0778" w:rsidP="000E0778">
        <w:pPr>
          <w:pStyle w:val="Header"/>
          <w:jc w:val="center"/>
          <w:rPr>
            <w:sz w:val="20"/>
          </w:rPr>
        </w:pPr>
        <w:r w:rsidRPr="000E0778">
          <w:rPr>
            <w:sz w:val="20"/>
          </w:rPr>
          <w:fldChar w:fldCharType="begin"/>
        </w:r>
        <w:r w:rsidRPr="000E0778">
          <w:rPr>
            <w:sz w:val="20"/>
          </w:rPr>
          <w:instrText xml:space="preserve"> PAGE   \* MERGEFORMAT </w:instrText>
        </w:r>
        <w:r w:rsidRPr="000E0778">
          <w:rPr>
            <w:sz w:val="20"/>
          </w:rPr>
          <w:fldChar w:fldCharType="separate"/>
        </w:r>
        <w:r w:rsidR="003B2E04">
          <w:rPr>
            <w:noProof/>
            <w:sz w:val="20"/>
          </w:rPr>
          <w:t>4</w:t>
        </w:r>
        <w:r w:rsidRPr="000E0778">
          <w:rPr>
            <w:noProof/>
            <w:sz w:val="20"/>
          </w:rPr>
          <w:fldChar w:fldCharType="end"/>
        </w:r>
      </w:p>
    </w:sdtContent>
  </w:sdt>
  <w:p w:rsidR="000E0778" w:rsidRPr="000E0778" w:rsidRDefault="000E0778" w:rsidP="000E0778">
    <w:pPr>
      <w:pStyle w:val="Header"/>
      <w:jc w:val="center"/>
      <w:rPr>
        <w:sz w:val="20"/>
      </w:rPr>
    </w:pPr>
    <w:r w:rsidRPr="000E0778">
      <w:rPr>
        <w:sz w:val="20"/>
      </w:rPr>
      <w:t>C17/76-E</w:t>
    </w:r>
  </w:p>
  <w:p w:rsidR="000E0778" w:rsidRPr="000E0778" w:rsidRDefault="000E0778" w:rsidP="000E0778">
    <w:pPr>
      <w:pStyle w:val="Header"/>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A34FC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CE8D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53E25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023B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A7C2F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DEFC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420D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EA8B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3067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4A55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7A1AE3"/>
    <w:multiLevelType w:val="multilevel"/>
    <w:tmpl w:val="5E82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B76626"/>
    <w:multiLevelType w:val="multilevel"/>
    <w:tmpl w:val="2F8A2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B63988"/>
    <w:multiLevelType w:val="multilevel"/>
    <w:tmpl w:val="A4304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6316B0"/>
    <w:multiLevelType w:val="multilevel"/>
    <w:tmpl w:val="14B24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2"/>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B66"/>
    <w:rsid w:val="00056403"/>
    <w:rsid w:val="000D04F8"/>
    <w:rsid w:val="000E0778"/>
    <w:rsid w:val="00157C4A"/>
    <w:rsid w:val="001D245E"/>
    <w:rsid w:val="001E6054"/>
    <w:rsid w:val="002B632A"/>
    <w:rsid w:val="002C38E9"/>
    <w:rsid w:val="002F1511"/>
    <w:rsid w:val="003421CD"/>
    <w:rsid w:val="003B2E04"/>
    <w:rsid w:val="003E0A2E"/>
    <w:rsid w:val="003F090F"/>
    <w:rsid w:val="0046365E"/>
    <w:rsid w:val="0049034A"/>
    <w:rsid w:val="005679A2"/>
    <w:rsid w:val="005B6269"/>
    <w:rsid w:val="0062065B"/>
    <w:rsid w:val="00621C1D"/>
    <w:rsid w:val="0069131F"/>
    <w:rsid w:val="006A5B21"/>
    <w:rsid w:val="006E1680"/>
    <w:rsid w:val="006E269C"/>
    <w:rsid w:val="008205B9"/>
    <w:rsid w:val="008227D1"/>
    <w:rsid w:val="008B1623"/>
    <w:rsid w:val="008F6041"/>
    <w:rsid w:val="0090612D"/>
    <w:rsid w:val="00945C79"/>
    <w:rsid w:val="00963F94"/>
    <w:rsid w:val="0099746C"/>
    <w:rsid w:val="009A3A1F"/>
    <w:rsid w:val="00B23B66"/>
    <w:rsid w:val="00B55E3D"/>
    <w:rsid w:val="00C521DC"/>
    <w:rsid w:val="00C6790C"/>
    <w:rsid w:val="00DE5C6C"/>
    <w:rsid w:val="00DE6CA1"/>
    <w:rsid w:val="00E33EA4"/>
    <w:rsid w:val="00E50829"/>
    <w:rsid w:val="00EE2F44"/>
    <w:rsid w:val="00F920A4"/>
    <w:rsid w:val="00FC4A3A"/>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50447031-1B04-49E0-81F2-D499B14AF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B66"/>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lang w:val="en-GB"/>
    </w:rPr>
  </w:style>
  <w:style w:type="paragraph" w:styleId="Heading1">
    <w:name w:val="heading 1"/>
    <w:basedOn w:val="Normal"/>
    <w:next w:val="Normal"/>
    <w:link w:val="Heading1Char"/>
    <w:uiPriority w:val="99"/>
    <w:qFormat/>
    <w:rsid w:val="00B23B66"/>
    <w:pPr>
      <w:keepNext/>
      <w:keepLines/>
      <w:spacing w:before="480"/>
      <w:ind w:left="567" w:hanging="567"/>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23B66"/>
    <w:rPr>
      <w:rFonts w:ascii="Calibri" w:eastAsia="Times New Roman" w:hAnsi="Calibri" w:cs="Times New Roman"/>
      <w:b/>
      <w:sz w:val="28"/>
      <w:szCs w:val="20"/>
      <w:lang w:val="en-GB"/>
    </w:rPr>
  </w:style>
  <w:style w:type="character" w:styleId="FootnoteReference">
    <w:name w:val="footnote reference"/>
    <w:aliases w:val="Appel note de bas de p,Footnote Reference/,Footnote symbol,Ref,de nota al pie"/>
    <w:basedOn w:val="DefaultParagraphFont"/>
    <w:rsid w:val="00B23B66"/>
    <w:rPr>
      <w:rFonts w:ascii="Calibri" w:hAnsi="Calibri"/>
      <w:position w:val="6"/>
      <w:sz w:val="1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rsid w:val="00B23B66"/>
    <w:pPr>
      <w:keepLines/>
      <w:tabs>
        <w:tab w:val="left" w:pos="256"/>
      </w:tabs>
      <w:ind w:left="256" w:hanging="256"/>
    </w:p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B23B66"/>
    <w:rPr>
      <w:rFonts w:ascii="Calibri" w:eastAsia="Times New Roman" w:hAnsi="Calibri" w:cs="Times New Roman"/>
      <w:sz w:val="24"/>
      <w:szCs w:val="20"/>
      <w:lang w:val="en-GB"/>
    </w:rPr>
  </w:style>
  <w:style w:type="paragraph" w:customStyle="1" w:styleId="enumlev1">
    <w:name w:val="enumlev1"/>
    <w:basedOn w:val="Normal"/>
    <w:rsid w:val="00B23B66"/>
    <w:pPr>
      <w:spacing w:before="86"/>
      <w:ind w:left="567" w:hanging="567"/>
    </w:pPr>
  </w:style>
  <w:style w:type="paragraph" w:customStyle="1" w:styleId="Source">
    <w:name w:val="Source"/>
    <w:basedOn w:val="Normal"/>
    <w:next w:val="Title1"/>
    <w:autoRedefine/>
    <w:uiPriority w:val="99"/>
    <w:rsid w:val="002F1511"/>
    <w:pPr>
      <w:spacing w:before="840"/>
      <w:jc w:val="center"/>
    </w:pPr>
    <w:rPr>
      <w:b/>
      <w:sz w:val="28"/>
    </w:rPr>
  </w:style>
  <w:style w:type="paragraph" w:customStyle="1" w:styleId="Title1">
    <w:name w:val="Title 1"/>
    <w:basedOn w:val="Source"/>
    <w:next w:val="Normal"/>
    <w:uiPriority w:val="99"/>
    <w:rsid w:val="00B23B66"/>
    <w:pPr>
      <w:spacing w:before="240"/>
    </w:pPr>
    <w:rPr>
      <w:b w:val="0"/>
      <w:caps/>
    </w:rPr>
  </w:style>
  <w:style w:type="paragraph" w:customStyle="1" w:styleId="AnnexNo">
    <w:name w:val="Annex_No"/>
    <w:basedOn w:val="Normal"/>
    <w:next w:val="Normal"/>
    <w:link w:val="AnnexNoChar"/>
    <w:rsid w:val="00B23B66"/>
    <w:pPr>
      <w:spacing w:before="720"/>
      <w:jc w:val="center"/>
    </w:pPr>
    <w:rPr>
      <w:caps/>
      <w:sz w:val="28"/>
    </w:rPr>
  </w:style>
  <w:style w:type="character" w:customStyle="1" w:styleId="AnnexNoChar">
    <w:name w:val="Annex_No Char"/>
    <w:basedOn w:val="DefaultParagraphFont"/>
    <w:link w:val="AnnexNo"/>
    <w:rsid w:val="00B23B66"/>
    <w:rPr>
      <w:rFonts w:ascii="Calibri" w:eastAsia="Times New Roman" w:hAnsi="Calibri" w:cs="Times New Roman"/>
      <w:caps/>
      <w:sz w:val="28"/>
      <w:szCs w:val="20"/>
      <w:lang w:val="en-GB"/>
    </w:rPr>
  </w:style>
  <w:style w:type="paragraph" w:customStyle="1" w:styleId="xmsonormal">
    <w:name w:val="x_msonormal"/>
    <w:basedOn w:val="Normal"/>
    <w:rsid w:val="00C521DC"/>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lt-LT" w:eastAsia="lt-LT"/>
    </w:rPr>
  </w:style>
  <w:style w:type="paragraph" w:customStyle="1" w:styleId="xmsolistparagraph">
    <w:name w:val="x_msolistparagraph"/>
    <w:basedOn w:val="Normal"/>
    <w:rsid w:val="00C521DC"/>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lt-LT" w:eastAsia="lt-LT"/>
    </w:rPr>
  </w:style>
  <w:style w:type="paragraph" w:styleId="BalloonText">
    <w:name w:val="Balloon Text"/>
    <w:basedOn w:val="Normal"/>
    <w:link w:val="BalloonTextChar"/>
    <w:uiPriority w:val="99"/>
    <w:semiHidden/>
    <w:unhideWhenUsed/>
    <w:rsid w:val="006E269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69C"/>
    <w:rPr>
      <w:rFonts w:ascii="Tahoma" w:eastAsia="Times New Roman" w:hAnsi="Tahoma" w:cs="Tahoma"/>
      <w:sz w:val="16"/>
      <w:szCs w:val="16"/>
      <w:lang w:val="en-GB"/>
    </w:rPr>
  </w:style>
  <w:style w:type="paragraph" w:styleId="Header">
    <w:name w:val="header"/>
    <w:basedOn w:val="Normal"/>
    <w:link w:val="HeaderChar"/>
    <w:uiPriority w:val="99"/>
    <w:unhideWhenUsed/>
    <w:rsid w:val="000E0778"/>
    <w:pPr>
      <w:tabs>
        <w:tab w:val="clear" w:pos="567"/>
        <w:tab w:val="clear" w:pos="1134"/>
        <w:tab w:val="clear" w:pos="1701"/>
        <w:tab w:val="clear" w:pos="2268"/>
        <w:tab w:val="clear" w:pos="2835"/>
        <w:tab w:val="center" w:pos="4680"/>
        <w:tab w:val="right" w:pos="9360"/>
      </w:tabs>
      <w:spacing w:before="0"/>
    </w:pPr>
  </w:style>
  <w:style w:type="character" w:customStyle="1" w:styleId="HeaderChar">
    <w:name w:val="Header Char"/>
    <w:basedOn w:val="DefaultParagraphFont"/>
    <w:link w:val="Header"/>
    <w:uiPriority w:val="99"/>
    <w:rsid w:val="000E0778"/>
    <w:rPr>
      <w:rFonts w:ascii="Calibri" w:eastAsia="Times New Roman" w:hAnsi="Calibri" w:cs="Times New Roman"/>
      <w:sz w:val="24"/>
      <w:szCs w:val="20"/>
      <w:lang w:val="en-GB"/>
    </w:rPr>
  </w:style>
  <w:style w:type="paragraph" w:styleId="Footer">
    <w:name w:val="footer"/>
    <w:basedOn w:val="Normal"/>
    <w:link w:val="FooterChar"/>
    <w:uiPriority w:val="99"/>
    <w:unhideWhenUsed/>
    <w:rsid w:val="000E0778"/>
    <w:pPr>
      <w:tabs>
        <w:tab w:val="clear" w:pos="567"/>
        <w:tab w:val="clear" w:pos="1134"/>
        <w:tab w:val="clear" w:pos="1701"/>
        <w:tab w:val="clear" w:pos="2268"/>
        <w:tab w:val="clear" w:pos="2835"/>
        <w:tab w:val="center" w:pos="4680"/>
        <w:tab w:val="right" w:pos="9360"/>
      </w:tabs>
      <w:spacing w:before="0"/>
    </w:pPr>
  </w:style>
  <w:style w:type="character" w:customStyle="1" w:styleId="FooterChar">
    <w:name w:val="Footer Char"/>
    <w:basedOn w:val="DefaultParagraphFont"/>
    <w:link w:val="Footer"/>
    <w:uiPriority w:val="99"/>
    <w:rsid w:val="000E0778"/>
    <w:rPr>
      <w:rFonts w:ascii="Calibri" w:eastAsia="Times New Roman" w:hAnsi="Calibri" w:cs="Times New Roman"/>
      <w:sz w:val="24"/>
      <w:szCs w:val="20"/>
      <w:lang w:val="en-GB"/>
    </w:rPr>
  </w:style>
  <w:style w:type="character" w:styleId="Hyperlink">
    <w:name w:val="Hyperlink"/>
    <w:basedOn w:val="DefaultParagraphFont"/>
    <w:rsid w:val="000E07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40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896</Words>
  <Characters>5109</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C17/76</vt:lpstr>
      <vt:lpstr/>
    </vt:vector>
  </TitlesOfParts>
  <Company>ITU</Company>
  <LinksUpToDate>false</LinksUpToDate>
  <CharactersWithSpaces>5994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C17/76</dc:title>
  <dc:subject>Council 2017</dc:subject>
  <dc:creator>author</dc:creator>
  <cp:keywords>C2017, C17</cp:keywords>
  <cp:lastModifiedBy>Brouard, Ricarda</cp:lastModifiedBy>
  <cp:revision>4</cp:revision>
  <dcterms:created xsi:type="dcterms:W3CDTF">2017-04-28T08:54:00Z</dcterms:created>
  <dcterms:modified xsi:type="dcterms:W3CDTF">2017-04-28T15:22:00Z</dcterms:modified>
</cp:coreProperties>
</file>