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E7C94">
        <w:trPr>
          <w:cantSplit/>
        </w:trPr>
        <w:tc>
          <w:tcPr>
            <w:tcW w:w="6912" w:type="dxa"/>
          </w:tcPr>
          <w:p w:rsidR="00093EEB" w:rsidRPr="000E7C94" w:rsidRDefault="00093EEB" w:rsidP="00093EEB">
            <w:pPr>
              <w:spacing w:before="360"/>
              <w:rPr>
                <w:szCs w:val="24"/>
              </w:rPr>
            </w:pPr>
            <w:bookmarkStart w:id="0" w:name="dc06"/>
            <w:bookmarkStart w:id="1" w:name="dbluepink" w:colFirst="0" w:colLast="0"/>
            <w:bookmarkEnd w:id="0"/>
            <w:r w:rsidRPr="000E7C94">
              <w:rPr>
                <w:b/>
                <w:bCs/>
                <w:sz w:val="30"/>
                <w:szCs w:val="30"/>
              </w:rPr>
              <w:t>Consejo 2017</w:t>
            </w:r>
            <w:r w:rsidRPr="000E7C94">
              <w:rPr>
                <w:b/>
                <w:bCs/>
                <w:sz w:val="26"/>
                <w:szCs w:val="26"/>
              </w:rPr>
              <w:br/>
            </w:r>
            <w:r w:rsidRPr="000E7C94">
              <w:rPr>
                <w:b/>
                <w:bCs/>
                <w:szCs w:val="24"/>
              </w:rPr>
              <w:t>Ginebra, 15-25 de mayo de 2017</w:t>
            </w:r>
          </w:p>
        </w:tc>
        <w:tc>
          <w:tcPr>
            <w:tcW w:w="3261" w:type="dxa"/>
          </w:tcPr>
          <w:p w:rsidR="00093EEB" w:rsidRPr="000E7C94" w:rsidRDefault="00093EEB" w:rsidP="00093EEB">
            <w:pPr>
              <w:spacing w:before="0"/>
              <w:jc w:val="right"/>
              <w:rPr>
                <w:szCs w:val="24"/>
              </w:rPr>
            </w:pPr>
            <w:bookmarkStart w:id="2" w:name="ditulogo"/>
            <w:bookmarkEnd w:id="2"/>
            <w:r w:rsidRPr="000E7C94">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E7C94">
        <w:trPr>
          <w:cantSplit/>
          <w:trHeight w:val="20"/>
        </w:trPr>
        <w:tc>
          <w:tcPr>
            <w:tcW w:w="10173" w:type="dxa"/>
            <w:gridSpan w:val="2"/>
            <w:tcBorders>
              <w:bottom w:val="single" w:sz="12" w:space="0" w:color="auto"/>
            </w:tcBorders>
          </w:tcPr>
          <w:p w:rsidR="00093EEB" w:rsidRPr="000E7C94" w:rsidRDefault="00093EEB">
            <w:pPr>
              <w:spacing w:before="0"/>
              <w:rPr>
                <w:b/>
                <w:bCs/>
                <w:szCs w:val="24"/>
              </w:rPr>
            </w:pPr>
          </w:p>
        </w:tc>
      </w:tr>
      <w:tr w:rsidR="00093EEB" w:rsidRPr="000E7C94">
        <w:trPr>
          <w:cantSplit/>
          <w:trHeight w:val="20"/>
        </w:trPr>
        <w:tc>
          <w:tcPr>
            <w:tcW w:w="6912" w:type="dxa"/>
            <w:tcBorders>
              <w:top w:val="single" w:sz="12" w:space="0" w:color="auto"/>
            </w:tcBorders>
          </w:tcPr>
          <w:p w:rsidR="00093EEB" w:rsidRPr="000E7C9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E7C94" w:rsidRDefault="00093EEB">
            <w:pPr>
              <w:spacing w:before="0"/>
              <w:rPr>
                <w:b/>
                <w:bCs/>
                <w:szCs w:val="24"/>
              </w:rPr>
            </w:pPr>
          </w:p>
        </w:tc>
      </w:tr>
      <w:tr w:rsidR="00093EEB" w:rsidRPr="000E7C94">
        <w:trPr>
          <w:cantSplit/>
          <w:trHeight w:val="20"/>
        </w:trPr>
        <w:tc>
          <w:tcPr>
            <w:tcW w:w="6912" w:type="dxa"/>
            <w:shd w:val="clear" w:color="auto" w:fill="auto"/>
          </w:tcPr>
          <w:p w:rsidR="00093EEB" w:rsidRPr="000E7C94" w:rsidRDefault="00744860">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0E7C94">
              <w:rPr>
                <w:b/>
              </w:rPr>
              <w:t>Punto del orden del día: ADM 9</w:t>
            </w:r>
          </w:p>
        </w:tc>
        <w:tc>
          <w:tcPr>
            <w:tcW w:w="3261" w:type="dxa"/>
          </w:tcPr>
          <w:p w:rsidR="00093EEB" w:rsidRPr="000E7C94" w:rsidRDefault="00093EEB" w:rsidP="00093EEB">
            <w:pPr>
              <w:spacing w:before="0"/>
              <w:rPr>
                <w:b/>
                <w:bCs/>
                <w:szCs w:val="24"/>
              </w:rPr>
            </w:pPr>
            <w:r w:rsidRPr="000E7C94">
              <w:rPr>
                <w:b/>
                <w:bCs/>
                <w:szCs w:val="24"/>
              </w:rPr>
              <w:t>Documento C17/</w:t>
            </w:r>
            <w:r w:rsidR="00744860" w:rsidRPr="000E7C94">
              <w:rPr>
                <w:b/>
                <w:bCs/>
                <w:szCs w:val="24"/>
              </w:rPr>
              <w:t>74</w:t>
            </w:r>
            <w:r w:rsidRPr="000E7C94">
              <w:rPr>
                <w:b/>
                <w:bCs/>
                <w:szCs w:val="24"/>
              </w:rPr>
              <w:t>-S</w:t>
            </w:r>
          </w:p>
        </w:tc>
      </w:tr>
      <w:tr w:rsidR="00093EEB" w:rsidRPr="000E7C94">
        <w:trPr>
          <w:cantSplit/>
          <w:trHeight w:val="20"/>
        </w:trPr>
        <w:tc>
          <w:tcPr>
            <w:tcW w:w="6912" w:type="dxa"/>
            <w:shd w:val="clear" w:color="auto" w:fill="auto"/>
          </w:tcPr>
          <w:p w:rsidR="00093EEB" w:rsidRPr="000E7C94"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E7C94" w:rsidRDefault="003339A3" w:rsidP="003339A3">
            <w:pPr>
              <w:spacing w:before="0"/>
              <w:rPr>
                <w:b/>
                <w:bCs/>
                <w:szCs w:val="24"/>
              </w:rPr>
            </w:pPr>
            <w:r>
              <w:rPr>
                <w:b/>
                <w:bCs/>
                <w:szCs w:val="24"/>
              </w:rPr>
              <w:t>31</w:t>
            </w:r>
            <w:r w:rsidR="0077252D" w:rsidRPr="000E7C94">
              <w:rPr>
                <w:b/>
                <w:bCs/>
                <w:szCs w:val="24"/>
              </w:rPr>
              <w:t xml:space="preserve"> </w:t>
            </w:r>
            <w:r>
              <w:rPr>
                <w:b/>
                <w:bCs/>
                <w:szCs w:val="24"/>
              </w:rPr>
              <w:t>marzo</w:t>
            </w:r>
            <w:r w:rsidR="00093EEB" w:rsidRPr="000E7C94">
              <w:rPr>
                <w:b/>
                <w:bCs/>
                <w:szCs w:val="24"/>
              </w:rPr>
              <w:t xml:space="preserve"> de 2017</w:t>
            </w:r>
          </w:p>
        </w:tc>
      </w:tr>
      <w:tr w:rsidR="00093EEB" w:rsidRPr="000E7C94">
        <w:trPr>
          <w:cantSplit/>
          <w:trHeight w:val="20"/>
        </w:trPr>
        <w:tc>
          <w:tcPr>
            <w:tcW w:w="6912" w:type="dxa"/>
            <w:shd w:val="clear" w:color="auto" w:fill="auto"/>
          </w:tcPr>
          <w:p w:rsidR="00093EEB" w:rsidRPr="000E7C94" w:rsidRDefault="00093EEB">
            <w:pPr>
              <w:shd w:val="solid" w:color="FFFFFF" w:fill="FFFFFF"/>
              <w:spacing w:before="0"/>
              <w:rPr>
                <w:smallCaps/>
                <w:szCs w:val="24"/>
              </w:rPr>
            </w:pPr>
            <w:bookmarkStart w:id="6" w:name="dorlang" w:colFirst="1" w:colLast="1"/>
            <w:bookmarkEnd w:id="5"/>
          </w:p>
        </w:tc>
        <w:tc>
          <w:tcPr>
            <w:tcW w:w="3261" w:type="dxa"/>
          </w:tcPr>
          <w:p w:rsidR="00093EEB" w:rsidRPr="000E7C94" w:rsidRDefault="00093EEB" w:rsidP="00093EEB">
            <w:pPr>
              <w:spacing w:before="0"/>
              <w:rPr>
                <w:b/>
                <w:bCs/>
                <w:szCs w:val="24"/>
              </w:rPr>
            </w:pPr>
            <w:r w:rsidRPr="000E7C94">
              <w:rPr>
                <w:b/>
                <w:bCs/>
                <w:szCs w:val="24"/>
              </w:rPr>
              <w:t>Original: inglés</w:t>
            </w:r>
          </w:p>
        </w:tc>
      </w:tr>
      <w:tr w:rsidR="00093EEB" w:rsidRPr="000E7C94">
        <w:trPr>
          <w:cantSplit/>
        </w:trPr>
        <w:tc>
          <w:tcPr>
            <w:tcW w:w="10173" w:type="dxa"/>
            <w:gridSpan w:val="2"/>
          </w:tcPr>
          <w:p w:rsidR="00093EEB" w:rsidRPr="000E7C94" w:rsidRDefault="00744860">
            <w:pPr>
              <w:pStyle w:val="Source"/>
            </w:pPr>
            <w:bookmarkStart w:id="7" w:name="dsource" w:colFirst="0" w:colLast="0"/>
            <w:bookmarkEnd w:id="1"/>
            <w:bookmarkEnd w:id="6"/>
            <w:r w:rsidRPr="000E7C94">
              <w:t>Informe del Secretario General</w:t>
            </w:r>
          </w:p>
        </w:tc>
      </w:tr>
      <w:tr w:rsidR="00093EEB" w:rsidRPr="000E7C94">
        <w:trPr>
          <w:cantSplit/>
        </w:trPr>
        <w:tc>
          <w:tcPr>
            <w:tcW w:w="10173" w:type="dxa"/>
            <w:gridSpan w:val="2"/>
          </w:tcPr>
          <w:p w:rsidR="00093EEB" w:rsidRPr="000E7C94" w:rsidRDefault="00744860">
            <w:pPr>
              <w:pStyle w:val="Title1"/>
            </w:pPr>
            <w:bookmarkStart w:id="8" w:name="dtitle1" w:colFirst="0" w:colLast="0"/>
            <w:bookmarkEnd w:id="7"/>
            <w:r w:rsidRPr="000E7C94">
              <w:t>Proyecto de política de gestión de riesgos de la UIT</w:t>
            </w:r>
          </w:p>
        </w:tc>
      </w:tr>
      <w:bookmarkEnd w:id="8"/>
    </w:tbl>
    <w:p w:rsidR="00093EEB" w:rsidRPr="000E7C94"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E7C94">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E7C94" w:rsidRDefault="00093EEB">
            <w:pPr>
              <w:pStyle w:val="Headingb"/>
            </w:pPr>
            <w:r w:rsidRPr="000E7C94">
              <w:t>Resumen</w:t>
            </w:r>
          </w:p>
          <w:p w:rsidR="00744860" w:rsidRPr="000E7C94" w:rsidRDefault="00744860" w:rsidP="00744860">
            <w:pPr>
              <w:jc w:val="both"/>
            </w:pPr>
            <w:r w:rsidRPr="000E7C94">
              <w:t xml:space="preserve">En cumplimiento de las Resoluciones 151, 71 y 72 de la PP, así como de las recomendaciones del Comité Asesor Independiente sobre la Gestión (CAIG) y la Dependencia </w:t>
            </w:r>
            <w:r w:rsidR="00135005" w:rsidRPr="000E7C94">
              <w:t xml:space="preserve">común </w:t>
            </w:r>
            <w:r w:rsidRPr="000E7C94">
              <w:t xml:space="preserve">de </w:t>
            </w:r>
            <w:r w:rsidR="00135005" w:rsidRPr="000E7C94">
              <w:t>inspección</w:t>
            </w:r>
            <w:r w:rsidR="00135005">
              <w:t xml:space="preserve"> </w:t>
            </w:r>
            <w:r w:rsidRPr="000E7C94">
              <w:t>de las Naciones Unidas (JIU), la UIT está aplicando un marco sistemático de gestión de riesgos como un proceso de mejora continua de sus prácticas de gestión para una mayor eficacia, transparencia y rendición de cuentas.</w:t>
            </w:r>
          </w:p>
          <w:p w:rsidR="00744860" w:rsidRPr="000E7C94" w:rsidRDefault="00744860" w:rsidP="006B033D">
            <w:pPr>
              <w:jc w:val="both"/>
            </w:pPr>
            <w:r w:rsidRPr="000E7C94">
              <w:t>En este documento se presenta el proyecto de política de gestión de riesgos de la</w:t>
            </w:r>
            <w:r w:rsidR="006B033D">
              <w:t> </w:t>
            </w:r>
            <w:r w:rsidRPr="000E7C94">
              <w:t>UIT.</w:t>
            </w:r>
          </w:p>
          <w:p w:rsidR="00093EEB" w:rsidRPr="000E7C94" w:rsidRDefault="00744860" w:rsidP="00BC0C04">
            <w:r w:rsidRPr="000E7C94">
              <w:t>Esta política está complementada por una declaración de asunción de riesgos (C17/73) en la que se indica la cantidad y los tipos de riesgos que la Unión está dispuesta a asumir para alcanzar sus metas y objetivos estratégicos; en ella se hace referencia a la asunción de riesgos de la Unión, así como a su tolerancia a los mismos.</w:t>
            </w:r>
          </w:p>
          <w:p w:rsidR="00093EEB" w:rsidRPr="000E7C94" w:rsidRDefault="00093EEB">
            <w:pPr>
              <w:pStyle w:val="Headingb"/>
            </w:pPr>
            <w:r w:rsidRPr="000E7C94">
              <w:t>Acción solicitada</w:t>
            </w:r>
          </w:p>
          <w:p w:rsidR="00093EEB" w:rsidRPr="000E7C94" w:rsidRDefault="00744860">
            <w:r w:rsidRPr="000E7C94">
              <w:t xml:space="preserve">Se invita al Consejo a </w:t>
            </w:r>
            <w:r w:rsidRPr="000E7C94">
              <w:rPr>
                <w:b/>
              </w:rPr>
              <w:t xml:space="preserve">examinar </w:t>
            </w:r>
            <w:r w:rsidRPr="000E7C94">
              <w:rPr>
                <w:bCs/>
              </w:rPr>
              <w:t>y</w:t>
            </w:r>
            <w:r w:rsidRPr="000E7C94">
              <w:rPr>
                <w:b/>
              </w:rPr>
              <w:t xml:space="preserve"> respaldar </w:t>
            </w:r>
            <w:r w:rsidRPr="000E7C94">
              <w:rPr>
                <w:bCs/>
              </w:rPr>
              <w:t xml:space="preserve">el </w:t>
            </w:r>
            <w:r w:rsidRPr="000E7C94">
              <w:t>proyecto de política de gestión de riesgos de la UIT.</w:t>
            </w:r>
          </w:p>
          <w:p w:rsidR="00093EEB" w:rsidRPr="000E7C94" w:rsidRDefault="00093EEB">
            <w:pPr>
              <w:pStyle w:val="Table"/>
              <w:keepNext w:val="0"/>
              <w:spacing w:before="0" w:after="0"/>
              <w:rPr>
                <w:caps w:val="0"/>
                <w:sz w:val="22"/>
                <w:lang w:val="es-ES_tradnl"/>
              </w:rPr>
            </w:pPr>
            <w:r w:rsidRPr="000E7C94">
              <w:rPr>
                <w:caps w:val="0"/>
                <w:sz w:val="22"/>
                <w:lang w:val="es-ES_tradnl"/>
              </w:rPr>
              <w:t>____________</w:t>
            </w:r>
          </w:p>
          <w:p w:rsidR="00093EEB" w:rsidRPr="000E7C94" w:rsidRDefault="00093EEB">
            <w:pPr>
              <w:pStyle w:val="Headingb"/>
            </w:pPr>
            <w:r w:rsidRPr="000E7C94">
              <w:t>Referencia</w:t>
            </w:r>
          </w:p>
          <w:p w:rsidR="00093EEB" w:rsidRPr="000E7C94" w:rsidRDefault="00744860" w:rsidP="00744860">
            <w:pPr>
              <w:spacing w:after="120"/>
              <w:rPr>
                <w:i/>
                <w:iCs/>
              </w:rPr>
            </w:pPr>
            <w:r w:rsidRPr="000E7C94">
              <w:rPr>
                <w:bCs/>
                <w:i/>
                <w:iCs/>
                <w:szCs w:val="24"/>
              </w:rPr>
              <w:t xml:space="preserve">Resoluciones </w:t>
            </w:r>
            <w:hyperlink r:id="rId8" w:history="1">
              <w:r w:rsidRPr="000E7C94">
                <w:rPr>
                  <w:rStyle w:val="Hyperlink"/>
                  <w:bCs/>
                  <w:i/>
                  <w:iCs/>
                  <w:szCs w:val="24"/>
                </w:rPr>
                <w:t>7</w:t>
              </w:r>
              <w:r w:rsidRPr="000E7C94">
                <w:rPr>
                  <w:rStyle w:val="Hyperlink"/>
                  <w:bCs/>
                  <w:i/>
                  <w:iCs/>
                  <w:szCs w:val="24"/>
                </w:rPr>
                <w:t>1</w:t>
              </w:r>
            </w:hyperlink>
            <w:r w:rsidR="007A521A" w:rsidRPr="000E7C94">
              <w:rPr>
                <w:bCs/>
                <w:i/>
                <w:iCs/>
                <w:szCs w:val="24"/>
              </w:rPr>
              <w:t xml:space="preserve"> </w:t>
            </w:r>
            <w:r w:rsidRPr="000E7C94">
              <w:rPr>
                <w:bCs/>
                <w:i/>
                <w:iCs/>
                <w:szCs w:val="24"/>
              </w:rPr>
              <w:t xml:space="preserve">(Rev. Busán, 2014), </w:t>
            </w:r>
            <w:hyperlink r:id="rId9" w:history="1">
              <w:r w:rsidRPr="000E7C94">
                <w:rPr>
                  <w:rStyle w:val="Hyperlink"/>
                  <w:bCs/>
                  <w:i/>
                  <w:iCs/>
                  <w:szCs w:val="24"/>
                </w:rPr>
                <w:t>72</w:t>
              </w:r>
            </w:hyperlink>
            <w:r w:rsidRPr="000E7C94">
              <w:rPr>
                <w:bCs/>
                <w:i/>
                <w:iCs/>
                <w:szCs w:val="24"/>
              </w:rPr>
              <w:t xml:space="preserve"> (Rev. Busán, 2014) y </w:t>
            </w:r>
            <w:hyperlink r:id="rId10" w:history="1">
              <w:r w:rsidRPr="000E7C94">
                <w:rPr>
                  <w:rStyle w:val="Hyperlink"/>
                  <w:bCs/>
                  <w:i/>
                  <w:iCs/>
                  <w:szCs w:val="24"/>
                </w:rPr>
                <w:t>151</w:t>
              </w:r>
            </w:hyperlink>
            <w:r w:rsidRPr="000E7C94">
              <w:rPr>
                <w:bCs/>
                <w:i/>
                <w:iCs/>
                <w:szCs w:val="24"/>
              </w:rPr>
              <w:t xml:space="preserve"> (Rev. Busán, 2014) de la PP; Examen de la gestión y administración en la UIT (</w:t>
            </w:r>
            <w:hyperlink r:id="rId11" w:history="1">
              <w:r w:rsidRPr="000E7C94">
                <w:rPr>
                  <w:rStyle w:val="Hyperlink"/>
                  <w:bCs/>
                  <w:i/>
                  <w:iCs/>
                  <w:szCs w:val="24"/>
                </w:rPr>
                <w:t>JIU/2016/1</w:t>
              </w:r>
            </w:hyperlink>
            <w:r w:rsidRPr="000E7C94">
              <w:rPr>
                <w:bCs/>
                <w:i/>
                <w:iCs/>
                <w:szCs w:val="24"/>
              </w:rPr>
              <w:t xml:space="preserve">); </w:t>
            </w:r>
            <w:hyperlink r:id="rId12" w:history="1">
              <w:r w:rsidRPr="000E7C94">
                <w:rPr>
                  <w:rStyle w:val="Hyperlink"/>
                  <w:bCs/>
                  <w:i/>
                  <w:iCs/>
                  <w:szCs w:val="24"/>
                </w:rPr>
                <w:t>C17/73</w:t>
              </w:r>
            </w:hyperlink>
          </w:p>
        </w:tc>
      </w:tr>
    </w:tbl>
    <w:p w:rsidR="00744860" w:rsidRPr="000E7C94" w:rsidRDefault="00744860" w:rsidP="002012CF">
      <w:pPr>
        <w:pStyle w:val="Heading1"/>
      </w:pPr>
      <w:r w:rsidRPr="000E7C94">
        <w:t>1</w:t>
      </w:r>
      <w:r w:rsidRPr="000E7C94">
        <w:tab/>
        <w:t>Introducción</w:t>
      </w:r>
    </w:p>
    <w:p w:rsidR="00744860" w:rsidRPr="000E7C94" w:rsidRDefault="00744860" w:rsidP="002012CF">
      <w:pPr>
        <w:pStyle w:val="Heading2"/>
        <w:numPr>
          <w:ilvl w:val="1"/>
          <w:numId w:val="0"/>
        </w:numPr>
        <w:ind w:left="567" w:hanging="567"/>
      </w:pPr>
      <w:r w:rsidRPr="000E7C94">
        <w:t>1.1</w:t>
      </w:r>
      <w:r w:rsidRPr="000E7C94">
        <w:tab/>
        <w:t>Misión y metas estratégicas de la UIT</w:t>
      </w:r>
    </w:p>
    <w:p w:rsidR="00744860" w:rsidRPr="000E7C94" w:rsidRDefault="00744860" w:rsidP="00DD5F74">
      <w:r w:rsidRPr="000E7C94">
        <w:t xml:space="preserve">La misión de la UIT es </w:t>
      </w:r>
      <w:r w:rsidR="00DD5F74" w:rsidRPr="000E7C94">
        <w:t>"</w:t>
      </w:r>
      <w:r w:rsidRPr="00735A3E">
        <w:rPr>
          <w:i/>
          <w:iCs/>
        </w:rPr>
        <w:t>promover, facilitar y fomentar el acceso asequible y universal a las redes, servicios y aplicaciones de telecomunicaciones/tecnologías de la información y la comunicación</w:t>
      </w:r>
      <w:r w:rsidR="00FB3F63">
        <w:rPr>
          <w:i/>
          <w:iCs/>
        </w:rPr>
        <w:t xml:space="preserve"> (TIC)</w:t>
      </w:r>
      <w:r w:rsidRPr="00735A3E">
        <w:rPr>
          <w:i/>
          <w:iCs/>
        </w:rPr>
        <w:t xml:space="preserve">, </w:t>
      </w:r>
      <w:r w:rsidRPr="00735A3E">
        <w:rPr>
          <w:i/>
          <w:iCs/>
        </w:rPr>
        <w:lastRenderedPageBreak/>
        <w:t>así como su utilización para el crecimiento y el desarrollo socioeconómicos ecológicamente sostenibles</w:t>
      </w:r>
      <w:r w:rsidR="00DD5F74" w:rsidRPr="000E7C94">
        <w:t>"</w:t>
      </w:r>
      <w:r w:rsidRPr="000E7C94">
        <w:t xml:space="preserve"> (Anexo 2 a la Resolución 71 (Rev. Busán, 2014)).</w:t>
      </w:r>
    </w:p>
    <w:p w:rsidR="00744860" w:rsidRPr="000E7C94" w:rsidRDefault="00744860" w:rsidP="00744860">
      <w:pPr>
        <w:tabs>
          <w:tab w:val="clear" w:pos="567"/>
          <w:tab w:val="clear" w:pos="1134"/>
          <w:tab w:val="clear" w:pos="1701"/>
          <w:tab w:val="clear" w:pos="2268"/>
          <w:tab w:val="clear" w:pos="2835"/>
        </w:tabs>
        <w:snapToGrid w:val="0"/>
        <w:spacing w:after="120"/>
        <w:jc w:val="both"/>
      </w:pPr>
      <w:r w:rsidRPr="000E7C94">
        <w:t>La UIT procura cumplir su misión mediante el logro de las cuatro metas estratégicas siguientes:</w:t>
      </w:r>
    </w:p>
    <w:p w:rsidR="00744860" w:rsidRPr="000E7C94" w:rsidRDefault="00497778" w:rsidP="00497778">
      <w:pPr>
        <w:pStyle w:val="enumlev1"/>
      </w:pPr>
      <w:r w:rsidRPr="000E7C94">
        <w:t>–</w:t>
      </w:r>
      <w:r w:rsidRPr="000E7C94">
        <w:tab/>
      </w:r>
      <w:r w:rsidR="00744860" w:rsidRPr="000E7C94">
        <w:t>Meta 1: Crecimiento – Permitir y fomentar el acceso a las telecomunicaciones/TIC y aumentar su utilización</w:t>
      </w:r>
      <w:r w:rsidR="00754EAF" w:rsidRPr="000E7C94">
        <w:t>.</w:t>
      </w:r>
    </w:p>
    <w:p w:rsidR="00744860" w:rsidRPr="000E7C94" w:rsidRDefault="00497778" w:rsidP="00497778">
      <w:pPr>
        <w:pStyle w:val="enumlev1"/>
      </w:pPr>
      <w:r w:rsidRPr="000E7C94">
        <w:t>–</w:t>
      </w:r>
      <w:r w:rsidRPr="000E7C94">
        <w:tab/>
      </w:r>
      <w:r w:rsidR="00744860" w:rsidRPr="000E7C94">
        <w:t>Meta 2: Integración – Reducir la brecha digital y lograr el acceso universal a la banda ancha</w:t>
      </w:r>
      <w:r w:rsidR="00754EAF" w:rsidRPr="000E7C94">
        <w:t>.</w:t>
      </w:r>
    </w:p>
    <w:p w:rsidR="00744860" w:rsidRPr="000E7C94" w:rsidRDefault="00497778" w:rsidP="00497778">
      <w:pPr>
        <w:pStyle w:val="enumlev1"/>
        <w:rPr>
          <w:snapToGrid w:val="0"/>
          <w:spacing w:val="-2"/>
        </w:rPr>
      </w:pPr>
      <w:r w:rsidRPr="000E7C94">
        <w:t>–</w:t>
      </w:r>
      <w:r w:rsidRPr="000E7C94">
        <w:tab/>
      </w:r>
      <w:r w:rsidR="00744860" w:rsidRPr="000E7C94">
        <w:rPr>
          <w:snapToGrid w:val="0"/>
          <w:spacing w:val="-2"/>
        </w:rPr>
        <w:t xml:space="preserve">Meta 3: Sostenibilidad – </w:t>
      </w:r>
      <w:r w:rsidR="00744860" w:rsidRPr="000E7C94">
        <w:t>Resolver</w:t>
      </w:r>
      <w:r w:rsidR="00744860" w:rsidRPr="000E7C94">
        <w:rPr>
          <w:snapToGrid w:val="0"/>
          <w:spacing w:val="-2"/>
        </w:rPr>
        <w:t xml:space="preserve"> las dificultades que plantee el desarrollo de las telecomunicaciones/TIC</w:t>
      </w:r>
      <w:r w:rsidR="00754EAF" w:rsidRPr="000E7C94">
        <w:rPr>
          <w:snapToGrid w:val="0"/>
          <w:spacing w:val="-2"/>
        </w:rPr>
        <w:t>.</w:t>
      </w:r>
    </w:p>
    <w:p w:rsidR="00744860" w:rsidRPr="000E7C94" w:rsidRDefault="00497778" w:rsidP="00497778">
      <w:pPr>
        <w:pStyle w:val="enumlev1"/>
      </w:pPr>
      <w:r w:rsidRPr="000E7C94">
        <w:t>–</w:t>
      </w:r>
      <w:r w:rsidRPr="000E7C94">
        <w:tab/>
      </w:r>
      <w:r w:rsidR="00744860" w:rsidRPr="000E7C94">
        <w:t>Meta 4: Innovación y asociación – Dirigir, mejorar y adaptarse a los cambios del entorno de las telecomunicaciones/TIC.</w:t>
      </w:r>
    </w:p>
    <w:p w:rsidR="00744860" w:rsidRPr="000E7C94" w:rsidRDefault="00300461" w:rsidP="00300461">
      <w:pPr>
        <w:pStyle w:val="Heading2"/>
        <w:numPr>
          <w:ilvl w:val="1"/>
          <w:numId w:val="0"/>
        </w:numPr>
        <w:ind w:left="567" w:hanging="567"/>
      </w:pPr>
      <w:r w:rsidRPr="000E7C94">
        <w:t>1.2</w:t>
      </w:r>
      <w:r w:rsidRPr="000E7C94">
        <w:tab/>
      </w:r>
      <w:r w:rsidR="00744860" w:rsidRPr="000E7C94">
        <w:t>La gestión de riesgos en el marco de la gestión basada en los resultados (GBR) de la UIT</w:t>
      </w:r>
    </w:p>
    <w:p w:rsidR="00744860" w:rsidRPr="000E7C94" w:rsidRDefault="00744860" w:rsidP="005D219E">
      <w:r w:rsidRPr="000E7C94">
        <w:t>Los resultados son el principal objetivo de la estrategia, planificación y presupuestación en el marco de la GBR de la UIT. La supervisión y evaluación del rendimiento, así como la gestión del riesgo, garantizan que los procesos de planificación estratégica, operacional y financiera se basen en decisiones fundamentadas y una atribución adecuada de los recursos</w:t>
      </w:r>
      <w:r w:rsidRPr="000E7C94">
        <w:rPr>
          <w:spacing w:val="-2"/>
        </w:rPr>
        <w:t xml:space="preserve">. El marco de gestión de riesgos de la UIT se </w:t>
      </w:r>
      <w:r w:rsidRPr="000E7C94">
        <w:t>desarrolla</w:t>
      </w:r>
      <w:r w:rsidRPr="000E7C94">
        <w:rPr>
          <w:spacing w:val="-2"/>
        </w:rPr>
        <w:t xml:space="preserve"> aún más para garantizar un planteamiento integrado del marco de la GBR de la UIT que figura en el Plan Estratégico de la Unión para 2016-2019</w:t>
      </w:r>
      <w:r w:rsidRPr="000E7C94">
        <w:t>.</w:t>
      </w:r>
    </w:p>
    <w:p w:rsidR="00744860" w:rsidRPr="000E7C94" w:rsidRDefault="00744860" w:rsidP="005D219E">
      <w:r w:rsidRPr="000E7C94">
        <w:t>Habida cuenta de los retos, evoluciones y transformaciones actuales que tienen más posibilidades de afectar a las actividades de la UIT, la UIT ha identificado y examinado los principales riesgos estratégicos al planificar la estrategia para 2016-2019, y ha elaborado sus marcos estratégico y operacional en consecuencia.</w:t>
      </w:r>
    </w:p>
    <w:p w:rsidR="00744860" w:rsidRPr="000E7C94" w:rsidRDefault="00744860" w:rsidP="00D96E90">
      <w:pPr>
        <w:pStyle w:val="Heading2"/>
        <w:numPr>
          <w:ilvl w:val="1"/>
          <w:numId w:val="0"/>
        </w:numPr>
        <w:ind w:left="567" w:hanging="567"/>
      </w:pPr>
      <w:r w:rsidRPr="000E7C94">
        <w:t>1.3</w:t>
      </w:r>
      <w:r w:rsidRPr="000E7C94">
        <w:tab/>
        <w:t>Finalidad de la política de gestión de riesgos de la UIT</w:t>
      </w:r>
    </w:p>
    <w:p w:rsidR="00744860" w:rsidRPr="000E7C94" w:rsidRDefault="00744860" w:rsidP="00D96E90">
      <w:r w:rsidRPr="000E7C94">
        <w:t>La finalidad de esta política es dejar constancia de la metodología y el marco comunes para la aplicación de un sistema sistemático de gestión de riesgos. El principal objetivo es facilitar y promover la identificación, comunicación y gestión de riesgos utilizando las líneas de notificación de la dirección</w:t>
      </w:r>
      <w:r w:rsidR="006364C7" w:rsidRPr="000E7C94">
        <w:t>.</w:t>
      </w:r>
    </w:p>
    <w:p w:rsidR="00744860" w:rsidRPr="000E7C94" w:rsidRDefault="00744860" w:rsidP="00D96E90">
      <w:r w:rsidRPr="000E7C94">
        <w:t>En la metodología indicada en el presente documento, adaptada a las especificidades de la UIT, se siguen las mejores prácticas promovidas por organizaciones profesionales.</w:t>
      </w:r>
    </w:p>
    <w:p w:rsidR="00744860" w:rsidRPr="000E7C94" w:rsidRDefault="00744860" w:rsidP="007505FF">
      <w:pPr>
        <w:pStyle w:val="Heading2"/>
        <w:numPr>
          <w:ilvl w:val="1"/>
          <w:numId w:val="0"/>
        </w:numPr>
        <w:ind w:left="567" w:hanging="567"/>
      </w:pPr>
      <w:r w:rsidRPr="000E7C94">
        <w:t>1.4</w:t>
      </w:r>
      <w:r w:rsidRPr="000E7C94">
        <w:tab/>
        <w:t>Objetivos de la política de gestión de riesgos de la UIT</w:t>
      </w:r>
    </w:p>
    <w:p w:rsidR="00744860" w:rsidRPr="000E7C94" w:rsidRDefault="00744860" w:rsidP="007505FF">
      <w:r w:rsidRPr="000E7C94">
        <w:t xml:space="preserve">Los principales objetivos de la </w:t>
      </w:r>
      <w:r w:rsidRPr="000E7C94">
        <w:rPr>
          <w:rFonts w:asciiTheme="minorHAnsi" w:hAnsiTheme="minorHAnsi"/>
          <w:szCs w:val="24"/>
        </w:rPr>
        <w:t>política de gestión de riesgos de la UIT</w:t>
      </w:r>
      <w:r w:rsidRPr="000E7C94">
        <w:t xml:space="preserve"> son los siguientes:</w:t>
      </w:r>
    </w:p>
    <w:p w:rsidR="00744860" w:rsidRPr="000E7C94" w:rsidRDefault="004908B7" w:rsidP="004908B7">
      <w:pPr>
        <w:pStyle w:val="enumlev1"/>
      </w:pPr>
      <w:r w:rsidRPr="000E7C94">
        <w:t>–</w:t>
      </w:r>
      <w:r w:rsidRPr="000E7C94">
        <w:tab/>
      </w:r>
      <w:r w:rsidRPr="000E7C94">
        <w:t xml:space="preserve">incorporar </w:t>
      </w:r>
      <w:r w:rsidR="00744860" w:rsidRPr="000E7C94">
        <w:t>la gestión de riesgos en el proceso institucional, bas</w:t>
      </w:r>
      <w:r w:rsidRPr="000E7C94">
        <w:t>ándose en las mejores prácticas;</w:t>
      </w:r>
      <w:r w:rsidR="00751A60" w:rsidRPr="000E7C94">
        <w:t xml:space="preserve"> y</w:t>
      </w:r>
    </w:p>
    <w:p w:rsidR="00744860" w:rsidRPr="000E7C94" w:rsidRDefault="004908B7" w:rsidP="004908B7">
      <w:pPr>
        <w:pStyle w:val="enumlev1"/>
      </w:pPr>
      <w:r w:rsidRPr="000E7C94">
        <w:t>–</w:t>
      </w:r>
      <w:r w:rsidRPr="000E7C94">
        <w:tab/>
      </w:r>
      <w:r w:rsidRPr="000E7C94">
        <w:t xml:space="preserve">realizar </w:t>
      </w:r>
      <w:r w:rsidR="00744860" w:rsidRPr="000E7C94">
        <w:t>los ajustes necesarios para lograr las metas y los objetivos de la Unión, fomentando una cultura de sensibilización a los riesgos y de resiliencia institucional.</w:t>
      </w:r>
    </w:p>
    <w:p w:rsidR="00744860" w:rsidRPr="000E7C94" w:rsidRDefault="00744860" w:rsidP="005C1956">
      <w:pPr>
        <w:pStyle w:val="Heading2"/>
        <w:numPr>
          <w:ilvl w:val="1"/>
          <w:numId w:val="0"/>
        </w:numPr>
        <w:ind w:left="567" w:hanging="567"/>
      </w:pPr>
      <w:r w:rsidRPr="000E7C94">
        <w:t>1.5</w:t>
      </w:r>
      <w:r w:rsidRPr="000E7C94">
        <w:tab/>
        <w:t>Principios rectores</w:t>
      </w:r>
    </w:p>
    <w:p w:rsidR="00744860" w:rsidRPr="000E7C94" w:rsidRDefault="00744860" w:rsidP="002A5A3A">
      <w:r w:rsidRPr="000E7C94">
        <w:t>El enfoque de gestión de riesgos de la UIT se rige por los siguientes principios:</w:t>
      </w:r>
    </w:p>
    <w:p w:rsidR="00744860" w:rsidRPr="000E7C94" w:rsidRDefault="004D475C" w:rsidP="003B2F80">
      <w:pPr>
        <w:pStyle w:val="enumlev1"/>
      </w:pPr>
      <w:r w:rsidRPr="000E7C94">
        <w:t>–</w:t>
      </w:r>
      <w:r w:rsidRPr="000E7C94">
        <w:tab/>
      </w:r>
      <w:r w:rsidR="00A85754" w:rsidRPr="000E7C94">
        <w:t xml:space="preserve">integración </w:t>
      </w:r>
      <w:r w:rsidR="00744860" w:rsidRPr="000E7C94">
        <w:t>en procesos institucionales: la gestión de riesgos no es una cuestión aislada, sino que se articula en procesos institucionales preexistentes;</w:t>
      </w:r>
    </w:p>
    <w:p w:rsidR="00744860" w:rsidRPr="000E7C94" w:rsidRDefault="004D475C" w:rsidP="003B2F80">
      <w:pPr>
        <w:pStyle w:val="enumlev1"/>
      </w:pPr>
      <w:r w:rsidRPr="000E7C94">
        <w:lastRenderedPageBreak/>
        <w:t>–</w:t>
      </w:r>
      <w:r w:rsidRPr="000E7C94">
        <w:tab/>
      </w:r>
      <w:r w:rsidR="00DA4C00" w:rsidRPr="000E7C94">
        <w:t xml:space="preserve">gestión </w:t>
      </w:r>
      <w:r w:rsidR="00744860" w:rsidRPr="000E7C94">
        <w:t>centrada en debates: se celebran debates periódicos sobre la gestión de riesgos desde la entidad operacional hasta el nivel ejecutivo;</w:t>
      </w:r>
    </w:p>
    <w:p w:rsidR="00744860" w:rsidRPr="000E7C94" w:rsidRDefault="004D475C" w:rsidP="003B2F80">
      <w:pPr>
        <w:pStyle w:val="enumlev1"/>
      </w:pPr>
      <w:r w:rsidRPr="000E7C94">
        <w:t>–</w:t>
      </w:r>
      <w:r w:rsidRPr="000E7C94">
        <w:tab/>
      </w:r>
      <w:r w:rsidR="00DA4C00" w:rsidRPr="000E7C94">
        <w:t xml:space="preserve">respuesta </w:t>
      </w:r>
      <w:r w:rsidR="00744860" w:rsidRPr="000E7C94">
        <w:t>ante los riesgos: se identifican los riesgos, pero también debe haber una respuesta a ellos;</w:t>
      </w:r>
    </w:p>
    <w:p w:rsidR="00744860" w:rsidRPr="000E7C94" w:rsidRDefault="004D475C" w:rsidP="003B2F80">
      <w:pPr>
        <w:pStyle w:val="enumlev1"/>
      </w:pPr>
      <w:r w:rsidRPr="000E7C94">
        <w:t>–</w:t>
      </w:r>
      <w:r w:rsidRPr="000E7C94">
        <w:tab/>
      </w:r>
      <w:r w:rsidR="00DA4C00" w:rsidRPr="000E7C94">
        <w:t xml:space="preserve">distintos </w:t>
      </w:r>
      <w:r w:rsidR="00744860" w:rsidRPr="000E7C94">
        <w:t>riesgos en distintos niveles: se reconoce que cada parte de la organización tiene distintos objetivos y, por lo tanto, afronta distintos riesgos; y</w:t>
      </w:r>
    </w:p>
    <w:p w:rsidR="00744860" w:rsidRPr="000E7C94" w:rsidRDefault="004D475C" w:rsidP="003B2F80">
      <w:pPr>
        <w:pStyle w:val="enumlev1"/>
      </w:pPr>
      <w:r w:rsidRPr="000E7C94">
        <w:t>–</w:t>
      </w:r>
      <w:r w:rsidRPr="000E7C94">
        <w:tab/>
      </w:r>
      <w:r w:rsidR="00DA4C00" w:rsidRPr="000E7C94">
        <w:t xml:space="preserve">toma </w:t>
      </w:r>
      <w:r w:rsidR="00744860" w:rsidRPr="000E7C94">
        <w:t>de decisiones sobre gestión de riesgos en el nivel adecuado: cuando los riesgos no pueden mitigarse a un determinado nivel, se señalan y gestionan en un nivel superior.</w:t>
      </w:r>
    </w:p>
    <w:p w:rsidR="00744860" w:rsidRPr="000E7C94" w:rsidRDefault="00744860" w:rsidP="00C82CEF">
      <w:pPr>
        <w:pStyle w:val="Heading1"/>
      </w:pPr>
      <w:r w:rsidRPr="000E7C94">
        <w:t>2</w:t>
      </w:r>
      <w:r w:rsidRPr="000E7C94">
        <w:tab/>
        <w:t>Clasificación y evaluación de riesgos</w:t>
      </w:r>
    </w:p>
    <w:p w:rsidR="00744860" w:rsidRPr="000E7C94" w:rsidRDefault="00744860" w:rsidP="00C82CEF">
      <w:pPr>
        <w:pStyle w:val="Heading2"/>
        <w:numPr>
          <w:ilvl w:val="1"/>
          <w:numId w:val="0"/>
        </w:numPr>
        <w:ind w:left="567" w:hanging="567"/>
      </w:pPr>
      <w:r w:rsidRPr="000E7C94">
        <w:t>2.1</w:t>
      </w:r>
      <w:r w:rsidRPr="000E7C94">
        <w:tab/>
        <w:t>Perspectiva de riesgo</w:t>
      </w:r>
    </w:p>
    <w:p w:rsidR="00744860" w:rsidRPr="000E7C94" w:rsidRDefault="00744860" w:rsidP="00BB315A">
      <w:r w:rsidRPr="000E7C94">
        <w:t>Los riesgos se clasifican generalmente en las siguientes categorías:</w:t>
      </w:r>
    </w:p>
    <w:p w:rsidR="00744860" w:rsidRPr="000E7C94" w:rsidRDefault="00A971FB" w:rsidP="00A971FB">
      <w:pPr>
        <w:pStyle w:val="enumlev1"/>
      </w:pPr>
      <w:r w:rsidRPr="000E7C94">
        <w:t>–</w:t>
      </w:r>
      <w:r w:rsidRPr="000E7C94">
        <w:tab/>
      </w:r>
      <w:r w:rsidR="00DA0594" w:rsidRPr="000E7C94">
        <w:t xml:space="preserve">riesgos </w:t>
      </w:r>
      <w:r w:rsidR="00744860" w:rsidRPr="000E7C94">
        <w:t>estratégicos: se asocian a la reducción de la capacidad de la UIT para alcanzar sus metas estratégicas; y</w:t>
      </w:r>
    </w:p>
    <w:p w:rsidR="00744860" w:rsidRPr="000E7C94" w:rsidRDefault="00A971FB" w:rsidP="00A971FB">
      <w:pPr>
        <w:pStyle w:val="enumlev1"/>
      </w:pPr>
      <w:r w:rsidRPr="000E7C94">
        <w:t>–</w:t>
      </w:r>
      <w:r w:rsidRPr="000E7C94">
        <w:tab/>
      </w:r>
      <w:r w:rsidR="00DA0594" w:rsidRPr="000E7C94">
        <w:t xml:space="preserve">riesgos </w:t>
      </w:r>
      <w:r w:rsidR="00744860" w:rsidRPr="000E7C94">
        <w:t>operacionales: se asocian a la reducción de la capacidad de la UIT para alcanzar sus objetivos operacionales. Estos riesgos se pueden clasificar, a su vez, en las siguientes categorías generales:</w:t>
      </w:r>
    </w:p>
    <w:p w:rsidR="00744860" w:rsidRPr="000E7C94" w:rsidRDefault="00EE2008" w:rsidP="00AC7C91">
      <w:pPr>
        <w:pStyle w:val="enumlev2"/>
      </w:pPr>
      <w:r w:rsidRPr="000E7C94">
        <w:t>•</w:t>
      </w:r>
      <w:r w:rsidRPr="000E7C94">
        <w:tab/>
      </w:r>
      <w:r w:rsidR="00744860" w:rsidRPr="000E7C94">
        <w:t>institucionales (por ejemplo, los riesgos que pueden incidir en la capacidad de la inst</w:t>
      </w:r>
      <w:r w:rsidR="00744860" w:rsidRPr="000E7C94">
        <w:t>itución para realizar su labor en las oficinas u organizar eventos clave)</w:t>
      </w:r>
      <w:r w:rsidRPr="000E7C94">
        <w:t>;</w:t>
      </w:r>
    </w:p>
    <w:p w:rsidR="00744860" w:rsidRPr="000E7C94" w:rsidRDefault="00EE2008" w:rsidP="0086198B">
      <w:pPr>
        <w:pStyle w:val="enumlev2"/>
      </w:pPr>
      <w:r w:rsidRPr="000E7C94">
        <w:t>•</w:t>
      </w:r>
      <w:r w:rsidRPr="000E7C94">
        <w:tab/>
      </w:r>
      <w:r w:rsidR="00744860" w:rsidRPr="000E7C94">
        <w:t>infraestructura (por ejemplo, los riesgos asociados a la infraestructura física o digital que atiende a las necesidades de la organización)</w:t>
      </w:r>
      <w:r w:rsidRPr="000E7C94">
        <w:t>;</w:t>
      </w:r>
    </w:p>
    <w:p w:rsidR="00744860" w:rsidRPr="000E7C94" w:rsidRDefault="00EE2008" w:rsidP="0086198B">
      <w:pPr>
        <w:pStyle w:val="enumlev2"/>
      </w:pPr>
      <w:r w:rsidRPr="000E7C94">
        <w:t>•</w:t>
      </w:r>
      <w:r w:rsidRPr="000E7C94">
        <w:tab/>
      </w:r>
      <w:r w:rsidR="00744860" w:rsidRPr="000E7C94">
        <w:t>recursos humanos (por ejemplo, los riesgos asociados a la fuerza de trabajo)</w:t>
      </w:r>
      <w:r w:rsidRPr="000E7C94">
        <w:t>;</w:t>
      </w:r>
    </w:p>
    <w:p w:rsidR="00744860" w:rsidRPr="000E7C94" w:rsidRDefault="00EE2008" w:rsidP="0086198B">
      <w:pPr>
        <w:pStyle w:val="enumlev2"/>
      </w:pPr>
      <w:r w:rsidRPr="000E7C94">
        <w:t>•</w:t>
      </w:r>
      <w:r w:rsidRPr="000E7C94">
        <w:tab/>
      </w:r>
      <w:r w:rsidR="00744860" w:rsidRPr="000E7C94">
        <w:t>recursos financieros (por ejemplo, los riesgos asociados a la estabilidad financiera de la organización)</w:t>
      </w:r>
      <w:r w:rsidRPr="000E7C94">
        <w:t>;</w:t>
      </w:r>
    </w:p>
    <w:p w:rsidR="00744860" w:rsidRPr="000E7C94" w:rsidRDefault="00EE2008" w:rsidP="0086198B">
      <w:pPr>
        <w:pStyle w:val="enumlev2"/>
      </w:pPr>
      <w:r w:rsidRPr="000E7C94">
        <w:t>•</w:t>
      </w:r>
      <w:r w:rsidRPr="000E7C94">
        <w:tab/>
      </w:r>
      <w:r w:rsidR="00744860" w:rsidRPr="000E7C94">
        <w:t>partes interesadas/asociados (por ejemplo, los riesgos asociados a decisiones imprevistas que puedan tener importantes implicaciones para la organización)</w:t>
      </w:r>
      <w:r w:rsidRPr="000E7C94">
        <w:t>;</w:t>
      </w:r>
    </w:p>
    <w:p w:rsidR="00744860" w:rsidRPr="000E7C94" w:rsidRDefault="00EE2008" w:rsidP="0086198B">
      <w:pPr>
        <w:pStyle w:val="enumlev2"/>
      </w:pPr>
      <w:r w:rsidRPr="000E7C94">
        <w:t>•</w:t>
      </w:r>
      <w:r w:rsidRPr="000E7C94">
        <w:tab/>
      </w:r>
      <w:r w:rsidR="00744860" w:rsidRPr="000E7C94">
        <w:t>medio ambiente (por ejemplo, los riesgos que podrían afectar al funcionamiento de la organización en una zona geográfica en particular).</w:t>
      </w:r>
    </w:p>
    <w:p w:rsidR="00744860" w:rsidRPr="000E7C94" w:rsidRDefault="00744860" w:rsidP="00545E3D">
      <w:pPr>
        <w:pStyle w:val="Heading2"/>
        <w:numPr>
          <w:ilvl w:val="1"/>
          <w:numId w:val="0"/>
        </w:numPr>
        <w:ind w:left="567" w:hanging="567"/>
      </w:pPr>
      <w:r w:rsidRPr="000E7C94">
        <w:t>2.2</w:t>
      </w:r>
      <w:r w:rsidRPr="000E7C94">
        <w:tab/>
        <w:t>Evaluación de riesgos</w:t>
      </w:r>
    </w:p>
    <w:p w:rsidR="00744860" w:rsidRPr="000E7C94" w:rsidRDefault="00744860" w:rsidP="00D14008">
      <w:r w:rsidRPr="000E7C94">
        <w:t>El riesgo es la combinación de la probabilidad de que ocurra un acontecimiento y de su consecuencia (impacto). La finalidad de la evaluación de riesgos es establecer prioridades y evaluar el nivel de riesgo (criticidad). Las Oficinas y la Secretaría General evaluarán el nivel de riesgo utilizando la siguiente matriz:</w:t>
      </w:r>
    </w:p>
    <w:p w:rsidR="00744860" w:rsidRPr="000E7C94" w:rsidRDefault="00744860" w:rsidP="00DE766C">
      <w:pPr>
        <w:pStyle w:val="Figuretitle"/>
        <w:keepLines/>
        <w:spacing w:after="240"/>
      </w:pPr>
      <w:r w:rsidRPr="000E7C94">
        <w:lastRenderedPageBreak/>
        <w:t>Matriz del nivel de riesgo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50"/>
        <w:gridCol w:w="1510"/>
        <w:gridCol w:w="1596"/>
        <w:gridCol w:w="1596"/>
      </w:tblGrid>
      <w:tr w:rsidR="00744860" w:rsidRPr="000E7C94" w:rsidTr="00542EDC">
        <w:trPr>
          <w:jc w:val="center"/>
        </w:trPr>
        <w:tc>
          <w:tcPr>
            <w:tcW w:w="426" w:type="dxa"/>
            <w:vAlign w:val="center"/>
          </w:tcPr>
          <w:p w:rsidR="00744860" w:rsidRPr="000E7C94" w:rsidRDefault="00744860" w:rsidP="00DE766C">
            <w:pPr>
              <w:keepNext/>
              <w:keepLines/>
              <w:jc w:val="center"/>
              <w:rPr>
                <w:sz w:val="20"/>
              </w:rPr>
            </w:pPr>
          </w:p>
        </w:tc>
        <w:tc>
          <w:tcPr>
            <w:tcW w:w="850" w:type="dxa"/>
            <w:tcBorders>
              <w:right w:val="single" w:sz="4" w:space="0" w:color="4BACC6" w:themeColor="accent5"/>
            </w:tcBorders>
            <w:vAlign w:val="center"/>
          </w:tcPr>
          <w:p w:rsidR="00744860" w:rsidRPr="000E7C94" w:rsidRDefault="00744860" w:rsidP="00DE766C">
            <w:pPr>
              <w:keepNext/>
              <w:keepLines/>
              <w:jc w:val="center"/>
              <w:rPr>
                <w:sz w:val="20"/>
              </w:rPr>
            </w:pPr>
          </w:p>
        </w:tc>
        <w:tc>
          <w:tcPr>
            <w:tcW w:w="4702" w:type="dxa"/>
            <w:gridSpan w:val="3"/>
            <w:tcBorders>
              <w:top w:val="single" w:sz="4" w:space="0" w:color="4BACC6" w:themeColor="accent5"/>
              <w:left w:val="single" w:sz="4" w:space="0" w:color="4BACC6" w:themeColor="accent5"/>
              <w:right w:val="single" w:sz="4" w:space="0" w:color="4BACC6" w:themeColor="accent5"/>
            </w:tcBorders>
            <w:shd w:val="clear" w:color="auto" w:fill="4472C4"/>
            <w:vAlign w:val="center"/>
          </w:tcPr>
          <w:p w:rsidR="00744860" w:rsidRPr="000E7C94" w:rsidRDefault="00744860" w:rsidP="00DE766C">
            <w:pPr>
              <w:keepNext/>
              <w:keepLines/>
              <w:jc w:val="center"/>
              <w:rPr>
                <w:b/>
                <w:bCs/>
                <w:sz w:val="20"/>
              </w:rPr>
            </w:pPr>
            <w:r w:rsidRPr="000E7C94">
              <w:rPr>
                <w:b/>
                <w:bCs/>
                <w:color w:val="FFFFFF" w:themeColor="background1"/>
                <w:sz w:val="20"/>
              </w:rPr>
              <w:t>Impacto</w:t>
            </w:r>
          </w:p>
        </w:tc>
      </w:tr>
      <w:tr w:rsidR="00744860" w:rsidRPr="000E7C94" w:rsidTr="00542EDC">
        <w:trPr>
          <w:trHeight w:val="209"/>
          <w:jc w:val="center"/>
        </w:trPr>
        <w:tc>
          <w:tcPr>
            <w:tcW w:w="426" w:type="dxa"/>
            <w:tcBorders>
              <w:bottom w:val="single" w:sz="4" w:space="0" w:color="4BACC6" w:themeColor="accent5"/>
            </w:tcBorders>
            <w:vAlign w:val="center"/>
          </w:tcPr>
          <w:p w:rsidR="00744860" w:rsidRPr="000E7C94" w:rsidRDefault="00744860" w:rsidP="00DE766C">
            <w:pPr>
              <w:keepNext/>
              <w:keepLines/>
              <w:jc w:val="center"/>
              <w:rPr>
                <w:sz w:val="20"/>
              </w:rPr>
            </w:pPr>
          </w:p>
        </w:tc>
        <w:tc>
          <w:tcPr>
            <w:tcW w:w="850" w:type="dxa"/>
            <w:vAlign w:val="center"/>
          </w:tcPr>
          <w:p w:rsidR="00744860" w:rsidRPr="000E7C94" w:rsidRDefault="00744860" w:rsidP="00DE766C">
            <w:pPr>
              <w:keepNext/>
              <w:keepLines/>
              <w:jc w:val="center"/>
              <w:rPr>
                <w:sz w:val="20"/>
              </w:rPr>
            </w:pPr>
          </w:p>
        </w:tc>
        <w:tc>
          <w:tcPr>
            <w:tcW w:w="1510" w:type="dxa"/>
            <w:tcBorders>
              <w:bottom w:val="single" w:sz="4" w:space="0" w:color="auto"/>
            </w:tcBorders>
            <w:shd w:val="clear" w:color="auto" w:fill="auto"/>
            <w:vAlign w:val="center"/>
          </w:tcPr>
          <w:p w:rsidR="00744860" w:rsidRPr="000E7C94" w:rsidRDefault="00744860" w:rsidP="00DE766C">
            <w:pPr>
              <w:keepNext/>
              <w:keepLines/>
              <w:jc w:val="center"/>
              <w:rPr>
                <w:b/>
                <w:bCs/>
                <w:sz w:val="20"/>
              </w:rPr>
            </w:pPr>
            <w:r w:rsidRPr="000E7C94">
              <w:rPr>
                <w:b/>
                <w:bCs/>
                <w:sz w:val="20"/>
              </w:rPr>
              <w:t>Bajo</w:t>
            </w:r>
          </w:p>
        </w:tc>
        <w:tc>
          <w:tcPr>
            <w:tcW w:w="1596" w:type="dxa"/>
            <w:tcBorders>
              <w:bottom w:val="single" w:sz="4" w:space="0" w:color="auto"/>
            </w:tcBorders>
            <w:shd w:val="clear" w:color="auto" w:fill="auto"/>
            <w:vAlign w:val="center"/>
          </w:tcPr>
          <w:p w:rsidR="00744860" w:rsidRPr="000E7C94" w:rsidRDefault="00744860" w:rsidP="00DE766C">
            <w:pPr>
              <w:keepNext/>
              <w:keepLines/>
              <w:jc w:val="center"/>
              <w:rPr>
                <w:b/>
                <w:bCs/>
                <w:sz w:val="20"/>
              </w:rPr>
            </w:pPr>
            <w:r w:rsidRPr="000E7C94">
              <w:rPr>
                <w:b/>
                <w:bCs/>
                <w:sz w:val="20"/>
              </w:rPr>
              <w:t>Medio</w:t>
            </w:r>
          </w:p>
        </w:tc>
        <w:tc>
          <w:tcPr>
            <w:tcW w:w="1596" w:type="dxa"/>
            <w:tcBorders>
              <w:bottom w:val="single" w:sz="4" w:space="0" w:color="auto"/>
            </w:tcBorders>
            <w:shd w:val="clear" w:color="auto" w:fill="auto"/>
            <w:vAlign w:val="center"/>
          </w:tcPr>
          <w:p w:rsidR="00744860" w:rsidRPr="000E7C94" w:rsidRDefault="00744860" w:rsidP="00DE766C">
            <w:pPr>
              <w:keepNext/>
              <w:keepLines/>
              <w:jc w:val="center"/>
              <w:rPr>
                <w:b/>
                <w:bCs/>
                <w:sz w:val="20"/>
              </w:rPr>
            </w:pPr>
            <w:r w:rsidRPr="000E7C94">
              <w:rPr>
                <w:b/>
                <w:bCs/>
                <w:sz w:val="20"/>
              </w:rPr>
              <w:t>Alto</w:t>
            </w:r>
          </w:p>
        </w:tc>
      </w:tr>
      <w:tr w:rsidR="00744860" w:rsidRPr="000E7C94" w:rsidTr="003A1115">
        <w:trPr>
          <w:cantSplit/>
          <w:trHeight w:val="555"/>
          <w:jc w:val="center"/>
        </w:trPr>
        <w:tc>
          <w:tcPr>
            <w:tcW w:w="426" w:type="dxa"/>
            <w:vMerge w:val="restart"/>
            <w:tcBorders>
              <w:top w:val="single" w:sz="4" w:space="0" w:color="4BACC6" w:themeColor="accent5"/>
              <w:left w:val="single" w:sz="4" w:space="0" w:color="4BACC6" w:themeColor="accent5"/>
              <w:bottom w:val="single" w:sz="4" w:space="0" w:color="4BACC6" w:themeColor="accent5"/>
            </w:tcBorders>
            <w:shd w:val="clear" w:color="auto" w:fill="4472C4"/>
            <w:textDirection w:val="btLr"/>
            <w:vAlign w:val="center"/>
          </w:tcPr>
          <w:p w:rsidR="00744860" w:rsidRPr="000E7C94" w:rsidRDefault="00744860" w:rsidP="00DE766C">
            <w:pPr>
              <w:keepNext/>
              <w:keepLines/>
              <w:ind w:left="113" w:right="113"/>
              <w:jc w:val="center"/>
              <w:rPr>
                <w:b/>
                <w:bCs/>
                <w:sz w:val="20"/>
              </w:rPr>
            </w:pPr>
            <w:r w:rsidRPr="000E7C94">
              <w:rPr>
                <w:b/>
                <w:bCs/>
                <w:color w:val="FFFFFF" w:themeColor="background1"/>
                <w:sz w:val="20"/>
              </w:rPr>
              <w:t>Probabilidad</w:t>
            </w:r>
          </w:p>
        </w:tc>
        <w:tc>
          <w:tcPr>
            <w:tcW w:w="850" w:type="dxa"/>
            <w:tcBorders>
              <w:right w:val="single" w:sz="4" w:space="0" w:color="auto"/>
            </w:tcBorders>
            <w:shd w:val="clear" w:color="auto" w:fill="auto"/>
            <w:vAlign w:val="center"/>
          </w:tcPr>
          <w:p w:rsidR="00744860" w:rsidRPr="000E7C94" w:rsidRDefault="00744860" w:rsidP="00DE766C">
            <w:pPr>
              <w:keepNext/>
              <w:keepLines/>
              <w:jc w:val="center"/>
              <w:rPr>
                <w:b/>
                <w:bCs/>
                <w:sz w:val="20"/>
              </w:rPr>
            </w:pPr>
            <w:r w:rsidRPr="000E7C94">
              <w:rPr>
                <w:b/>
                <w:bCs/>
                <w:sz w:val="20"/>
              </w:rPr>
              <w:t>Alta</w:t>
            </w:r>
          </w:p>
        </w:tc>
        <w:tc>
          <w:tcPr>
            <w:tcW w:w="1510" w:type="dxa"/>
            <w:tcBorders>
              <w:top w:val="single" w:sz="4" w:space="0" w:color="auto"/>
              <w:left w:val="single" w:sz="4" w:space="0" w:color="auto"/>
              <w:bottom w:val="single" w:sz="4" w:space="0" w:color="auto"/>
              <w:right w:val="single" w:sz="4" w:space="0" w:color="auto"/>
            </w:tcBorders>
            <w:shd w:val="clear" w:color="auto" w:fill="FFD757"/>
            <w:vAlign w:val="center"/>
          </w:tcPr>
          <w:p w:rsidR="00744860" w:rsidRPr="000E7C94" w:rsidRDefault="00744860" w:rsidP="00DE766C">
            <w:pPr>
              <w:keepNext/>
              <w:keepLines/>
              <w:jc w:val="center"/>
              <w:rPr>
                <w:b/>
                <w:bCs/>
                <w:sz w:val="20"/>
              </w:rPr>
            </w:pPr>
            <w:r w:rsidRPr="000E7C94">
              <w:rPr>
                <w:b/>
                <w:bCs/>
                <w:sz w:val="20"/>
              </w:rPr>
              <w:t xml:space="preserve">Riesgo medio </w:t>
            </w:r>
          </w:p>
        </w:tc>
        <w:tc>
          <w:tcPr>
            <w:tcW w:w="1596" w:type="dxa"/>
            <w:tcBorders>
              <w:top w:val="single" w:sz="4" w:space="0" w:color="auto"/>
              <w:left w:val="single" w:sz="4" w:space="0" w:color="auto"/>
              <w:bottom w:val="single" w:sz="4" w:space="0" w:color="auto"/>
              <w:right w:val="single" w:sz="4" w:space="0" w:color="auto"/>
            </w:tcBorders>
            <w:shd w:val="clear" w:color="auto" w:fill="E88B66"/>
            <w:vAlign w:val="center"/>
          </w:tcPr>
          <w:p w:rsidR="00744860" w:rsidRPr="000E7C94" w:rsidRDefault="00744860" w:rsidP="00DE766C">
            <w:pPr>
              <w:keepNext/>
              <w:keepLines/>
              <w:jc w:val="center"/>
              <w:rPr>
                <w:b/>
                <w:bCs/>
                <w:sz w:val="20"/>
              </w:rPr>
            </w:pPr>
            <w:r w:rsidRPr="000E7C94">
              <w:rPr>
                <w:b/>
                <w:bCs/>
                <w:sz w:val="20"/>
              </w:rPr>
              <w:t>Riesgo alto</w:t>
            </w:r>
          </w:p>
        </w:tc>
        <w:tc>
          <w:tcPr>
            <w:tcW w:w="1596" w:type="dxa"/>
            <w:tcBorders>
              <w:top w:val="single" w:sz="4" w:space="0" w:color="auto"/>
              <w:left w:val="single" w:sz="4" w:space="0" w:color="auto"/>
              <w:bottom w:val="single" w:sz="4" w:space="0" w:color="auto"/>
              <w:right w:val="single" w:sz="4" w:space="0" w:color="auto"/>
            </w:tcBorders>
            <w:shd w:val="clear" w:color="auto" w:fill="E88B66"/>
            <w:vAlign w:val="center"/>
          </w:tcPr>
          <w:p w:rsidR="00744860" w:rsidRPr="000E7C94" w:rsidRDefault="00744860" w:rsidP="00DE766C">
            <w:pPr>
              <w:keepNext/>
              <w:keepLines/>
              <w:jc w:val="center"/>
              <w:rPr>
                <w:b/>
                <w:bCs/>
                <w:sz w:val="20"/>
              </w:rPr>
            </w:pPr>
            <w:r w:rsidRPr="000E7C94">
              <w:rPr>
                <w:b/>
                <w:bCs/>
                <w:sz w:val="20"/>
              </w:rPr>
              <w:t>Riesgo alto</w:t>
            </w:r>
          </w:p>
        </w:tc>
      </w:tr>
      <w:tr w:rsidR="00744860" w:rsidRPr="000E7C94" w:rsidTr="003A1115">
        <w:trPr>
          <w:cantSplit/>
          <w:trHeight w:val="561"/>
          <w:jc w:val="center"/>
        </w:trPr>
        <w:tc>
          <w:tcPr>
            <w:tcW w:w="426" w:type="dxa"/>
            <w:vMerge/>
            <w:tcBorders>
              <w:top w:val="single" w:sz="4" w:space="0" w:color="4BACC6" w:themeColor="accent5"/>
              <w:left w:val="single" w:sz="4" w:space="0" w:color="4BACC6" w:themeColor="accent5"/>
              <w:bottom w:val="single" w:sz="4" w:space="0" w:color="4BACC6" w:themeColor="accent5"/>
            </w:tcBorders>
            <w:shd w:val="clear" w:color="auto" w:fill="4472C4"/>
            <w:vAlign w:val="center"/>
          </w:tcPr>
          <w:p w:rsidR="00744860" w:rsidRPr="000E7C94" w:rsidRDefault="00744860" w:rsidP="00DE766C">
            <w:pPr>
              <w:keepNext/>
              <w:keepLines/>
              <w:jc w:val="center"/>
              <w:rPr>
                <w:sz w:val="20"/>
              </w:rPr>
            </w:pPr>
          </w:p>
        </w:tc>
        <w:tc>
          <w:tcPr>
            <w:tcW w:w="850" w:type="dxa"/>
            <w:tcBorders>
              <w:right w:val="single" w:sz="4" w:space="0" w:color="auto"/>
            </w:tcBorders>
            <w:shd w:val="clear" w:color="auto" w:fill="auto"/>
            <w:vAlign w:val="center"/>
          </w:tcPr>
          <w:p w:rsidR="00744860" w:rsidRPr="000E7C94" w:rsidRDefault="00744860" w:rsidP="00DE766C">
            <w:pPr>
              <w:keepNext/>
              <w:keepLines/>
              <w:jc w:val="center"/>
              <w:rPr>
                <w:b/>
                <w:bCs/>
                <w:sz w:val="20"/>
              </w:rPr>
            </w:pPr>
            <w:r w:rsidRPr="000E7C94">
              <w:rPr>
                <w:b/>
                <w:bCs/>
                <w:sz w:val="20"/>
              </w:rPr>
              <w:t>Media</w:t>
            </w:r>
          </w:p>
        </w:tc>
        <w:tc>
          <w:tcPr>
            <w:tcW w:w="15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44860" w:rsidRPr="000E7C94" w:rsidRDefault="00744860" w:rsidP="00DE766C">
            <w:pPr>
              <w:keepNext/>
              <w:keepLines/>
              <w:jc w:val="center"/>
              <w:rPr>
                <w:b/>
                <w:bCs/>
                <w:sz w:val="20"/>
              </w:rPr>
            </w:pPr>
            <w:r w:rsidRPr="000E7C94">
              <w:rPr>
                <w:b/>
                <w:bCs/>
                <w:sz w:val="20"/>
              </w:rPr>
              <w:t>Riesgo bajo</w:t>
            </w:r>
          </w:p>
        </w:tc>
        <w:tc>
          <w:tcPr>
            <w:tcW w:w="1596" w:type="dxa"/>
            <w:tcBorders>
              <w:top w:val="single" w:sz="4" w:space="0" w:color="auto"/>
              <w:left w:val="single" w:sz="4" w:space="0" w:color="auto"/>
              <w:bottom w:val="single" w:sz="4" w:space="0" w:color="auto"/>
              <w:right w:val="single" w:sz="4" w:space="0" w:color="auto"/>
            </w:tcBorders>
            <w:shd w:val="clear" w:color="auto" w:fill="FFD757"/>
            <w:vAlign w:val="center"/>
          </w:tcPr>
          <w:p w:rsidR="00744860" w:rsidRPr="000E7C94" w:rsidRDefault="00744860" w:rsidP="00DE766C">
            <w:pPr>
              <w:keepNext/>
              <w:keepLines/>
              <w:jc w:val="center"/>
              <w:rPr>
                <w:b/>
                <w:bCs/>
                <w:sz w:val="20"/>
              </w:rPr>
            </w:pPr>
            <w:r w:rsidRPr="000E7C94">
              <w:rPr>
                <w:b/>
                <w:bCs/>
                <w:sz w:val="20"/>
              </w:rPr>
              <w:t>Riesgo medio</w:t>
            </w:r>
          </w:p>
        </w:tc>
        <w:tc>
          <w:tcPr>
            <w:tcW w:w="1596" w:type="dxa"/>
            <w:tcBorders>
              <w:top w:val="single" w:sz="4" w:space="0" w:color="auto"/>
              <w:left w:val="single" w:sz="4" w:space="0" w:color="auto"/>
              <w:bottom w:val="single" w:sz="4" w:space="0" w:color="auto"/>
              <w:right w:val="single" w:sz="4" w:space="0" w:color="auto"/>
            </w:tcBorders>
            <w:shd w:val="clear" w:color="auto" w:fill="E88B66"/>
            <w:vAlign w:val="center"/>
          </w:tcPr>
          <w:p w:rsidR="00744860" w:rsidRPr="000E7C94" w:rsidRDefault="00744860" w:rsidP="00DE766C">
            <w:pPr>
              <w:keepNext/>
              <w:keepLines/>
              <w:jc w:val="center"/>
              <w:rPr>
                <w:b/>
                <w:bCs/>
                <w:sz w:val="20"/>
              </w:rPr>
            </w:pPr>
            <w:r w:rsidRPr="000E7C94">
              <w:rPr>
                <w:b/>
                <w:bCs/>
                <w:sz w:val="20"/>
              </w:rPr>
              <w:t>Riesgo alto</w:t>
            </w:r>
          </w:p>
        </w:tc>
      </w:tr>
      <w:tr w:rsidR="00744860" w:rsidRPr="000E7C94" w:rsidTr="003A1115">
        <w:trPr>
          <w:cantSplit/>
          <w:trHeight w:val="512"/>
          <w:jc w:val="center"/>
        </w:trPr>
        <w:tc>
          <w:tcPr>
            <w:tcW w:w="426" w:type="dxa"/>
            <w:vMerge/>
            <w:tcBorders>
              <w:top w:val="single" w:sz="4" w:space="0" w:color="4BACC6" w:themeColor="accent5"/>
              <w:left w:val="single" w:sz="4" w:space="0" w:color="4BACC6" w:themeColor="accent5"/>
              <w:bottom w:val="single" w:sz="4" w:space="0" w:color="4BACC6" w:themeColor="accent5"/>
            </w:tcBorders>
            <w:shd w:val="clear" w:color="auto" w:fill="4472C4"/>
            <w:vAlign w:val="center"/>
          </w:tcPr>
          <w:p w:rsidR="00744860" w:rsidRPr="000E7C94" w:rsidRDefault="00744860" w:rsidP="00DE766C">
            <w:pPr>
              <w:keepNext/>
              <w:keepLines/>
              <w:jc w:val="center"/>
              <w:rPr>
                <w:sz w:val="20"/>
              </w:rPr>
            </w:pPr>
          </w:p>
        </w:tc>
        <w:tc>
          <w:tcPr>
            <w:tcW w:w="850" w:type="dxa"/>
            <w:tcBorders>
              <w:right w:val="single" w:sz="4" w:space="0" w:color="auto"/>
            </w:tcBorders>
            <w:shd w:val="clear" w:color="auto" w:fill="auto"/>
            <w:vAlign w:val="center"/>
          </w:tcPr>
          <w:p w:rsidR="00744860" w:rsidRPr="000E7C94" w:rsidRDefault="00744860" w:rsidP="00DE766C">
            <w:pPr>
              <w:keepNext/>
              <w:keepLines/>
              <w:jc w:val="center"/>
              <w:rPr>
                <w:b/>
                <w:bCs/>
                <w:sz w:val="20"/>
              </w:rPr>
            </w:pPr>
            <w:r w:rsidRPr="000E7C94">
              <w:rPr>
                <w:b/>
                <w:bCs/>
                <w:sz w:val="20"/>
              </w:rPr>
              <w:t>Baja</w:t>
            </w:r>
          </w:p>
        </w:tc>
        <w:tc>
          <w:tcPr>
            <w:tcW w:w="15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44860" w:rsidRPr="000E7C94" w:rsidRDefault="00744860" w:rsidP="00DE766C">
            <w:pPr>
              <w:keepNext/>
              <w:keepLines/>
              <w:jc w:val="center"/>
              <w:rPr>
                <w:b/>
                <w:bCs/>
                <w:sz w:val="20"/>
              </w:rPr>
            </w:pPr>
            <w:r w:rsidRPr="000E7C94">
              <w:rPr>
                <w:b/>
                <w:bCs/>
                <w:sz w:val="20"/>
              </w:rPr>
              <w:t>Riesgo bajo</w:t>
            </w:r>
          </w:p>
        </w:tc>
        <w:tc>
          <w:tcPr>
            <w:tcW w:w="15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44860" w:rsidRPr="000E7C94" w:rsidRDefault="00744860" w:rsidP="00DE766C">
            <w:pPr>
              <w:keepNext/>
              <w:keepLines/>
              <w:jc w:val="center"/>
              <w:rPr>
                <w:b/>
                <w:bCs/>
                <w:sz w:val="20"/>
              </w:rPr>
            </w:pPr>
            <w:r w:rsidRPr="000E7C94">
              <w:rPr>
                <w:b/>
                <w:bCs/>
                <w:sz w:val="20"/>
              </w:rPr>
              <w:t>Riesgo bajo</w:t>
            </w:r>
          </w:p>
        </w:tc>
        <w:tc>
          <w:tcPr>
            <w:tcW w:w="1596" w:type="dxa"/>
            <w:tcBorders>
              <w:top w:val="single" w:sz="4" w:space="0" w:color="auto"/>
              <w:left w:val="single" w:sz="4" w:space="0" w:color="auto"/>
              <w:bottom w:val="single" w:sz="4" w:space="0" w:color="auto"/>
              <w:right w:val="single" w:sz="4" w:space="0" w:color="auto"/>
            </w:tcBorders>
            <w:shd w:val="clear" w:color="auto" w:fill="FFD757"/>
            <w:vAlign w:val="center"/>
          </w:tcPr>
          <w:p w:rsidR="00744860" w:rsidRPr="000E7C94" w:rsidRDefault="00744860" w:rsidP="00DE766C">
            <w:pPr>
              <w:keepNext/>
              <w:keepLines/>
              <w:jc w:val="center"/>
              <w:rPr>
                <w:b/>
                <w:bCs/>
                <w:sz w:val="20"/>
              </w:rPr>
            </w:pPr>
            <w:r w:rsidRPr="000E7C94">
              <w:rPr>
                <w:b/>
                <w:bCs/>
                <w:sz w:val="20"/>
              </w:rPr>
              <w:t>Riesgo medio</w:t>
            </w:r>
          </w:p>
        </w:tc>
      </w:tr>
    </w:tbl>
    <w:p w:rsidR="00744860" w:rsidRPr="000E7C94" w:rsidRDefault="00744860" w:rsidP="00DE766C">
      <w:pPr>
        <w:keepNext/>
        <w:keepLines/>
      </w:pPr>
    </w:p>
    <w:p w:rsidR="00744860" w:rsidRPr="000E7C94" w:rsidRDefault="00744860" w:rsidP="00483482">
      <w:r w:rsidRPr="000E7C94">
        <w:t>La probabilidad y el efecto se evalúan en distintos niveles como se indica en los cuadros que aparecen a continuación.</w:t>
      </w:r>
    </w:p>
    <w:p w:rsidR="00744860" w:rsidRPr="000E7C94" w:rsidRDefault="00744860" w:rsidP="001471A7">
      <w:pPr>
        <w:pStyle w:val="Figuretitle"/>
        <w:spacing w:after="240"/>
      </w:pPr>
      <w:r w:rsidRPr="000E7C94">
        <w:t>Probabilidad</w:t>
      </w:r>
    </w:p>
    <w:tbl>
      <w:tblPr>
        <w:tblStyle w:val="ListTable3-Accent51"/>
        <w:tblW w:w="6020" w:type="dxa"/>
        <w:jc w:val="center"/>
        <w:tblLook w:val="04A0" w:firstRow="1" w:lastRow="0" w:firstColumn="1" w:lastColumn="0" w:noHBand="0" w:noVBand="1"/>
      </w:tblPr>
      <w:tblGrid>
        <w:gridCol w:w="918"/>
        <w:gridCol w:w="5102"/>
      </w:tblGrid>
      <w:tr w:rsidR="00744860" w:rsidRPr="000E7C94" w:rsidTr="00542ED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100" w:firstRow="0" w:lastRow="0" w:firstColumn="1" w:lastColumn="0" w:oddVBand="0" w:evenVBand="0" w:oddHBand="0" w:evenHBand="0" w:firstRowFirstColumn="1" w:firstRowLastColumn="0" w:lastRowFirstColumn="0" w:lastRowLastColumn="0"/>
            <w:tcW w:w="918" w:type="dxa"/>
            <w:shd w:val="clear" w:color="auto" w:fill="4472C4"/>
            <w:vAlign w:val="center"/>
            <w:hideMark/>
          </w:tcPr>
          <w:p w:rsidR="00744860" w:rsidRPr="000E7C94" w:rsidRDefault="00744860" w:rsidP="00542EDC">
            <w:pPr>
              <w:keepNext/>
              <w:keepLines/>
              <w:jc w:val="center"/>
              <w:rPr>
                <w:rFonts w:eastAsia="Times New Roman"/>
                <w:b w:val="0"/>
                <w:bCs w:val="0"/>
                <w:color w:val="FFFFFF"/>
                <w:sz w:val="20"/>
                <w:szCs w:val="20"/>
              </w:rPr>
            </w:pPr>
            <w:r w:rsidRPr="000E7C94">
              <w:rPr>
                <w:rFonts w:eastAsia="Times New Roman"/>
                <w:color w:val="FFFFFF"/>
                <w:sz w:val="20"/>
                <w:szCs w:val="20"/>
              </w:rPr>
              <w:t>Nivel</w:t>
            </w:r>
          </w:p>
        </w:tc>
        <w:tc>
          <w:tcPr>
            <w:tcW w:w="5102" w:type="dxa"/>
            <w:shd w:val="clear" w:color="auto" w:fill="4472C4"/>
            <w:vAlign w:val="center"/>
            <w:hideMark/>
          </w:tcPr>
          <w:p w:rsidR="00744860" w:rsidRPr="000E7C94" w:rsidRDefault="00744860" w:rsidP="00542EDC">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0E7C94">
              <w:rPr>
                <w:rFonts w:eastAsia="Times New Roman"/>
                <w:color w:val="FFFFFF"/>
                <w:sz w:val="20"/>
                <w:szCs w:val="20"/>
              </w:rPr>
              <w:t>Justificación</w:t>
            </w:r>
          </w:p>
        </w:tc>
      </w:tr>
      <w:tr w:rsidR="00744860" w:rsidRPr="000E7C94" w:rsidTr="00542ED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rsidR="00744860" w:rsidRPr="000E7C94" w:rsidRDefault="00744860" w:rsidP="00542EDC">
            <w:pPr>
              <w:keepNext/>
              <w:keepLines/>
              <w:rPr>
                <w:rFonts w:eastAsia="Times New Roman"/>
                <w:color w:val="000000"/>
                <w:sz w:val="20"/>
                <w:szCs w:val="20"/>
              </w:rPr>
            </w:pPr>
            <w:r w:rsidRPr="000E7C94">
              <w:rPr>
                <w:rFonts w:eastAsia="Times New Roman"/>
                <w:color w:val="000000"/>
                <w:sz w:val="20"/>
                <w:szCs w:val="20"/>
              </w:rPr>
              <w:t>Bajo</w:t>
            </w:r>
          </w:p>
        </w:tc>
        <w:tc>
          <w:tcPr>
            <w:tcW w:w="5102" w:type="dxa"/>
            <w:noWrap/>
            <w:vAlign w:val="center"/>
            <w:hideMark/>
          </w:tcPr>
          <w:p w:rsidR="00744860" w:rsidRPr="000E7C94" w:rsidRDefault="00744860" w:rsidP="00542EDC">
            <w:pPr>
              <w:keepNext/>
              <w:keepLines/>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0E7C94">
              <w:rPr>
                <w:rFonts w:eastAsia="Times New Roman"/>
                <w:color w:val="000000"/>
                <w:sz w:val="20"/>
                <w:szCs w:val="20"/>
              </w:rPr>
              <w:t>Un acontecimiento que es muy poco probable que ocurra</w:t>
            </w:r>
          </w:p>
        </w:tc>
      </w:tr>
      <w:tr w:rsidR="00744860" w:rsidRPr="000E7C94" w:rsidTr="00542EDC">
        <w:trPr>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rsidR="00744860" w:rsidRPr="000E7C94" w:rsidRDefault="00744860" w:rsidP="00542EDC">
            <w:pPr>
              <w:keepNext/>
              <w:keepLines/>
              <w:rPr>
                <w:rFonts w:eastAsia="Times New Roman"/>
                <w:color w:val="000000"/>
                <w:sz w:val="20"/>
                <w:szCs w:val="20"/>
              </w:rPr>
            </w:pPr>
            <w:r w:rsidRPr="000E7C94">
              <w:rPr>
                <w:rFonts w:eastAsia="Times New Roman"/>
                <w:color w:val="000000"/>
                <w:sz w:val="20"/>
                <w:szCs w:val="20"/>
              </w:rPr>
              <w:t>Medio</w:t>
            </w:r>
          </w:p>
        </w:tc>
        <w:tc>
          <w:tcPr>
            <w:tcW w:w="5102" w:type="dxa"/>
            <w:noWrap/>
            <w:vAlign w:val="center"/>
            <w:hideMark/>
          </w:tcPr>
          <w:p w:rsidR="00744860" w:rsidRPr="000E7C94" w:rsidRDefault="00744860" w:rsidP="00542EDC">
            <w:pPr>
              <w:keepNext/>
              <w:keepLines/>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0E7C94">
              <w:rPr>
                <w:rFonts w:eastAsia="Times New Roman"/>
                <w:color w:val="000000"/>
                <w:sz w:val="20"/>
                <w:szCs w:val="20"/>
              </w:rPr>
              <w:t>Un acontecimiento que es probable que ocurra</w:t>
            </w:r>
          </w:p>
        </w:tc>
      </w:tr>
      <w:tr w:rsidR="00744860" w:rsidRPr="000E7C94" w:rsidTr="00542ED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rsidR="00744860" w:rsidRPr="000E7C94" w:rsidRDefault="00744860" w:rsidP="00542EDC">
            <w:pPr>
              <w:keepNext/>
              <w:keepLines/>
              <w:rPr>
                <w:rFonts w:eastAsia="Times New Roman"/>
                <w:color w:val="000000"/>
                <w:sz w:val="20"/>
                <w:szCs w:val="20"/>
              </w:rPr>
            </w:pPr>
            <w:r w:rsidRPr="000E7C94">
              <w:rPr>
                <w:rFonts w:eastAsia="Times New Roman"/>
                <w:color w:val="000000"/>
                <w:sz w:val="20"/>
                <w:szCs w:val="20"/>
              </w:rPr>
              <w:t>Alto</w:t>
            </w:r>
          </w:p>
        </w:tc>
        <w:tc>
          <w:tcPr>
            <w:tcW w:w="5102" w:type="dxa"/>
            <w:noWrap/>
            <w:vAlign w:val="center"/>
            <w:hideMark/>
          </w:tcPr>
          <w:p w:rsidR="00744860" w:rsidRPr="000E7C94" w:rsidRDefault="00744860" w:rsidP="00542EDC">
            <w:pPr>
              <w:keepNext/>
              <w:keepLines/>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0E7C94">
              <w:rPr>
                <w:rFonts w:eastAsia="Times New Roman"/>
                <w:color w:val="000000"/>
                <w:sz w:val="20"/>
                <w:szCs w:val="20"/>
              </w:rPr>
              <w:t>Un acontecimiento que es muy probable que ocurra</w:t>
            </w:r>
          </w:p>
        </w:tc>
      </w:tr>
    </w:tbl>
    <w:p w:rsidR="00744860" w:rsidRPr="000E7C94" w:rsidRDefault="00744860" w:rsidP="00874384">
      <w:pPr>
        <w:pStyle w:val="Figuretitle"/>
        <w:spacing w:after="240"/>
      </w:pPr>
      <w:r w:rsidRPr="000E7C94">
        <w:t>Impacto del riesgo</w:t>
      </w:r>
    </w:p>
    <w:tbl>
      <w:tblPr>
        <w:tblStyle w:val="ListTable3-Accent51"/>
        <w:tblW w:w="8572" w:type="dxa"/>
        <w:jc w:val="center"/>
        <w:tblLook w:val="04A0" w:firstRow="1" w:lastRow="0" w:firstColumn="1" w:lastColumn="0" w:noHBand="0" w:noVBand="1"/>
      </w:tblPr>
      <w:tblGrid>
        <w:gridCol w:w="918"/>
        <w:gridCol w:w="7654"/>
      </w:tblGrid>
      <w:tr w:rsidR="00744860" w:rsidRPr="000E7C94" w:rsidTr="00542ED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100" w:firstRow="0" w:lastRow="0" w:firstColumn="1" w:lastColumn="0" w:oddVBand="0" w:evenVBand="0" w:oddHBand="0" w:evenHBand="0" w:firstRowFirstColumn="1" w:firstRowLastColumn="0" w:lastRowFirstColumn="0" w:lastRowLastColumn="0"/>
            <w:tcW w:w="918" w:type="dxa"/>
            <w:shd w:val="clear" w:color="auto" w:fill="4472C4"/>
            <w:vAlign w:val="center"/>
          </w:tcPr>
          <w:p w:rsidR="00744860" w:rsidRPr="000E7C94" w:rsidRDefault="00744860" w:rsidP="00542EDC">
            <w:pPr>
              <w:jc w:val="center"/>
              <w:rPr>
                <w:color w:val="FFFFFF"/>
                <w:sz w:val="20"/>
              </w:rPr>
            </w:pPr>
            <w:r w:rsidRPr="000E7C94">
              <w:rPr>
                <w:rFonts w:eastAsia="Times New Roman"/>
                <w:color w:val="FFFFFF"/>
                <w:sz w:val="20"/>
                <w:szCs w:val="20"/>
              </w:rPr>
              <w:t>Nivel</w:t>
            </w:r>
          </w:p>
        </w:tc>
        <w:tc>
          <w:tcPr>
            <w:tcW w:w="7654" w:type="dxa"/>
            <w:shd w:val="clear" w:color="auto" w:fill="4472C4"/>
            <w:vAlign w:val="center"/>
            <w:hideMark/>
          </w:tcPr>
          <w:p w:rsidR="00744860" w:rsidRPr="000E7C94" w:rsidRDefault="00744860" w:rsidP="00542EDC">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0E7C94">
              <w:rPr>
                <w:rFonts w:eastAsia="Times New Roman"/>
                <w:color w:val="FFFFFF"/>
                <w:sz w:val="20"/>
                <w:szCs w:val="20"/>
              </w:rPr>
              <w:t>Justificación</w:t>
            </w:r>
          </w:p>
        </w:tc>
      </w:tr>
      <w:tr w:rsidR="00744860" w:rsidRPr="000E7C94" w:rsidTr="00542ED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rsidR="00744860" w:rsidRPr="000E7C94" w:rsidRDefault="00744860" w:rsidP="00542EDC">
            <w:pPr>
              <w:rPr>
                <w:color w:val="000000"/>
                <w:sz w:val="20"/>
              </w:rPr>
            </w:pPr>
            <w:r w:rsidRPr="000E7C94">
              <w:rPr>
                <w:rFonts w:eastAsia="Times New Roman"/>
                <w:color w:val="000000"/>
                <w:sz w:val="20"/>
                <w:szCs w:val="20"/>
              </w:rPr>
              <w:t>Bajo</w:t>
            </w:r>
          </w:p>
        </w:tc>
        <w:tc>
          <w:tcPr>
            <w:tcW w:w="7654" w:type="dxa"/>
            <w:noWrap/>
            <w:vAlign w:val="center"/>
            <w:hideMark/>
          </w:tcPr>
          <w:p w:rsidR="00744860" w:rsidRPr="000E7C94" w:rsidRDefault="00744860" w:rsidP="00542EDC">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0E7C94">
              <w:rPr>
                <w:rFonts w:eastAsia="Times New Roman"/>
                <w:color w:val="000000"/>
                <w:sz w:val="20"/>
                <w:szCs w:val="20"/>
              </w:rPr>
              <w:t>Impacto mínimo en las actividades, la reputación o la financiación</w:t>
            </w:r>
          </w:p>
        </w:tc>
      </w:tr>
      <w:tr w:rsidR="00744860" w:rsidRPr="000E7C94" w:rsidTr="00542EDC">
        <w:trPr>
          <w:trHeight w:val="340"/>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rsidR="00744860" w:rsidRPr="000E7C94" w:rsidRDefault="00744860" w:rsidP="00542EDC">
            <w:pPr>
              <w:rPr>
                <w:color w:val="000000"/>
                <w:sz w:val="20"/>
              </w:rPr>
            </w:pPr>
            <w:r w:rsidRPr="000E7C94">
              <w:rPr>
                <w:rFonts w:eastAsia="Times New Roman"/>
                <w:color w:val="000000"/>
                <w:sz w:val="20"/>
                <w:szCs w:val="20"/>
              </w:rPr>
              <w:t>Medio</w:t>
            </w:r>
          </w:p>
        </w:tc>
        <w:tc>
          <w:tcPr>
            <w:tcW w:w="7654" w:type="dxa"/>
            <w:noWrap/>
            <w:vAlign w:val="center"/>
            <w:hideMark/>
          </w:tcPr>
          <w:p w:rsidR="00744860" w:rsidRPr="000E7C94" w:rsidRDefault="00744860" w:rsidP="00542ED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0E7C94">
              <w:rPr>
                <w:rFonts w:eastAsia="Times New Roman"/>
                <w:color w:val="000000"/>
                <w:sz w:val="20"/>
                <w:szCs w:val="20"/>
              </w:rPr>
              <w:t>Impacto considerable en las actividades, la reputación o la financiación</w:t>
            </w:r>
          </w:p>
        </w:tc>
      </w:tr>
      <w:tr w:rsidR="00744860" w:rsidRPr="000E7C94" w:rsidTr="00542ED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rsidR="00744860" w:rsidRPr="000E7C94" w:rsidRDefault="00744860" w:rsidP="00542EDC">
            <w:pPr>
              <w:rPr>
                <w:color w:val="000000"/>
                <w:sz w:val="20"/>
              </w:rPr>
            </w:pPr>
            <w:r w:rsidRPr="000E7C94">
              <w:rPr>
                <w:rFonts w:eastAsia="Times New Roman"/>
                <w:color w:val="000000"/>
                <w:sz w:val="20"/>
                <w:szCs w:val="20"/>
              </w:rPr>
              <w:t>Alto</w:t>
            </w:r>
          </w:p>
        </w:tc>
        <w:tc>
          <w:tcPr>
            <w:tcW w:w="7654" w:type="dxa"/>
            <w:noWrap/>
            <w:vAlign w:val="center"/>
            <w:hideMark/>
          </w:tcPr>
          <w:p w:rsidR="00744860" w:rsidRPr="000E7C94" w:rsidRDefault="00744860" w:rsidP="00542EDC">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0E7C94">
              <w:rPr>
                <w:rFonts w:eastAsia="Times New Roman"/>
                <w:color w:val="000000"/>
                <w:sz w:val="20"/>
                <w:szCs w:val="20"/>
              </w:rPr>
              <w:t>Impacto crítico en las actividades, la reputación o la financiación, y que requiere una atención inmediata</w:t>
            </w:r>
          </w:p>
        </w:tc>
      </w:tr>
    </w:tbl>
    <w:p w:rsidR="00744860" w:rsidRPr="000E7C94" w:rsidRDefault="00744860" w:rsidP="00854F14">
      <w:pPr>
        <w:pStyle w:val="Heading2"/>
        <w:numPr>
          <w:ilvl w:val="1"/>
          <w:numId w:val="0"/>
        </w:numPr>
        <w:ind w:left="567" w:hanging="567"/>
      </w:pPr>
      <w:r w:rsidRPr="000E7C94">
        <w:t>2.3</w:t>
      </w:r>
      <w:r w:rsidRPr="000E7C94">
        <w:tab/>
        <w:t>Tratamiento de riesgos</w:t>
      </w:r>
    </w:p>
    <w:p w:rsidR="00744860" w:rsidRPr="000E7C94" w:rsidRDefault="00744860" w:rsidP="00854F14">
      <w:r w:rsidRPr="000E7C94">
        <w:t>Para definir la respuesta a un riesgo, es preciso elegir una acción que se adecúe al riesgo en cuestión. A un riesgo se puede responder de las tres maneras siguientes:</w:t>
      </w:r>
    </w:p>
    <w:p w:rsidR="00744860" w:rsidRPr="000E7C94" w:rsidRDefault="000A0A32" w:rsidP="000A0A32">
      <w:pPr>
        <w:pStyle w:val="enumlev1"/>
      </w:pPr>
      <w:r w:rsidRPr="000E7C94">
        <w:t>–</w:t>
      </w:r>
      <w:r w:rsidRPr="000E7C94">
        <w:tab/>
      </w:r>
      <w:r w:rsidR="00AF6470" w:rsidRPr="000E7C94">
        <w:rPr>
          <w:b/>
          <w:bCs/>
        </w:rPr>
        <w:t>aceptación</w:t>
      </w:r>
      <w:r w:rsidR="00744860" w:rsidRPr="000E7C94">
        <w:t>: el riesgo se reconoce pero, debido a que su impacto es más bien bajo e insignificante, o porque los esfuerzos de mitigación pesan más que las consecuencias, se acepta y no se toma ninguna medida particular para mitigarlo;</w:t>
      </w:r>
    </w:p>
    <w:p w:rsidR="00744860" w:rsidRPr="000E7C94" w:rsidRDefault="000A0A32" w:rsidP="000A0A32">
      <w:pPr>
        <w:pStyle w:val="enumlev1"/>
      </w:pPr>
      <w:r w:rsidRPr="000E7C94">
        <w:t>–</w:t>
      </w:r>
      <w:r w:rsidRPr="000E7C94">
        <w:tab/>
      </w:r>
      <w:r w:rsidR="00AF6470" w:rsidRPr="000E7C94">
        <w:rPr>
          <w:b/>
          <w:bCs/>
        </w:rPr>
        <w:t>mitigación</w:t>
      </w:r>
      <w:r w:rsidR="00744860" w:rsidRPr="000E7C94">
        <w:t>: el riesgo se reconoce, pero ya se han tomado o se están tomando las medidas necesarias para reducir/evitar el riesgo; y</w:t>
      </w:r>
    </w:p>
    <w:p w:rsidR="00744860" w:rsidRPr="000E7C94" w:rsidRDefault="000A0A32" w:rsidP="000A0A32">
      <w:pPr>
        <w:pStyle w:val="enumlev1"/>
      </w:pPr>
      <w:r w:rsidRPr="000E7C94">
        <w:t>–</w:t>
      </w:r>
      <w:r w:rsidRPr="000E7C94">
        <w:tab/>
      </w:r>
      <w:r w:rsidR="00AF6470" w:rsidRPr="000E7C94">
        <w:rPr>
          <w:b/>
          <w:bCs/>
        </w:rPr>
        <w:t>transferencia</w:t>
      </w:r>
      <w:r w:rsidR="00744860" w:rsidRPr="000E7C94">
        <w:t>: el riesgo se reconoce y la responsabilidad del riesgo sigue siendo del encargado del riesgo, pero la gestión de las medidas de mitigación del riesgo se atribuye al nivel adecuado: otro departamento, división, sección, unidad o entidad subcontratada.</w:t>
      </w:r>
    </w:p>
    <w:p w:rsidR="00744860" w:rsidRPr="000E7C94" w:rsidRDefault="00744860" w:rsidP="00555BB7">
      <w:pPr>
        <w:pStyle w:val="Heading1"/>
      </w:pPr>
      <w:r w:rsidRPr="000E7C94">
        <w:lastRenderedPageBreak/>
        <w:t>3</w:t>
      </w:r>
      <w:r w:rsidRPr="000E7C94">
        <w:tab/>
        <w:t>Supervisión y examen</w:t>
      </w:r>
    </w:p>
    <w:p w:rsidR="00744860" w:rsidRPr="000E7C94" w:rsidRDefault="00744860" w:rsidP="00555BB7">
      <w:pPr>
        <w:pStyle w:val="Headingb"/>
      </w:pPr>
      <w:r w:rsidRPr="000E7C94">
        <w:t xml:space="preserve">Revisión y actualización del registro de riesgos </w:t>
      </w:r>
    </w:p>
    <w:p w:rsidR="00744860" w:rsidRPr="000E7C94" w:rsidRDefault="00744860" w:rsidP="00555BB7">
      <w:r w:rsidRPr="000E7C94">
        <w:t>La UIT elaborará una lista de los riesgos a que se enfrenta y las correspondientes medidas de mitigación. Los riesgos se examinan periódicamente como sigue:</w:t>
      </w:r>
    </w:p>
    <w:p w:rsidR="00744860" w:rsidRPr="000E7C94" w:rsidRDefault="006975F6" w:rsidP="006975F6">
      <w:pPr>
        <w:pStyle w:val="enumlev1"/>
      </w:pPr>
      <w:r w:rsidRPr="000E7C94">
        <w:t>–</w:t>
      </w:r>
      <w:r w:rsidRPr="000E7C94">
        <w:tab/>
      </w:r>
      <w:r w:rsidRPr="000E7C94">
        <w:t xml:space="preserve">el </w:t>
      </w:r>
      <w:r w:rsidR="00744860" w:rsidRPr="000E7C94">
        <w:t>examen</w:t>
      </w:r>
      <w:r w:rsidR="00744860" w:rsidRPr="000E7C94">
        <w:t xml:space="preserve"> de los riesgos estratégicos y operacionales está integrado en las actividades del proceso institucional de la UIT, más que tratarse de un ejercicio periódico;</w:t>
      </w:r>
    </w:p>
    <w:p w:rsidR="00744860" w:rsidRPr="000E7C94" w:rsidRDefault="006975F6" w:rsidP="006975F6">
      <w:pPr>
        <w:pStyle w:val="enumlev1"/>
      </w:pPr>
      <w:r w:rsidRPr="000E7C94">
        <w:t>–</w:t>
      </w:r>
      <w:r w:rsidRPr="000E7C94">
        <w:tab/>
      </w:r>
      <w:r w:rsidRPr="000E7C94">
        <w:t xml:space="preserve">las </w:t>
      </w:r>
      <w:r w:rsidR="00744860" w:rsidRPr="000E7C94">
        <w:t>Oficinas y la Secretaría General revisan anualmente los riesgos operacionales (identificación, análisis y evaluación de los riesgos existentes o nuevos), como parte del proceso de elaboración de los Planes Operacionales;</w:t>
      </w:r>
    </w:p>
    <w:p w:rsidR="00744860" w:rsidRPr="000E7C94" w:rsidRDefault="006975F6" w:rsidP="006975F6">
      <w:pPr>
        <w:pStyle w:val="enumlev1"/>
      </w:pPr>
      <w:r w:rsidRPr="000E7C94">
        <w:t>–</w:t>
      </w:r>
      <w:r w:rsidRPr="000E7C94">
        <w:tab/>
      </w:r>
      <w:r w:rsidRPr="000E7C94">
        <w:t xml:space="preserve">la </w:t>
      </w:r>
      <w:r w:rsidR="00744860" w:rsidRPr="000E7C94">
        <w:t>revisión de los riesgos se consolida en el marco de los Planes Operacionales de los Sectores y de la Secretaría General, y la alta dirección revisa colectivamente todos los riesgos operacionales y estratégicos fundamentales; y</w:t>
      </w:r>
    </w:p>
    <w:p w:rsidR="00744860" w:rsidRPr="000E7C94" w:rsidRDefault="006975F6" w:rsidP="006975F6">
      <w:pPr>
        <w:pStyle w:val="enumlev1"/>
      </w:pPr>
      <w:r w:rsidRPr="000E7C94">
        <w:t>–</w:t>
      </w:r>
      <w:r w:rsidRPr="000E7C94">
        <w:tab/>
      </w:r>
      <w:r w:rsidRPr="000E7C94">
        <w:t xml:space="preserve">los </w:t>
      </w:r>
      <w:r w:rsidR="00744860" w:rsidRPr="000E7C94">
        <w:t xml:space="preserve">riesgos operacionales se consultan con los </w:t>
      </w:r>
      <w:r w:rsidR="00C0335A" w:rsidRPr="000E7C94">
        <w:t xml:space="preserve">miembros </w:t>
      </w:r>
      <w:r w:rsidR="00744860" w:rsidRPr="000E7C94">
        <w:t>durante la elaboración de los Planes Operacionales, y les son comunicados a continuación. Los grupos asesores de los Sectores tienen la posibilidad de revisarlos y el Consejo realiza un examen final de los riesgos y de las medidas de mitigación que deben aplicarse.</w:t>
      </w:r>
    </w:p>
    <w:p w:rsidR="00744860" w:rsidRPr="000E7C94" w:rsidRDefault="00744860" w:rsidP="004425DC">
      <w:pPr>
        <w:pStyle w:val="Heading1"/>
        <w:spacing w:after="120"/>
      </w:pPr>
      <w:r w:rsidRPr="000E7C94">
        <w:t>4</w:t>
      </w:r>
      <w:r w:rsidRPr="000E7C94">
        <w:tab/>
        <w:t>Funciones y responsabilidades</w:t>
      </w:r>
    </w:p>
    <w:tbl>
      <w:tblPr>
        <w:tblStyle w:val="ListTable3-Accent51"/>
        <w:tblW w:w="0" w:type="auto"/>
        <w:tblLook w:val="04A0" w:firstRow="1" w:lastRow="0" w:firstColumn="1" w:lastColumn="0" w:noHBand="0" w:noVBand="1"/>
      </w:tblPr>
      <w:tblGrid>
        <w:gridCol w:w="1838"/>
        <w:gridCol w:w="3119"/>
        <w:gridCol w:w="4393"/>
      </w:tblGrid>
      <w:tr w:rsidR="00744860" w:rsidRPr="000E7C94" w:rsidTr="00542E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shd w:val="clear" w:color="auto" w:fill="4472C4"/>
          </w:tcPr>
          <w:p w:rsidR="00744860" w:rsidRPr="000E7C94" w:rsidRDefault="00744860" w:rsidP="00542EDC">
            <w:pPr>
              <w:keepNext/>
              <w:keepLines/>
              <w:spacing w:after="120"/>
              <w:rPr>
                <w:sz w:val="20"/>
                <w:szCs w:val="20"/>
              </w:rPr>
            </w:pPr>
            <w:r w:rsidRPr="000E7C94">
              <w:rPr>
                <w:sz w:val="20"/>
                <w:szCs w:val="20"/>
              </w:rPr>
              <w:t>Cargo</w:t>
            </w:r>
          </w:p>
        </w:tc>
        <w:tc>
          <w:tcPr>
            <w:tcW w:w="3119" w:type="dxa"/>
            <w:shd w:val="clear" w:color="auto" w:fill="4472C4"/>
          </w:tcPr>
          <w:p w:rsidR="00744860" w:rsidRPr="000E7C94" w:rsidRDefault="00744860" w:rsidP="00542EDC">
            <w:pPr>
              <w:keepNext/>
              <w:keepLines/>
              <w:spacing w:after="120"/>
              <w:cnfStyle w:val="100000000000" w:firstRow="1" w:lastRow="0" w:firstColumn="0" w:lastColumn="0" w:oddVBand="0" w:evenVBand="0" w:oddHBand="0" w:evenHBand="0" w:firstRowFirstColumn="0" w:firstRowLastColumn="0" w:lastRowFirstColumn="0" w:lastRowLastColumn="0"/>
              <w:rPr>
                <w:sz w:val="20"/>
                <w:szCs w:val="20"/>
              </w:rPr>
            </w:pPr>
            <w:r w:rsidRPr="000E7C94">
              <w:rPr>
                <w:sz w:val="20"/>
                <w:szCs w:val="20"/>
              </w:rPr>
              <w:t>Función</w:t>
            </w:r>
          </w:p>
        </w:tc>
        <w:tc>
          <w:tcPr>
            <w:tcW w:w="4393" w:type="dxa"/>
            <w:shd w:val="clear" w:color="auto" w:fill="4472C4"/>
          </w:tcPr>
          <w:p w:rsidR="00744860" w:rsidRPr="000E7C94" w:rsidRDefault="00744860" w:rsidP="00542EDC">
            <w:pPr>
              <w:keepNext/>
              <w:keepLines/>
              <w:spacing w:after="120"/>
              <w:cnfStyle w:val="100000000000" w:firstRow="1" w:lastRow="0" w:firstColumn="0" w:lastColumn="0" w:oddVBand="0" w:evenVBand="0" w:oddHBand="0" w:evenHBand="0" w:firstRowFirstColumn="0" w:firstRowLastColumn="0" w:lastRowFirstColumn="0" w:lastRowLastColumn="0"/>
              <w:rPr>
                <w:sz w:val="20"/>
                <w:szCs w:val="20"/>
              </w:rPr>
            </w:pPr>
            <w:r w:rsidRPr="000E7C94">
              <w:rPr>
                <w:sz w:val="20"/>
                <w:szCs w:val="20"/>
              </w:rPr>
              <w:t>Responsabilidades</w:t>
            </w:r>
          </w:p>
        </w:tc>
      </w:tr>
      <w:tr w:rsidR="00744860" w:rsidRPr="000E7C94" w:rsidTr="00542EDC">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1838" w:type="dxa"/>
          </w:tcPr>
          <w:p w:rsidR="00744860" w:rsidRPr="000E7C94" w:rsidRDefault="00744860" w:rsidP="00542EDC">
            <w:pPr>
              <w:keepNext/>
              <w:keepLines/>
              <w:spacing w:before="40" w:after="40"/>
              <w:rPr>
                <w:sz w:val="20"/>
                <w:szCs w:val="20"/>
              </w:rPr>
            </w:pPr>
            <w:r w:rsidRPr="000E7C94">
              <w:rPr>
                <w:sz w:val="20"/>
                <w:szCs w:val="20"/>
              </w:rPr>
              <w:t>Encargado del riesgo</w:t>
            </w:r>
          </w:p>
        </w:tc>
        <w:tc>
          <w:tcPr>
            <w:tcW w:w="3119" w:type="dxa"/>
          </w:tcPr>
          <w:p w:rsidR="00744860" w:rsidRPr="000E7C94" w:rsidRDefault="00744860" w:rsidP="00542EDC">
            <w:pPr>
              <w:keepNext/>
              <w:keepLines/>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0E7C94">
              <w:rPr>
                <w:sz w:val="20"/>
                <w:szCs w:val="20"/>
              </w:rPr>
              <w:t>El encargado del riesgo se encarga también de la gestión del mismo, ya que es el máximo interesado en que se trate correctamente, y posee el nivel de autoridad adecuado para tratar el riesgo debidamente</w:t>
            </w:r>
          </w:p>
        </w:tc>
        <w:tc>
          <w:tcPr>
            <w:tcW w:w="4393" w:type="dxa"/>
          </w:tcPr>
          <w:p w:rsidR="00744860" w:rsidRPr="000E7C94" w:rsidRDefault="00744860" w:rsidP="00D03F4E">
            <w:pPr>
              <w:pStyle w:val="ListParagraph"/>
              <w:keepNext/>
              <w:keepLines/>
              <w:numPr>
                <w:ilvl w:val="0"/>
                <w:numId w:val="2"/>
              </w:numPr>
              <w:spacing w:before="40" w:after="40"/>
              <w:ind w:left="227" w:hanging="227"/>
              <w:jc w:val="left"/>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0E7C94">
              <w:rPr>
                <w:sz w:val="20"/>
                <w:szCs w:val="20"/>
                <w:lang w:val="es-ES_tradnl"/>
              </w:rPr>
              <w:t>Se encarga de la gestión global del riesgo, incluso cuando éste debe transferirse</w:t>
            </w:r>
          </w:p>
          <w:p w:rsidR="00744860" w:rsidRPr="000E7C94" w:rsidRDefault="00744860" w:rsidP="00D03F4E">
            <w:pPr>
              <w:pStyle w:val="ListParagraph"/>
              <w:keepNext/>
              <w:keepLines/>
              <w:numPr>
                <w:ilvl w:val="0"/>
                <w:numId w:val="2"/>
              </w:numPr>
              <w:spacing w:before="40" w:after="40"/>
              <w:ind w:left="227" w:hanging="227"/>
              <w:jc w:val="left"/>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0E7C94">
              <w:rPr>
                <w:sz w:val="20"/>
                <w:szCs w:val="20"/>
                <w:lang w:val="es-ES_tradnl"/>
              </w:rPr>
              <w:t>Decide las medidas de mitigación del riesgo</w:t>
            </w:r>
          </w:p>
          <w:p w:rsidR="00744860" w:rsidRPr="000E7C94" w:rsidRDefault="00744860" w:rsidP="00D03F4E">
            <w:pPr>
              <w:pStyle w:val="ListParagraph"/>
              <w:keepNext/>
              <w:keepLines/>
              <w:numPr>
                <w:ilvl w:val="0"/>
                <w:numId w:val="2"/>
              </w:numPr>
              <w:spacing w:before="40" w:after="40"/>
              <w:ind w:left="227" w:hanging="227"/>
              <w:jc w:val="left"/>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0E7C94">
              <w:rPr>
                <w:sz w:val="20"/>
                <w:szCs w:val="20"/>
                <w:lang w:val="es-ES_tradnl"/>
              </w:rPr>
              <w:t>Asigna recursos/presupuesto para las actividades de mitigación</w:t>
            </w:r>
          </w:p>
          <w:p w:rsidR="00744860" w:rsidRPr="000E7C94" w:rsidRDefault="00744860" w:rsidP="00D03F4E">
            <w:pPr>
              <w:pStyle w:val="ListParagraph"/>
              <w:keepNext/>
              <w:keepLines/>
              <w:numPr>
                <w:ilvl w:val="0"/>
                <w:numId w:val="2"/>
              </w:numPr>
              <w:spacing w:before="40" w:after="40"/>
              <w:ind w:left="227" w:hanging="227"/>
              <w:jc w:val="left"/>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0E7C94">
              <w:rPr>
                <w:sz w:val="20"/>
                <w:szCs w:val="20"/>
                <w:lang w:val="es-ES_tradnl"/>
              </w:rPr>
              <w:t>Gestiona el proceso de (re)evaluación del riesgo</w:t>
            </w:r>
          </w:p>
          <w:p w:rsidR="00744860" w:rsidRPr="000E7C94" w:rsidRDefault="00744860" w:rsidP="00D03F4E">
            <w:pPr>
              <w:pStyle w:val="ListParagraph"/>
              <w:keepNext/>
              <w:keepLines/>
              <w:numPr>
                <w:ilvl w:val="0"/>
                <w:numId w:val="2"/>
              </w:numPr>
              <w:spacing w:before="40" w:after="40"/>
              <w:ind w:left="227" w:hanging="227"/>
              <w:jc w:val="left"/>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0E7C94">
              <w:rPr>
                <w:sz w:val="20"/>
                <w:szCs w:val="20"/>
                <w:lang w:val="es-ES_tradnl"/>
              </w:rPr>
              <w:t>Gestiona el proceso de notificación de riesgos</w:t>
            </w:r>
          </w:p>
        </w:tc>
      </w:tr>
      <w:tr w:rsidR="00744860" w:rsidRPr="000E7C94" w:rsidTr="00542EDC">
        <w:trPr>
          <w:trHeight w:val="1304"/>
        </w:trPr>
        <w:tc>
          <w:tcPr>
            <w:cnfStyle w:val="001000000000" w:firstRow="0" w:lastRow="0" w:firstColumn="1" w:lastColumn="0" w:oddVBand="0" w:evenVBand="0" w:oddHBand="0" w:evenHBand="0" w:firstRowFirstColumn="0" w:firstRowLastColumn="0" w:lastRowFirstColumn="0" w:lastRowLastColumn="0"/>
            <w:tcW w:w="1838" w:type="dxa"/>
          </w:tcPr>
          <w:p w:rsidR="00744860" w:rsidRPr="000E7C94" w:rsidRDefault="00744860" w:rsidP="00542EDC">
            <w:pPr>
              <w:spacing w:before="40" w:after="40"/>
              <w:rPr>
                <w:sz w:val="20"/>
                <w:szCs w:val="20"/>
              </w:rPr>
            </w:pPr>
            <w:r w:rsidRPr="000E7C94">
              <w:rPr>
                <w:sz w:val="20"/>
                <w:szCs w:val="20"/>
              </w:rPr>
              <w:t>Coordinador de la gestión de riesgos</w:t>
            </w:r>
          </w:p>
        </w:tc>
        <w:tc>
          <w:tcPr>
            <w:tcW w:w="3119" w:type="dxa"/>
          </w:tcPr>
          <w:p w:rsidR="00744860" w:rsidRPr="000E7C94" w:rsidRDefault="00744860" w:rsidP="00542EDC">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0E7C94">
              <w:rPr>
                <w:sz w:val="20"/>
                <w:szCs w:val="20"/>
              </w:rPr>
              <w:t>Coordina el proceso de gestión de riesgos en el marco de su Oficina o de la Secretaría General</w:t>
            </w:r>
          </w:p>
        </w:tc>
        <w:tc>
          <w:tcPr>
            <w:tcW w:w="4393" w:type="dxa"/>
          </w:tcPr>
          <w:p w:rsidR="00744860" w:rsidRPr="000E7C94" w:rsidRDefault="00744860" w:rsidP="00D03F4E">
            <w:pPr>
              <w:pStyle w:val="ListParagraph"/>
              <w:numPr>
                <w:ilvl w:val="0"/>
                <w:numId w:val="2"/>
              </w:numPr>
              <w:spacing w:before="40" w:after="40"/>
              <w:ind w:left="227" w:hanging="227"/>
              <w:jc w:val="left"/>
              <w:cnfStyle w:val="000000000000" w:firstRow="0" w:lastRow="0" w:firstColumn="0" w:lastColumn="0" w:oddVBand="0" w:evenVBand="0" w:oddHBand="0" w:evenHBand="0" w:firstRowFirstColumn="0" w:firstRowLastColumn="0" w:lastRowFirstColumn="0" w:lastRowLastColumn="0"/>
              <w:rPr>
                <w:sz w:val="20"/>
                <w:szCs w:val="20"/>
                <w:lang w:val="es-ES_tradnl"/>
              </w:rPr>
            </w:pPr>
            <w:r w:rsidRPr="000E7C94">
              <w:rPr>
                <w:sz w:val="20"/>
                <w:szCs w:val="20"/>
                <w:lang w:val="es-ES_tradnl"/>
              </w:rPr>
              <w:t>Facilita la gestión de riesgos en el marco de su Oficina o de la Secretaría General</w:t>
            </w:r>
          </w:p>
          <w:p w:rsidR="00744860" w:rsidRPr="000E7C94" w:rsidRDefault="00744860" w:rsidP="00D03F4E">
            <w:pPr>
              <w:pStyle w:val="ListParagraph"/>
              <w:numPr>
                <w:ilvl w:val="0"/>
                <w:numId w:val="2"/>
              </w:numPr>
              <w:spacing w:before="40" w:after="40"/>
              <w:ind w:left="227" w:hanging="227"/>
              <w:jc w:val="left"/>
              <w:cnfStyle w:val="000000000000" w:firstRow="0" w:lastRow="0" w:firstColumn="0" w:lastColumn="0" w:oddVBand="0" w:evenVBand="0" w:oddHBand="0" w:evenHBand="0" w:firstRowFirstColumn="0" w:firstRowLastColumn="0" w:lastRowFirstColumn="0" w:lastRowLastColumn="0"/>
              <w:rPr>
                <w:sz w:val="20"/>
                <w:szCs w:val="20"/>
                <w:lang w:val="es-ES_tradnl"/>
              </w:rPr>
            </w:pPr>
            <w:r w:rsidRPr="000E7C94">
              <w:rPr>
                <w:sz w:val="20"/>
                <w:szCs w:val="20"/>
                <w:lang w:val="es-ES_tradnl"/>
              </w:rPr>
              <w:t>Elabora una lista de riesgos y la mantiene actualizada</w:t>
            </w:r>
          </w:p>
          <w:p w:rsidR="00744860" w:rsidRPr="000E7C94" w:rsidRDefault="00744860" w:rsidP="00D03F4E">
            <w:pPr>
              <w:pStyle w:val="ListParagraph"/>
              <w:numPr>
                <w:ilvl w:val="0"/>
                <w:numId w:val="2"/>
              </w:numPr>
              <w:spacing w:before="40" w:after="40"/>
              <w:ind w:left="227" w:hanging="227"/>
              <w:jc w:val="left"/>
              <w:cnfStyle w:val="000000000000" w:firstRow="0" w:lastRow="0" w:firstColumn="0" w:lastColumn="0" w:oddVBand="0" w:evenVBand="0" w:oddHBand="0" w:evenHBand="0" w:firstRowFirstColumn="0" w:firstRowLastColumn="0" w:lastRowFirstColumn="0" w:lastRowLastColumn="0"/>
              <w:rPr>
                <w:sz w:val="20"/>
                <w:szCs w:val="20"/>
                <w:lang w:val="es-ES_tradnl"/>
              </w:rPr>
            </w:pPr>
            <w:r w:rsidRPr="000E7C94">
              <w:rPr>
                <w:sz w:val="20"/>
                <w:szCs w:val="20"/>
                <w:lang w:val="es-ES_tradnl"/>
              </w:rPr>
              <w:t>Recopila y presenta información para la revisión de la gestión y la notificación de riesgos</w:t>
            </w:r>
          </w:p>
        </w:tc>
      </w:tr>
      <w:tr w:rsidR="00744860" w:rsidRPr="000E7C94" w:rsidTr="00542EDC">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838" w:type="dxa"/>
          </w:tcPr>
          <w:p w:rsidR="00744860" w:rsidRPr="000E7C94" w:rsidRDefault="00744860" w:rsidP="00542EDC">
            <w:pPr>
              <w:spacing w:before="40" w:after="40"/>
              <w:rPr>
                <w:sz w:val="20"/>
                <w:szCs w:val="20"/>
              </w:rPr>
            </w:pPr>
            <w:r w:rsidRPr="000E7C94">
              <w:rPr>
                <w:sz w:val="20"/>
                <w:szCs w:val="20"/>
              </w:rPr>
              <w:t>Persona/unidad encargada de la aplicación de medidas de mitigación</w:t>
            </w:r>
          </w:p>
        </w:tc>
        <w:tc>
          <w:tcPr>
            <w:tcW w:w="3119" w:type="dxa"/>
          </w:tcPr>
          <w:p w:rsidR="00744860" w:rsidRPr="000E7C94" w:rsidRDefault="00744860" w:rsidP="00542EDC">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0E7C94">
              <w:rPr>
                <w:sz w:val="20"/>
                <w:szCs w:val="20"/>
              </w:rPr>
              <w:t xml:space="preserve">Aplica medidas de mitigación e informa de su aplicación al encargado del riesgo </w:t>
            </w:r>
          </w:p>
        </w:tc>
        <w:tc>
          <w:tcPr>
            <w:tcW w:w="4393" w:type="dxa"/>
          </w:tcPr>
          <w:p w:rsidR="00744860" w:rsidRPr="000E7C94" w:rsidRDefault="00744860" w:rsidP="00D03F4E">
            <w:pPr>
              <w:pStyle w:val="ListParagraph"/>
              <w:numPr>
                <w:ilvl w:val="0"/>
                <w:numId w:val="2"/>
              </w:numPr>
              <w:spacing w:before="40" w:after="40"/>
              <w:ind w:left="227" w:hanging="227"/>
              <w:jc w:val="left"/>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0E7C94">
              <w:rPr>
                <w:sz w:val="20"/>
                <w:szCs w:val="20"/>
                <w:lang w:val="es-ES_tradnl"/>
              </w:rPr>
              <w:t>Aplica medidas de mitigación</w:t>
            </w:r>
          </w:p>
          <w:p w:rsidR="00744860" w:rsidRPr="000E7C94" w:rsidRDefault="00744860" w:rsidP="00D03F4E">
            <w:pPr>
              <w:pStyle w:val="ListParagraph"/>
              <w:numPr>
                <w:ilvl w:val="0"/>
                <w:numId w:val="2"/>
              </w:numPr>
              <w:spacing w:before="40" w:after="40"/>
              <w:ind w:left="227" w:hanging="227"/>
              <w:jc w:val="left"/>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0E7C94">
              <w:rPr>
                <w:sz w:val="20"/>
                <w:szCs w:val="20"/>
                <w:lang w:val="es-ES_tradnl"/>
              </w:rPr>
              <w:t>Proporciona información para la revisión de la gestión y la actualización de la lista de riesgos</w:t>
            </w:r>
          </w:p>
        </w:tc>
      </w:tr>
      <w:tr w:rsidR="00744860" w:rsidRPr="000E7C94" w:rsidTr="00542EDC">
        <w:trPr>
          <w:trHeight w:val="850"/>
        </w:trPr>
        <w:tc>
          <w:tcPr>
            <w:cnfStyle w:val="001000000000" w:firstRow="0" w:lastRow="0" w:firstColumn="1" w:lastColumn="0" w:oddVBand="0" w:evenVBand="0" w:oddHBand="0" w:evenHBand="0" w:firstRowFirstColumn="0" w:firstRowLastColumn="0" w:lastRowFirstColumn="0" w:lastRowLastColumn="0"/>
            <w:tcW w:w="1838" w:type="dxa"/>
          </w:tcPr>
          <w:p w:rsidR="00744860" w:rsidRPr="000E7C94" w:rsidRDefault="00744860" w:rsidP="00542EDC">
            <w:pPr>
              <w:spacing w:before="40" w:after="40"/>
              <w:rPr>
                <w:sz w:val="20"/>
                <w:szCs w:val="20"/>
              </w:rPr>
            </w:pPr>
            <w:r w:rsidRPr="000E7C94">
              <w:rPr>
                <w:sz w:val="20"/>
                <w:szCs w:val="20"/>
              </w:rPr>
              <w:t>Alta dirección</w:t>
            </w:r>
          </w:p>
        </w:tc>
        <w:tc>
          <w:tcPr>
            <w:tcW w:w="3119" w:type="dxa"/>
          </w:tcPr>
          <w:p w:rsidR="00744860" w:rsidRPr="000E7C94" w:rsidRDefault="00744860" w:rsidP="00542EDC">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0E7C94">
              <w:rPr>
                <w:sz w:val="20"/>
                <w:szCs w:val="20"/>
              </w:rPr>
              <w:t>Examina los riesgos periódicamente y toma decisiones relacionadas con la gestión de riesgos</w:t>
            </w:r>
          </w:p>
        </w:tc>
        <w:tc>
          <w:tcPr>
            <w:tcW w:w="4393" w:type="dxa"/>
          </w:tcPr>
          <w:p w:rsidR="00744860" w:rsidRPr="000E7C94" w:rsidRDefault="00744860" w:rsidP="003018A5">
            <w:pPr>
              <w:pStyle w:val="ListParagraph"/>
              <w:numPr>
                <w:ilvl w:val="0"/>
                <w:numId w:val="2"/>
              </w:numPr>
              <w:spacing w:before="40" w:after="40"/>
              <w:ind w:left="227" w:hanging="227"/>
              <w:jc w:val="left"/>
              <w:cnfStyle w:val="000000000000" w:firstRow="0" w:lastRow="0" w:firstColumn="0" w:lastColumn="0" w:oddVBand="0" w:evenVBand="0" w:oddHBand="0" w:evenHBand="0" w:firstRowFirstColumn="0" w:firstRowLastColumn="0" w:lastRowFirstColumn="0" w:lastRowLastColumn="0"/>
              <w:rPr>
                <w:sz w:val="20"/>
                <w:szCs w:val="20"/>
                <w:lang w:val="es-ES_tradnl"/>
              </w:rPr>
            </w:pPr>
            <w:r w:rsidRPr="000E7C94">
              <w:rPr>
                <w:sz w:val="20"/>
                <w:szCs w:val="20"/>
                <w:lang w:val="es-ES_tradnl"/>
              </w:rPr>
              <w:t>Examina periódicamente los riesgos como parte de los procesos institucionales de la institución</w:t>
            </w:r>
          </w:p>
          <w:p w:rsidR="00744860" w:rsidRPr="000E7C94" w:rsidRDefault="00744860" w:rsidP="003018A5">
            <w:pPr>
              <w:pStyle w:val="ListParagraph"/>
              <w:numPr>
                <w:ilvl w:val="0"/>
                <w:numId w:val="2"/>
              </w:numPr>
              <w:spacing w:before="40" w:after="40"/>
              <w:ind w:left="227" w:hanging="227"/>
              <w:jc w:val="left"/>
              <w:cnfStyle w:val="000000000000" w:firstRow="0" w:lastRow="0" w:firstColumn="0" w:lastColumn="0" w:oddVBand="0" w:evenVBand="0" w:oddHBand="0" w:evenHBand="0" w:firstRowFirstColumn="0" w:firstRowLastColumn="0" w:lastRowFirstColumn="0" w:lastRowLastColumn="0"/>
              <w:rPr>
                <w:sz w:val="20"/>
                <w:szCs w:val="20"/>
                <w:lang w:val="es-ES_tradnl"/>
              </w:rPr>
            </w:pPr>
            <w:r w:rsidRPr="000E7C94">
              <w:rPr>
                <w:sz w:val="20"/>
                <w:szCs w:val="20"/>
                <w:lang w:val="es-ES_tradnl"/>
              </w:rPr>
              <w:t>Toma decisiones sobre la aplicación y revisión de la estrategia de gestión de riesgos</w:t>
            </w:r>
          </w:p>
        </w:tc>
      </w:tr>
    </w:tbl>
    <w:p w:rsidR="00744860" w:rsidRPr="000E7C94" w:rsidRDefault="00744860" w:rsidP="00BA13D4">
      <w:pPr>
        <w:pStyle w:val="Heading1"/>
      </w:pPr>
      <w:r w:rsidRPr="000E7C94">
        <w:lastRenderedPageBreak/>
        <w:t>5</w:t>
      </w:r>
      <w:r w:rsidRPr="000E7C94">
        <w:tab/>
        <w:t>Comunicación</w:t>
      </w:r>
    </w:p>
    <w:p w:rsidR="00744860" w:rsidRPr="000E7C94" w:rsidRDefault="00744860" w:rsidP="00BA13D4">
      <w:r w:rsidRPr="000E7C94">
        <w:t>La comunicación con las partes interesadas externas (Estados Miembros) e internas tiene lugar en todas las fases del proceso de gestión de riesgos.</w:t>
      </w:r>
    </w:p>
    <w:p w:rsidR="00744860" w:rsidRPr="000E7C94" w:rsidRDefault="00744860" w:rsidP="00BA13D4">
      <w:r w:rsidRPr="000E7C94">
        <w:t>Los planes de comunicación y consulta se elaboran en una fase temprana. En ellos se abordan temas relacionados con el propio riesgo, sus causas, sus consecuencias (si se conocen) y las medidas que se toman para tratarlo. Se entablan comunicaciones y consultas externas e internas eficaces para velar por que las personas encargadas de que se aplique el proceso de gestión de riesgos y las partes interesadas comprendan en qué están basadas las decisiones que se adoptan y los motivos por los que es necesario tomar</w:t>
      </w:r>
      <w:r w:rsidR="00BA13D4" w:rsidRPr="000E7C94">
        <w:t xml:space="preserve"> determinadas medidas.</w:t>
      </w:r>
    </w:p>
    <w:p w:rsidR="00744860" w:rsidRPr="000E7C94" w:rsidRDefault="00744860" w:rsidP="002E3948">
      <w:pPr>
        <w:pStyle w:val="Heading1"/>
      </w:pPr>
      <w:r w:rsidRPr="000E7C94">
        <w:t>6</w:t>
      </w:r>
      <w:r w:rsidRPr="000E7C94">
        <w:tab/>
        <w:t>Revisión de la política</w:t>
      </w:r>
    </w:p>
    <w:p w:rsidR="002E3948" w:rsidRPr="000E7C94" w:rsidRDefault="00744860" w:rsidP="002E3948">
      <w:r w:rsidRPr="000E7C94">
        <w:t>La política se revisará y actualizará cada dos años después de su puesta en marcha, haciendo uso de las mejores prácticas y enseñanzas extraídas.</w:t>
      </w:r>
    </w:p>
    <w:p w:rsidR="00744860" w:rsidRPr="000E7C94" w:rsidRDefault="00744860" w:rsidP="002E3948">
      <w:r w:rsidRPr="000E7C94">
        <w:br w:type="page"/>
      </w:r>
    </w:p>
    <w:p w:rsidR="00744860" w:rsidRPr="000E7C94" w:rsidRDefault="00744860" w:rsidP="000909D5">
      <w:pPr>
        <w:pStyle w:val="Heading1"/>
      </w:pPr>
      <w:r w:rsidRPr="000E7C94">
        <w:lastRenderedPageBreak/>
        <w:t>ANEXO 1: Modelo de registro de riesgos</w:t>
      </w:r>
    </w:p>
    <w:p w:rsidR="000909D5" w:rsidRPr="000E7C94" w:rsidRDefault="000909D5" w:rsidP="000909D5"/>
    <w:tbl>
      <w:tblPr>
        <w:tblStyle w:val="TableGrid"/>
        <w:tblW w:w="9918" w:type="dxa"/>
        <w:jc w:val="center"/>
        <w:tblLayout w:type="fixed"/>
        <w:tblCellMar>
          <w:left w:w="0" w:type="dxa"/>
          <w:right w:w="0" w:type="dxa"/>
        </w:tblCellMar>
        <w:tblLook w:val="04A0" w:firstRow="1" w:lastRow="0" w:firstColumn="1" w:lastColumn="0" w:noHBand="0" w:noVBand="1"/>
      </w:tblPr>
      <w:tblGrid>
        <w:gridCol w:w="1051"/>
        <w:gridCol w:w="1050"/>
        <w:gridCol w:w="750"/>
        <w:gridCol w:w="972"/>
        <w:gridCol w:w="678"/>
        <w:gridCol w:w="901"/>
        <w:gridCol w:w="901"/>
        <w:gridCol w:w="749"/>
        <w:gridCol w:w="1050"/>
        <w:gridCol w:w="904"/>
        <w:gridCol w:w="912"/>
      </w:tblGrid>
      <w:tr w:rsidR="00744860" w:rsidRPr="000E7C94" w:rsidTr="00E02931">
        <w:trPr>
          <w:trHeight w:val="90"/>
          <w:jc w:val="center"/>
        </w:trPr>
        <w:tc>
          <w:tcPr>
            <w:tcW w:w="2101" w:type="dxa"/>
            <w:gridSpan w:val="2"/>
            <w:vMerge w:val="restart"/>
            <w:tcMar>
              <w:left w:w="28" w:type="dxa"/>
              <w:right w:w="28" w:type="dxa"/>
            </w:tcMar>
          </w:tcPr>
          <w:p w:rsidR="00744860" w:rsidRPr="000E7C94" w:rsidRDefault="00744860" w:rsidP="00542EDC">
            <w:pPr>
              <w:spacing w:before="40" w:after="40"/>
              <w:jc w:val="center"/>
              <w:rPr>
                <w:b/>
                <w:bCs/>
                <w:sz w:val="16"/>
                <w:szCs w:val="16"/>
              </w:rPr>
            </w:pPr>
            <w:r w:rsidRPr="000E7C94">
              <w:rPr>
                <w:b/>
                <w:bCs/>
                <w:sz w:val="16"/>
                <w:szCs w:val="16"/>
              </w:rPr>
              <w:t>Lista de riesgos</w:t>
            </w:r>
          </w:p>
        </w:tc>
        <w:tc>
          <w:tcPr>
            <w:tcW w:w="6001" w:type="dxa"/>
            <w:gridSpan w:val="7"/>
            <w:vMerge w:val="restart"/>
            <w:tcMar>
              <w:left w:w="28" w:type="dxa"/>
              <w:right w:w="28" w:type="dxa"/>
            </w:tcMar>
          </w:tcPr>
          <w:p w:rsidR="00744860" w:rsidRPr="000E7C94" w:rsidRDefault="00744860" w:rsidP="00542EDC">
            <w:pPr>
              <w:spacing w:before="40" w:after="40"/>
              <w:jc w:val="center"/>
              <w:rPr>
                <w:b/>
                <w:bCs/>
                <w:sz w:val="16"/>
                <w:szCs w:val="16"/>
              </w:rPr>
            </w:pPr>
            <w:r w:rsidRPr="000E7C94">
              <w:rPr>
                <w:b/>
                <w:bCs/>
                <w:sz w:val="16"/>
                <w:szCs w:val="16"/>
              </w:rPr>
              <w:t>(Indicar Sector o Secretaría General)</w:t>
            </w:r>
          </w:p>
          <w:p w:rsidR="00744860" w:rsidRPr="000E7C94" w:rsidRDefault="00744860" w:rsidP="00542EDC">
            <w:pPr>
              <w:spacing w:before="40" w:after="40"/>
              <w:jc w:val="center"/>
              <w:rPr>
                <w:b/>
                <w:bCs/>
                <w:sz w:val="16"/>
                <w:szCs w:val="16"/>
              </w:rPr>
            </w:pPr>
            <w:r w:rsidRPr="000E7C94">
              <w:rPr>
                <w:b/>
                <w:bCs/>
                <w:sz w:val="16"/>
                <w:szCs w:val="16"/>
              </w:rPr>
              <w:t>(según el Plan Operacional para 2017-2020)</w:t>
            </w:r>
          </w:p>
        </w:tc>
        <w:tc>
          <w:tcPr>
            <w:tcW w:w="1816" w:type="dxa"/>
            <w:gridSpan w:val="2"/>
            <w:tcMar>
              <w:left w:w="28" w:type="dxa"/>
              <w:right w:w="28" w:type="dxa"/>
            </w:tcMar>
          </w:tcPr>
          <w:p w:rsidR="00744860" w:rsidRPr="000E7C94" w:rsidRDefault="00744860" w:rsidP="00542EDC">
            <w:pPr>
              <w:spacing w:before="40" w:after="40"/>
              <w:jc w:val="center"/>
              <w:rPr>
                <w:b/>
                <w:bCs/>
                <w:sz w:val="16"/>
                <w:szCs w:val="16"/>
              </w:rPr>
            </w:pPr>
            <w:r w:rsidRPr="000E7C94">
              <w:rPr>
                <w:b/>
                <w:bCs/>
                <w:sz w:val="16"/>
                <w:szCs w:val="16"/>
              </w:rPr>
              <w:t>Resumen de la última revisión</w:t>
            </w:r>
          </w:p>
        </w:tc>
      </w:tr>
      <w:tr w:rsidR="00744860" w:rsidRPr="000E7C94" w:rsidTr="00E02931">
        <w:trPr>
          <w:trHeight w:val="88"/>
          <w:jc w:val="center"/>
        </w:trPr>
        <w:tc>
          <w:tcPr>
            <w:tcW w:w="2101" w:type="dxa"/>
            <w:gridSpan w:val="2"/>
            <w:vMerge/>
            <w:tcMar>
              <w:left w:w="28" w:type="dxa"/>
              <w:right w:w="28" w:type="dxa"/>
            </w:tcMar>
          </w:tcPr>
          <w:p w:rsidR="00744860" w:rsidRPr="000E7C94" w:rsidRDefault="00744860" w:rsidP="00542EDC">
            <w:pPr>
              <w:spacing w:before="40" w:after="40"/>
              <w:jc w:val="center"/>
              <w:rPr>
                <w:b/>
                <w:bCs/>
                <w:sz w:val="16"/>
                <w:szCs w:val="16"/>
              </w:rPr>
            </w:pPr>
          </w:p>
        </w:tc>
        <w:tc>
          <w:tcPr>
            <w:tcW w:w="6001" w:type="dxa"/>
            <w:gridSpan w:val="7"/>
            <w:vMerge/>
            <w:tcMar>
              <w:left w:w="28" w:type="dxa"/>
              <w:right w:w="28" w:type="dxa"/>
            </w:tcMar>
          </w:tcPr>
          <w:p w:rsidR="00744860" w:rsidRPr="000E7C94" w:rsidRDefault="00744860" w:rsidP="00542EDC">
            <w:pPr>
              <w:spacing w:before="40" w:after="40"/>
              <w:jc w:val="center"/>
              <w:rPr>
                <w:b/>
                <w:bCs/>
                <w:sz w:val="16"/>
                <w:szCs w:val="16"/>
              </w:rPr>
            </w:pPr>
          </w:p>
        </w:tc>
        <w:tc>
          <w:tcPr>
            <w:tcW w:w="904" w:type="dxa"/>
            <w:tcMar>
              <w:left w:w="28" w:type="dxa"/>
              <w:right w:w="28" w:type="dxa"/>
            </w:tcMar>
          </w:tcPr>
          <w:p w:rsidR="00744860" w:rsidRPr="000E7C94" w:rsidRDefault="00744860" w:rsidP="00542EDC">
            <w:pPr>
              <w:spacing w:before="40" w:after="40"/>
              <w:jc w:val="center"/>
              <w:rPr>
                <w:b/>
                <w:bCs/>
                <w:sz w:val="16"/>
                <w:szCs w:val="16"/>
              </w:rPr>
            </w:pPr>
            <w:r w:rsidRPr="000E7C94">
              <w:rPr>
                <w:b/>
                <w:bCs/>
                <w:sz w:val="16"/>
                <w:szCs w:val="16"/>
              </w:rPr>
              <w:t>Fecha</w:t>
            </w:r>
          </w:p>
        </w:tc>
        <w:tc>
          <w:tcPr>
            <w:tcW w:w="912" w:type="dxa"/>
            <w:tcMar>
              <w:left w:w="28" w:type="dxa"/>
              <w:right w:w="28" w:type="dxa"/>
            </w:tcMar>
          </w:tcPr>
          <w:p w:rsidR="00744860" w:rsidRPr="000E7C94" w:rsidRDefault="00744860" w:rsidP="00542EDC">
            <w:pPr>
              <w:spacing w:before="40" w:after="40"/>
              <w:jc w:val="center"/>
              <w:rPr>
                <w:b/>
                <w:bCs/>
                <w:i/>
                <w:iCs/>
                <w:sz w:val="16"/>
                <w:szCs w:val="16"/>
              </w:rPr>
            </w:pPr>
            <w:r w:rsidRPr="000E7C94">
              <w:rPr>
                <w:b/>
                <w:bCs/>
                <w:i/>
                <w:iCs/>
                <w:sz w:val="16"/>
                <w:szCs w:val="16"/>
              </w:rPr>
              <w:t>Fecha</w:t>
            </w:r>
          </w:p>
        </w:tc>
      </w:tr>
      <w:tr w:rsidR="00744860" w:rsidRPr="000E7C94" w:rsidTr="00E02931">
        <w:trPr>
          <w:trHeight w:val="88"/>
          <w:jc w:val="center"/>
        </w:trPr>
        <w:tc>
          <w:tcPr>
            <w:tcW w:w="2101" w:type="dxa"/>
            <w:gridSpan w:val="2"/>
            <w:vMerge/>
            <w:tcMar>
              <w:left w:w="28" w:type="dxa"/>
              <w:right w:w="28" w:type="dxa"/>
            </w:tcMar>
          </w:tcPr>
          <w:p w:rsidR="00744860" w:rsidRPr="000E7C94" w:rsidRDefault="00744860" w:rsidP="00542EDC">
            <w:pPr>
              <w:spacing w:before="40" w:after="40"/>
              <w:jc w:val="center"/>
              <w:rPr>
                <w:b/>
                <w:bCs/>
                <w:sz w:val="16"/>
                <w:szCs w:val="16"/>
              </w:rPr>
            </w:pPr>
          </w:p>
        </w:tc>
        <w:tc>
          <w:tcPr>
            <w:tcW w:w="6001" w:type="dxa"/>
            <w:gridSpan w:val="7"/>
            <w:vMerge/>
            <w:tcMar>
              <w:left w:w="28" w:type="dxa"/>
              <w:right w:w="28" w:type="dxa"/>
            </w:tcMar>
          </w:tcPr>
          <w:p w:rsidR="00744860" w:rsidRPr="000E7C94" w:rsidRDefault="00744860" w:rsidP="00542EDC">
            <w:pPr>
              <w:spacing w:before="40" w:after="40"/>
              <w:jc w:val="center"/>
              <w:rPr>
                <w:b/>
                <w:bCs/>
                <w:sz w:val="16"/>
                <w:szCs w:val="16"/>
              </w:rPr>
            </w:pPr>
          </w:p>
        </w:tc>
        <w:tc>
          <w:tcPr>
            <w:tcW w:w="904" w:type="dxa"/>
            <w:tcMar>
              <w:left w:w="28" w:type="dxa"/>
              <w:right w:w="28" w:type="dxa"/>
            </w:tcMar>
          </w:tcPr>
          <w:p w:rsidR="00744860" w:rsidRPr="000E7C94" w:rsidRDefault="00744860" w:rsidP="00542EDC">
            <w:pPr>
              <w:spacing w:before="40" w:after="40"/>
              <w:jc w:val="center"/>
              <w:rPr>
                <w:b/>
                <w:bCs/>
                <w:sz w:val="16"/>
                <w:szCs w:val="16"/>
              </w:rPr>
            </w:pPr>
            <w:r w:rsidRPr="000E7C94">
              <w:rPr>
                <w:b/>
                <w:bCs/>
                <w:sz w:val="16"/>
                <w:szCs w:val="16"/>
              </w:rPr>
              <w:t>Plazo de recepción</w:t>
            </w:r>
          </w:p>
        </w:tc>
        <w:tc>
          <w:tcPr>
            <w:tcW w:w="912" w:type="dxa"/>
            <w:tcMar>
              <w:left w:w="28" w:type="dxa"/>
              <w:right w:w="28" w:type="dxa"/>
            </w:tcMar>
          </w:tcPr>
          <w:p w:rsidR="00744860" w:rsidRPr="000E7C94" w:rsidRDefault="00744860" w:rsidP="00542EDC">
            <w:pPr>
              <w:spacing w:before="40" w:after="40"/>
              <w:jc w:val="center"/>
              <w:rPr>
                <w:b/>
                <w:bCs/>
                <w:sz w:val="16"/>
                <w:szCs w:val="16"/>
              </w:rPr>
            </w:pPr>
          </w:p>
        </w:tc>
      </w:tr>
      <w:tr w:rsidR="00744860" w:rsidRPr="000E7C94" w:rsidTr="00E02931">
        <w:trPr>
          <w:trHeight w:val="302"/>
          <w:jc w:val="center"/>
        </w:trPr>
        <w:tc>
          <w:tcPr>
            <w:tcW w:w="1051" w:type="dxa"/>
            <w:vMerge w:val="restart"/>
            <w:tcMar>
              <w:left w:w="28" w:type="dxa"/>
              <w:right w:w="28" w:type="dxa"/>
            </w:tcMar>
          </w:tcPr>
          <w:p w:rsidR="00744860" w:rsidRPr="000E7C94" w:rsidRDefault="00744860" w:rsidP="00542EDC">
            <w:pPr>
              <w:spacing w:before="40" w:after="40"/>
              <w:jc w:val="center"/>
              <w:rPr>
                <w:b/>
                <w:bCs/>
                <w:sz w:val="16"/>
                <w:szCs w:val="16"/>
              </w:rPr>
            </w:pPr>
            <w:r w:rsidRPr="000E7C94">
              <w:rPr>
                <w:b/>
                <w:bCs/>
                <w:sz w:val="16"/>
                <w:szCs w:val="16"/>
              </w:rPr>
              <w:t>Perspectiva</w:t>
            </w:r>
          </w:p>
        </w:tc>
        <w:tc>
          <w:tcPr>
            <w:tcW w:w="1050" w:type="dxa"/>
            <w:vMerge w:val="restart"/>
            <w:tcMar>
              <w:left w:w="28" w:type="dxa"/>
              <w:right w:w="28" w:type="dxa"/>
            </w:tcMar>
          </w:tcPr>
          <w:p w:rsidR="00744860" w:rsidRPr="000E7C94" w:rsidRDefault="00744860" w:rsidP="00542EDC">
            <w:pPr>
              <w:spacing w:before="40" w:after="40"/>
              <w:jc w:val="center"/>
              <w:rPr>
                <w:b/>
                <w:bCs/>
                <w:sz w:val="16"/>
                <w:szCs w:val="16"/>
              </w:rPr>
            </w:pPr>
            <w:r w:rsidRPr="000E7C94">
              <w:rPr>
                <w:b/>
                <w:bCs/>
                <w:sz w:val="16"/>
                <w:szCs w:val="16"/>
              </w:rPr>
              <w:t>Descripción del riesgo</w:t>
            </w:r>
          </w:p>
        </w:tc>
        <w:tc>
          <w:tcPr>
            <w:tcW w:w="750" w:type="dxa"/>
            <w:vMerge w:val="restart"/>
            <w:tcMar>
              <w:left w:w="28" w:type="dxa"/>
              <w:right w:w="28" w:type="dxa"/>
            </w:tcMar>
          </w:tcPr>
          <w:p w:rsidR="00744860" w:rsidRPr="000E7C94" w:rsidRDefault="00744860" w:rsidP="00542EDC">
            <w:pPr>
              <w:spacing w:before="40" w:after="40"/>
              <w:jc w:val="center"/>
              <w:rPr>
                <w:b/>
                <w:bCs/>
                <w:sz w:val="16"/>
                <w:szCs w:val="16"/>
              </w:rPr>
            </w:pPr>
            <w:r w:rsidRPr="000E7C94">
              <w:rPr>
                <w:b/>
                <w:bCs/>
                <w:sz w:val="16"/>
                <w:szCs w:val="16"/>
              </w:rPr>
              <w:t>Encargado del riesgo</w:t>
            </w:r>
          </w:p>
        </w:tc>
        <w:tc>
          <w:tcPr>
            <w:tcW w:w="972" w:type="dxa"/>
            <w:vMerge w:val="restart"/>
            <w:tcMar>
              <w:left w:w="28" w:type="dxa"/>
              <w:right w:w="28" w:type="dxa"/>
            </w:tcMar>
          </w:tcPr>
          <w:p w:rsidR="00744860" w:rsidRPr="000E7C94" w:rsidRDefault="00744860" w:rsidP="00542EDC">
            <w:pPr>
              <w:spacing w:before="40" w:after="40"/>
              <w:jc w:val="center"/>
              <w:rPr>
                <w:b/>
                <w:bCs/>
                <w:sz w:val="16"/>
                <w:szCs w:val="16"/>
              </w:rPr>
            </w:pPr>
            <w:r w:rsidRPr="000E7C94">
              <w:rPr>
                <w:b/>
                <w:bCs/>
                <w:sz w:val="16"/>
                <w:szCs w:val="16"/>
              </w:rPr>
              <w:t>Probabilidad</w:t>
            </w:r>
          </w:p>
        </w:tc>
        <w:tc>
          <w:tcPr>
            <w:tcW w:w="678" w:type="dxa"/>
            <w:vMerge w:val="restart"/>
            <w:tcMar>
              <w:left w:w="28" w:type="dxa"/>
              <w:right w:w="28" w:type="dxa"/>
            </w:tcMar>
          </w:tcPr>
          <w:p w:rsidR="00744860" w:rsidRPr="000E7C94" w:rsidRDefault="00744860" w:rsidP="00542EDC">
            <w:pPr>
              <w:spacing w:before="40" w:after="40"/>
              <w:jc w:val="center"/>
              <w:rPr>
                <w:b/>
                <w:bCs/>
                <w:sz w:val="16"/>
                <w:szCs w:val="16"/>
              </w:rPr>
            </w:pPr>
            <w:r w:rsidRPr="000E7C94">
              <w:rPr>
                <w:b/>
                <w:bCs/>
                <w:sz w:val="16"/>
                <w:szCs w:val="16"/>
              </w:rPr>
              <w:t>Nivel de impacto</w:t>
            </w:r>
          </w:p>
        </w:tc>
        <w:tc>
          <w:tcPr>
            <w:tcW w:w="2551" w:type="dxa"/>
            <w:gridSpan w:val="3"/>
            <w:tcMar>
              <w:left w:w="28" w:type="dxa"/>
              <w:right w:w="28" w:type="dxa"/>
            </w:tcMar>
          </w:tcPr>
          <w:p w:rsidR="00744860" w:rsidRPr="000E7C94" w:rsidRDefault="00744860" w:rsidP="00542EDC">
            <w:pPr>
              <w:spacing w:before="40" w:after="40"/>
              <w:jc w:val="center"/>
              <w:rPr>
                <w:b/>
                <w:bCs/>
                <w:sz w:val="16"/>
                <w:szCs w:val="16"/>
              </w:rPr>
            </w:pPr>
            <w:r w:rsidRPr="000E7C94">
              <w:rPr>
                <w:b/>
                <w:bCs/>
                <w:sz w:val="16"/>
                <w:szCs w:val="16"/>
              </w:rPr>
              <w:t xml:space="preserve">Medidas de mitigación </w:t>
            </w:r>
          </w:p>
        </w:tc>
        <w:tc>
          <w:tcPr>
            <w:tcW w:w="1050" w:type="dxa"/>
            <w:vMerge w:val="restart"/>
            <w:tcMar>
              <w:left w:w="28" w:type="dxa"/>
              <w:right w:w="28" w:type="dxa"/>
            </w:tcMar>
          </w:tcPr>
          <w:p w:rsidR="00744860" w:rsidRPr="000E7C94" w:rsidRDefault="00744860" w:rsidP="00542EDC">
            <w:pPr>
              <w:spacing w:before="40" w:after="40"/>
              <w:jc w:val="center"/>
              <w:rPr>
                <w:b/>
                <w:bCs/>
                <w:sz w:val="16"/>
                <w:szCs w:val="16"/>
              </w:rPr>
            </w:pPr>
            <w:r w:rsidRPr="000E7C94">
              <w:rPr>
                <w:b/>
                <w:bCs/>
                <w:sz w:val="16"/>
                <w:szCs w:val="16"/>
              </w:rPr>
              <w:t xml:space="preserve">Riesgo residual </w:t>
            </w:r>
          </w:p>
        </w:tc>
        <w:tc>
          <w:tcPr>
            <w:tcW w:w="1816" w:type="dxa"/>
            <w:gridSpan w:val="2"/>
            <w:vMerge w:val="restart"/>
            <w:tcMar>
              <w:left w:w="28" w:type="dxa"/>
              <w:right w:w="28" w:type="dxa"/>
            </w:tcMar>
          </w:tcPr>
          <w:p w:rsidR="00744860" w:rsidRPr="000E7C94" w:rsidRDefault="00744860" w:rsidP="00542EDC">
            <w:pPr>
              <w:spacing w:before="40" w:after="40"/>
              <w:jc w:val="center"/>
              <w:rPr>
                <w:b/>
                <w:bCs/>
                <w:sz w:val="16"/>
                <w:szCs w:val="16"/>
              </w:rPr>
            </w:pPr>
            <w:r w:rsidRPr="000E7C94">
              <w:rPr>
                <w:b/>
                <w:bCs/>
                <w:sz w:val="16"/>
                <w:szCs w:val="16"/>
              </w:rPr>
              <w:t>Decisiones adoptadas/observaciones</w:t>
            </w:r>
          </w:p>
        </w:tc>
      </w:tr>
      <w:tr w:rsidR="00744860" w:rsidRPr="000E7C94" w:rsidTr="00E02931">
        <w:trPr>
          <w:trHeight w:val="301"/>
          <w:jc w:val="center"/>
        </w:trPr>
        <w:tc>
          <w:tcPr>
            <w:tcW w:w="1051" w:type="dxa"/>
            <w:vMerge/>
            <w:tcMar>
              <w:left w:w="28" w:type="dxa"/>
              <w:right w:w="28" w:type="dxa"/>
            </w:tcMar>
          </w:tcPr>
          <w:p w:rsidR="00744860" w:rsidRPr="000E7C94" w:rsidRDefault="00744860" w:rsidP="00542EDC">
            <w:pPr>
              <w:spacing w:before="40" w:after="40"/>
              <w:jc w:val="center"/>
              <w:rPr>
                <w:sz w:val="16"/>
                <w:szCs w:val="16"/>
              </w:rPr>
            </w:pPr>
          </w:p>
        </w:tc>
        <w:tc>
          <w:tcPr>
            <w:tcW w:w="1050" w:type="dxa"/>
            <w:vMerge/>
            <w:tcMar>
              <w:left w:w="28" w:type="dxa"/>
              <w:right w:w="28" w:type="dxa"/>
            </w:tcMar>
          </w:tcPr>
          <w:p w:rsidR="00744860" w:rsidRPr="000E7C94" w:rsidRDefault="00744860" w:rsidP="00542EDC">
            <w:pPr>
              <w:spacing w:before="40" w:after="40"/>
              <w:jc w:val="center"/>
              <w:rPr>
                <w:sz w:val="16"/>
                <w:szCs w:val="16"/>
              </w:rPr>
            </w:pPr>
          </w:p>
        </w:tc>
        <w:tc>
          <w:tcPr>
            <w:tcW w:w="750" w:type="dxa"/>
            <w:vMerge/>
            <w:tcMar>
              <w:left w:w="28" w:type="dxa"/>
              <w:right w:w="28" w:type="dxa"/>
            </w:tcMar>
          </w:tcPr>
          <w:p w:rsidR="00744860" w:rsidRPr="000E7C94" w:rsidRDefault="00744860" w:rsidP="00542EDC">
            <w:pPr>
              <w:spacing w:before="40" w:after="40"/>
              <w:jc w:val="center"/>
              <w:rPr>
                <w:sz w:val="16"/>
                <w:szCs w:val="16"/>
              </w:rPr>
            </w:pPr>
          </w:p>
        </w:tc>
        <w:tc>
          <w:tcPr>
            <w:tcW w:w="972" w:type="dxa"/>
            <w:vMerge/>
            <w:tcMar>
              <w:left w:w="28" w:type="dxa"/>
              <w:right w:w="28" w:type="dxa"/>
            </w:tcMar>
          </w:tcPr>
          <w:p w:rsidR="00744860" w:rsidRPr="000E7C94" w:rsidRDefault="00744860" w:rsidP="00542EDC">
            <w:pPr>
              <w:spacing w:before="40" w:after="40"/>
              <w:jc w:val="center"/>
              <w:rPr>
                <w:sz w:val="16"/>
                <w:szCs w:val="16"/>
              </w:rPr>
            </w:pPr>
          </w:p>
        </w:tc>
        <w:tc>
          <w:tcPr>
            <w:tcW w:w="678" w:type="dxa"/>
            <w:vMerge/>
            <w:tcMar>
              <w:left w:w="28" w:type="dxa"/>
              <w:right w:w="28" w:type="dxa"/>
            </w:tcMar>
          </w:tcPr>
          <w:p w:rsidR="00744860" w:rsidRPr="000E7C94" w:rsidRDefault="00744860" w:rsidP="00542EDC">
            <w:pPr>
              <w:spacing w:before="40" w:after="40"/>
              <w:jc w:val="center"/>
              <w:rPr>
                <w:sz w:val="16"/>
                <w:szCs w:val="16"/>
              </w:rPr>
            </w:pPr>
          </w:p>
        </w:tc>
        <w:tc>
          <w:tcPr>
            <w:tcW w:w="901" w:type="dxa"/>
            <w:tcMar>
              <w:left w:w="28" w:type="dxa"/>
              <w:right w:w="28" w:type="dxa"/>
            </w:tcMar>
          </w:tcPr>
          <w:p w:rsidR="00744860" w:rsidRPr="000E7C94" w:rsidRDefault="00744860" w:rsidP="00542EDC">
            <w:pPr>
              <w:spacing w:before="40" w:after="40"/>
              <w:jc w:val="center"/>
              <w:rPr>
                <w:b/>
                <w:bCs/>
                <w:sz w:val="16"/>
                <w:szCs w:val="16"/>
              </w:rPr>
            </w:pPr>
            <w:r w:rsidRPr="000E7C94">
              <w:rPr>
                <w:b/>
                <w:bCs/>
                <w:sz w:val="16"/>
                <w:szCs w:val="16"/>
              </w:rPr>
              <w:t>Medida</w:t>
            </w:r>
          </w:p>
        </w:tc>
        <w:tc>
          <w:tcPr>
            <w:tcW w:w="901" w:type="dxa"/>
            <w:tcMar>
              <w:left w:w="28" w:type="dxa"/>
              <w:right w:w="28" w:type="dxa"/>
            </w:tcMar>
          </w:tcPr>
          <w:p w:rsidR="00744860" w:rsidRPr="000E7C94" w:rsidRDefault="00744860" w:rsidP="00542EDC">
            <w:pPr>
              <w:spacing w:before="40" w:after="40"/>
              <w:jc w:val="center"/>
              <w:rPr>
                <w:b/>
                <w:bCs/>
                <w:sz w:val="16"/>
                <w:szCs w:val="16"/>
              </w:rPr>
            </w:pPr>
            <w:r w:rsidRPr="000E7C94">
              <w:rPr>
                <w:b/>
                <w:bCs/>
                <w:sz w:val="16"/>
                <w:szCs w:val="16"/>
              </w:rPr>
              <w:t>Encargado</w:t>
            </w:r>
          </w:p>
        </w:tc>
        <w:tc>
          <w:tcPr>
            <w:tcW w:w="749" w:type="dxa"/>
            <w:tcMar>
              <w:left w:w="28" w:type="dxa"/>
              <w:right w:w="28" w:type="dxa"/>
            </w:tcMar>
          </w:tcPr>
          <w:p w:rsidR="00744860" w:rsidRPr="000E7C94" w:rsidRDefault="00744860" w:rsidP="00542EDC">
            <w:pPr>
              <w:spacing w:before="40" w:after="40"/>
              <w:jc w:val="center"/>
              <w:rPr>
                <w:b/>
                <w:bCs/>
                <w:sz w:val="16"/>
                <w:szCs w:val="16"/>
              </w:rPr>
            </w:pPr>
            <w:r w:rsidRPr="000E7C94">
              <w:rPr>
                <w:b/>
                <w:bCs/>
                <w:sz w:val="16"/>
                <w:szCs w:val="16"/>
              </w:rPr>
              <w:t>Situación</w:t>
            </w:r>
          </w:p>
        </w:tc>
        <w:tc>
          <w:tcPr>
            <w:tcW w:w="1050" w:type="dxa"/>
            <w:vMerge/>
            <w:tcMar>
              <w:left w:w="28" w:type="dxa"/>
              <w:right w:w="28" w:type="dxa"/>
            </w:tcMar>
          </w:tcPr>
          <w:p w:rsidR="00744860" w:rsidRPr="000E7C94" w:rsidRDefault="00744860" w:rsidP="00542EDC">
            <w:pPr>
              <w:spacing w:before="40" w:after="40"/>
              <w:jc w:val="center"/>
              <w:rPr>
                <w:sz w:val="16"/>
                <w:szCs w:val="16"/>
              </w:rPr>
            </w:pPr>
          </w:p>
        </w:tc>
        <w:tc>
          <w:tcPr>
            <w:tcW w:w="1816" w:type="dxa"/>
            <w:gridSpan w:val="2"/>
            <w:vMerge/>
            <w:tcMar>
              <w:left w:w="28" w:type="dxa"/>
              <w:right w:w="28" w:type="dxa"/>
            </w:tcMar>
          </w:tcPr>
          <w:p w:rsidR="00744860" w:rsidRPr="000E7C94" w:rsidRDefault="00744860" w:rsidP="00542EDC">
            <w:pPr>
              <w:spacing w:before="40" w:after="40"/>
              <w:jc w:val="center"/>
              <w:rPr>
                <w:sz w:val="16"/>
                <w:szCs w:val="16"/>
              </w:rPr>
            </w:pPr>
          </w:p>
        </w:tc>
      </w:tr>
      <w:tr w:rsidR="00744860" w:rsidRPr="000E7C94" w:rsidTr="00E02931">
        <w:trPr>
          <w:trHeight w:val="274"/>
          <w:jc w:val="center"/>
        </w:trPr>
        <w:tc>
          <w:tcPr>
            <w:tcW w:w="1051" w:type="dxa"/>
            <w:tcMar>
              <w:left w:w="28" w:type="dxa"/>
              <w:right w:w="28" w:type="dxa"/>
            </w:tcMar>
          </w:tcPr>
          <w:p w:rsidR="00744860" w:rsidRPr="000E7C94" w:rsidRDefault="00744860" w:rsidP="00542EDC">
            <w:pPr>
              <w:spacing w:before="40" w:after="40"/>
              <w:jc w:val="center"/>
              <w:rPr>
                <w:i/>
                <w:iCs/>
                <w:sz w:val="16"/>
                <w:szCs w:val="16"/>
              </w:rPr>
            </w:pPr>
            <w:r w:rsidRPr="000E7C94">
              <w:rPr>
                <w:i/>
                <w:iCs/>
                <w:sz w:val="16"/>
                <w:szCs w:val="16"/>
              </w:rPr>
              <w:t>Ejemplo:</w:t>
            </w:r>
          </w:p>
        </w:tc>
        <w:tc>
          <w:tcPr>
            <w:tcW w:w="1050" w:type="dxa"/>
            <w:tcMar>
              <w:left w:w="28" w:type="dxa"/>
              <w:right w:w="28" w:type="dxa"/>
            </w:tcMar>
          </w:tcPr>
          <w:p w:rsidR="00744860" w:rsidRPr="000E7C94" w:rsidRDefault="00744860" w:rsidP="00542EDC">
            <w:pPr>
              <w:spacing w:before="40" w:after="40"/>
              <w:jc w:val="center"/>
              <w:rPr>
                <w:sz w:val="16"/>
                <w:szCs w:val="16"/>
              </w:rPr>
            </w:pPr>
          </w:p>
        </w:tc>
        <w:tc>
          <w:tcPr>
            <w:tcW w:w="750" w:type="dxa"/>
            <w:tcMar>
              <w:left w:w="28" w:type="dxa"/>
              <w:right w:w="28" w:type="dxa"/>
            </w:tcMar>
          </w:tcPr>
          <w:p w:rsidR="00744860" w:rsidRPr="000E7C94" w:rsidRDefault="00744860" w:rsidP="00542EDC">
            <w:pPr>
              <w:spacing w:before="40" w:after="40"/>
              <w:jc w:val="center"/>
              <w:rPr>
                <w:sz w:val="16"/>
                <w:szCs w:val="16"/>
              </w:rPr>
            </w:pPr>
          </w:p>
        </w:tc>
        <w:tc>
          <w:tcPr>
            <w:tcW w:w="972" w:type="dxa"/>
            <w:tcMar>
              <w:left w:w="28" w:type="dxa"/>
              <w:right w:w="28" w:type="dxa"/>
            </w:tcMar>
          </w:tcPr>
          <w:p w:rsidR="00744860" w:rsidRPr="000E7C94" w:rsidRDefault="00744860" w:rsidP="00542EDC">
            <w:pPr>
              <w:spacing w:before="40" w:after="40"/>
              <w:jc w:val="center"/>
              <w:rPr>
                <w:sz w:val="16"/>
                <w:szCs w:val="16"/>
              </w:rPr>
            </w:pPr>
          </w:p>
        </w:tc>
        <w:tc>
          <w:tcPr>
            <w:tcW w:w="678" w:type="dxa"/>
            <w:tcMar>
              <w:left w:w="28" w:type="dxa"/>
              <w:right w:w="28" w:type="dxa"/>
            </w:tcMar>
          </w:tcPr>
          <w:p w:rsidR="00744860" w:rsidRPr="000E7C94" w:rsidRDefault="00744860" w:rsidP="00542EDC">
            <w:pPr>
              <w:spacing w:before="40" w:after="40"/>
              <w:jc w:val="center"/>
              <w:rPr>
                <w:sz w:val="16"/>
                <w:szCs w:val="16"/>
              </w:rPr>
            </w:pPr>
          </w:p>
        </w:tc>
        <w:tc>
          <w:tcPr>
            <w:tcW w:w="901" w:type="dxa"/>
            <w:tcMar>
              <w:left w:w="28" w:type="dxa"/>
              <w:right w:w="28" w:type="dxa"/>
            </w:tcMar>
          </w:tcPr>
          <w:p w:rsidR="00744860" w:rsidRPr="000E7C94" w:rsidRDefault="00744860" w:rsidP="00542EDC">
            <w:pPr>
              <w:spacing w:before="40" w:after="40"/>
              <w:jc w:val="center"/>
              <w:rPr>
                <w:sz w:val="16"/>
                <w:szCs w:val="16"/>
              </w:rPr>
            </w:pPr>
          </w:p>
        </w:tc>
        <w:tc>
          <w:tcPr>
            <w:tcW w:w="901" w:type="dxa"/>
            <w:tcMar>
              <w:left w:w="28" w:type="dxa"/>
              <w:right w:w="28" w:type="dxa"/>
            </w:tcMar>
          </w:tcPr>
          <w:p w:rsidR="00744860" w:rsidRPr="000E7C94" w:rsidRDefault="00744860" w:rsidP="00542EDC">
            <w:pPr>
              <w:spacing w:before="40" w:after="40"/>
              <w:jc w:val="center"/>
              <w:rPr>
                <w:sz w:val="16"/>
                <w:szCs w:val="16"/>
              </w:rPr>
            </w:pPr>
          </w:p>
        </w:tc>
        <w:tc>
          <w:tcPr>
            <w:tcW w:w="749" w:type="dxa"/>
            <w:tcMar>
              <w:left w:w="28" w:type="dxa"/>
              <w:right w:w="28" w:type="dxa"/>
            </w:tcMar>
          </w:tcPr>
          <w:p w:rsidR="00744860" w:rsidRPr="000E7C94" w:rsidRDefault="00744860" w:rsidP="00542EDC">
            <w:pPr>
              <w:spacing w:before="40" w:after="40"/>
              <w:jc w:val="center"/>
              <w:rPr>
                <w:sz w:val="16"/>
                <w:szCs w:val="16"/>
              </w:rPr>
            </w:pPr>
          </w:p>
        </w:tc>
        <w:tc>
          <w:tcPr>
            <w:tcW w:w="1050" w:type="dxa"/>
            <w:tcMar>
              <w:left w:w="28" w:type="dxa"/>
              <w:right w:w="28" w:type="dxa"/>
            </w:tcMar>
          </w:tcPr>
          <w:p w:rsidR="00744860" w:rsidRPr="000E7C94" w:rsidRDefault="00744860" w:rsidP="00542EDC">
            <w:pPr>
              <w:spacing w:before="40" w:after="40"/>
              <w:jc w:val="center"/>
              <w:rPr>
                <w:sz w:val="16"/>
                <w:szCs w:val="16"/>
              </w:rPr>
            </w:pPr>
          </w:p>
        </w:tc>
        <w:tc>
          <w:tcPr>
            <w:tcW w:w="1816" w:type="dxa"/>
            <w:gridSpan w:val="2"/>
            <w:tcMar>
              <w:left w:w="28" w:type="dxa"/>
              <w:right w:w="28" w:type="dxa"/>
            </w:tcMar>
          </w:tcPr>
          <w:p w:rsidR="00744860" w:rsidRPr="000E7C94" w:rsidRDefault="00744860" w:rsidP="00542EDC">
            <w:pPr>
              <w:spacing w:before="40" w:after="40"/>
              <w:jc w:val="center"/>
              <w:rPr>
                <w:sz w:val="16"/>
                <w:szCs w:val="16"/>
              </w:rPr>
            </w:pPr>
          </w:p>
        </w:tc>
      </w:tr>
      <w:tr w:rsidR="00744860" w:rsidRPr="000E7C94" w:rsidTr="00E02931">
        <w:trPr>
          <w:trHeight w:val="274"/>
          <w:jc w:val="center"/>
        </w:trPr>
        <w:tc>
          <w:tcPr>
            <w:tcW w:w="1051" w:type="dxa"/>
            <w:tcMar>
              <w:left w:w="28" w:type="dxa"/>
              <w:right w:w="28" w:type="dxa"/>
            </w:tcMar>
          </w:tcPr>
          <w:p w:rsidR="00744860" w:rsidRPr="000E7C94" w:rsidRDefault="00744860" w:rsidP="00542EDC">
            <w:pPr>
              <w:spacing w:before="40" w:after="40"/>
              <w:jc w:val="center"/>
              <w:rPr>
                <w:sz w:val="16"/>
                <w:szCs w:val="16"/>
              </w:rPr>
            </w:pPr>
            <w:r w:rsidRPr="000E7C94">
              <w:rPr>
                <w:sz w:val="16"/>
                <w:szCs w:val="16"/>
              </w:rPr>
              <w:t>Riesgo financiero</w:t>
            </w:r>
          </w:p>
        </w:tc>
        <w:tc>
          <w:tcPr>
            <w:tcW w:w="1050" w:type="dxa"/>
            <w:tcMar>
              <w:left w:w="28" w:type="dxa"/>
              <w:right w:w="28" w:type="dxa"/>
            </w:tcMar>
          </w:tcPr>
          <w:p w:rsidR="00744860" w:rsidRPr="000E7C94" w:rsidRDefault="00744860" w:rsidP="00542EDC">
            <w:pPr>
              <w:spacing w:before="40" w:after="40"/>
              <w:rPr>
                <w:sz w:val="16"/>
                <w:szCs w:val="16"/>
              </w:rPr>
            </w:pPr>
            <w:r w:rsidRPr="000E7C94">
              <w:rPr>
                <w:sz w:val="16"/>
                <w:szCs w:val="16"/>
              </w:rPr>
              <w:t xml:space="preserve">Incapacidad de los </w:t>
            </w:r>
            <w:r w:rsidR="003437A4" w:rsidRPr="000E7C94">
              <w:rPr>
                <w:sz w:val="16"/>
                <w:szCs w:val="16"/>
              </w:rPr>
              <w:t xml:space="preserve">miembros </w:t>
            </w:r>
            <w:r w:rsidRPr="000E7C94">
              <w:rPr>
                <w:sz w:val="16"/>
                <w:szCs w:val="16"/>
              </w:rPr>
              <w:t>para pagar sus contribuciones</w:t>
            </w:r>
          </w:p>
        </w:tc>
        <w:tc>
          <w:tcPr>
            <w:tcW w:w="750" w:type="dxa"/>
            <w:tcMar>
              <w:left w:w="28" w:type="dxa"/>
              <w:right w:w="28" w:type="dxa"/>
            </w:tcMar>
          </w:tcPr>
          <w:p w:rsidR="00744860" w:rsidRPr="000E7C94" w:rsidRDefault="00744860" w:rsidP="00542EDC">
            <w:pPr>
              <w:spacing w:before="40" w:after="40"/>
              <w:jc w:val="center"/>
              <w:rPr>
                <w:sz w:val="16"/>
                <w:szCs w:val="16"/>
              </w:rPr>
            </w:pPr>
            <w:r w:rsidRPr="000E7C94">
              <w:rPr>
                <w:sz w:val="16"/>
                <w:szCs w:val="16"/>
              </w:rPr>
              <w:t>Jefe de FRMD</w:t>
            </w:r>
          </w:p>
        </w:tc>
        <w:tc>
          <w:tcPr>
            <w:tcW w:w="972" w:type="dxa"/>
            <w:tcMar>
              <w:left w:w="28" w:type="dxa"/>
              <w:right w:w="28" w:type="dxa"/>
            </w:tcMar>
          </w:tcPr>
          <w:p w:rsidR="00744860" w:rsidRPr="000E7C94" w:rsidRDefault="00744860" w:rsidP="00542EDC">
            <w:pPr>
              <w:spacing w:before="40" w:after="40"/>
              <w:jc w:val="center"/>
              <w:rPr>
                <w:sz w:val="16"/>
                <w:szCs w:val="16"/>
              </w:rPr>
            </w:pPr>
            <w:r w:rsidRPr="000E7C94">
              <w:rPr>
                <w:sz w:val="16"/>
                <w:szCs w:val="16"/>
              </w:rPr>
              <w:t>Media</w:t>
            </w:r>
          </w:p>
        </w:tc>
        <w:tc>
          <w:tcPr>
            <w:tcW w:w="678" w:type="dxa"/>
            <w:tcMar>
              <w:left w:w="28" w:type="dxa"/>
              <w:right w:w="28" w:type="dxa"/>
            </w:tcMar>
          </w:tcPr>
          <w:p w:rsidR="00744860" w:rsidRPr="000E7C94" w:rsidRDefault="00744860" w:rsidP="00542EDC">
            <w:pPr>
              <w:spacing w:before="40" w:after="40"/>
              <w:jc w:val="center"/>
              <w:rPr>
                <w:sz w:val="16"/>
                <w:szCs w:val="16"/>
              </w:rPr>
            </w:pPr>
            <w:r w:rsidRPr="000E7C94">
              <w:rPr>
                <w:sz w:val="16"/>
                <w:szCs w:val="16"/>
              </w:rPr>
              <w:t>Alto</w:t>
            </w:r>
          </w:p>
        </w:tc>
        <w:tc>
          <w:tcPr>
            <w:tcW w:w="901" w:type="dxa"/>
            <w:tcMar>
              <w:left w:w="28" w:type="dxa"/>
              <w:right w:w="28" w:type="dxa"/>
            </w:tcMar>
          </w:tcPr>
          <w:p w:rsidR="00744860" w:rsidRPr="000E7C94" w:rsidRDefault="00744860" w:rsidP="00542EDC">
            <w:pPr>
              <w:spacing w:before="40" w:after="40"/>
              <w:rPr>
                <w:sz w:val="16"/>
                <w:szCs w:val="16"/>
              </w:rPr>
            </w:pPr>
            <w:r w:rsidRPr="000E7C94">
              <w:rPr>
                <w:sz w:val="16"/>
                <w:szCs w:val="16"/>
              </w:rPr>
              <w:t xml:space="preserve">Compromiso con los </w:t>
            </w:r>
            <w:r w:rsidR="003437A4" w:rsidRPr="000E7C94">
              <w:rPr>
                <w:sz w:val="16"/>
                <w:szCs w:val="16"/>
              </w:rPr>
              <w:t xml:space="preserve">miembros </w:t>
            </w:r>
            <w:r w:rsidRPr="000E7C94">
              <w:rPr>
                <w:sz w:val="16"/>
                <w:szCs w:val="16"/>
              </w:rPr>
              <w:t>(incl. el sistema CRM)</w:t>
            </w:r>
          </w:p>
        </w:tc>
        <w:tc>
          <w:tcPr>
            <w:tcW w:w="901" w:type="dxa"/>
            <w:tcMar>
              <w:left w:w="28" w:type="dxa"/>
              <w:right w:w="28" w:type="dxa"/>
            </w:tcMar>
          </w:tcPr>
          <w:p w:rsidR="00744860" w:rsidRPr="000E7C94" w:rsidRDefault="00744860" w:rsidP="00542EDC">
            <w:pPr>
              <w:spacing w:before="40" w:after="40"/>
              <w:jc w:val="center"/>
              <w:rPr>
                <w:sz w:val="16"/>
                <w:szCs w:val="16"/>
              </w:rPr>
            </w:pPr>
            <w:r w:rsidRPr="000E7C94">
              <w:rPr>
                <w:sz w:val="16"/>
                <w:szCs w:val="16"/>
              </w:rPr>
              <w:t>FRMD y SPM (PRM)</w:t>
            </w:r>
          </w:p>
        </w:tc>
        <w:tc>
          <w:tcPr>
            <w:tcW w:w="749" w:type="dxa"/>
            <w:tcMar>
              <w:left w:w="28" w:type="dxa"/>
              <w:right w:w="28" w:type="dxa"/>
            </w:tcMar>
          </w:tcPr>
          <w:p w:rsidR="00744860" w:rsidRPr="000E7C94" w:rsidRDefault="00744860" w:rsidP="00542EDC">
            <w:pPr>
              <w:spacing w:before="40" w:after="40"/>
              <w:jc w:val="center"/>
              <w:rPr>
                <w:sz w:val="16"/>
                <w:szCs w:val="16"/>
              </w:rPr>
            </w:pPr>
            <w:r w:rsidRPr="000E7C94">
              <w:rPr>
                <w:sz w:val="16"/>
                <w:szCs w:val="16"/>
              </w:rPr>
              <w:t>En curso</w:t>
            </w:r>
          </w:p>
        </w:tc>
        <w:tc>
          <w:tcPr>
            <w:tcW w:w="1050" w:type="dxa"/>
            <w:tcMar>
              <w:left w:w="28" w:type="dxa"/>
              <w:right w:w="28" w:type="dxa"/>
            </w:tcMar>
          </w:tcPr>
          <w:p w:rsidR="00744860" w:rsidRPr="000E7C94" w:rsidRDefault="00744860" w:rsidP="00542EDC">
            <w:pPr>
              <w:spacing w:before="40" w:after="40"/>
              <w:rPr>
                <w:sz w:val="16"/>
                <w:szCs w:val="16"/>
              </w:rPr>
            </w:pPr>
            <w:r w:rsidRPr="000E7C94">
              <w:rPr>
                <w:sz w:val="16"/>
                <w:szCs w:val="16"/>
              </w:rPr>
              <w:t>Se mantiene el riesgo después de los controles; se requiere una gestión activa</w:t>
            </w:r>
          </w:p>
        </w:tc>
        <w:tc>
          <w:tcPr>
            <w:tcW w:w="1816" w:type="dxa"/>
            <w:gridSpan w:val="2"/>
            <w:tcMar>
              <w:left w:w="28" w:type="dxa"/>
              <w:right w:w="28" w:type="dxa"/>
            </w:tcMar>
          </w:tcPr>
          <w:p w:rsidR="00744860" w:rsidRPr="000E7C94" w:rsidRDefault="00744860" w:rsidP="00542EDC">
            <w:pPr>
              <w:spacing w:before="40" w:after="40"/>
              <w:rPr>
                <w:sz w:val="16"/>
                <w:szCs w:val="16"/>
              </w:rPr>
            </w:pPr>
            <w:r w:rsidRPr="000E7C94">
              <w:rPr>
                <w:sz w:val="16"/>
                <w:szCs w:val="16"/>
              </w:rPr>
              <w:t xml:space="preserve">El sistema CRM debe contribuir a obtener más información sobre el compromiso de los </w:t>
            </w:r>
            <w:r w:rsidR="003437A4" w:rsidRPr="000E7C94">
              <w:rPr>
                <w:sz w:val="16"/>
                <w:szCs w:val="16"/>
              </w:rPr>
              <w:t xml:space="preserve">miembros </w:t>
            </w:r>
            <w:r w:rsidRPr="000E7C94">
              <w:rPr>
                <w:sz w:val="16"/>
                <w:szCs w:val="16"/>
              </w:rPr>
              <w:t>y gestionar mejor la relación</w:t>
            </w:r>
            <w:bookmarkStart w:id="9" w:name="_GoBack"/>
            <w:bookmarkEnd w:id="9"/>
          </w:p>
        </w:tc>
      </w:tr>
    </w:tbl>
    <w:p w:rsidR="00744860" w:rsidRPr="000E7C94" w:rsidRDefault="00744860" w:rsidP="006E5682">
      <w:pPr>
        <w:pStyle w:val="Heading1"/>
        <w:rPr>
          <w:rFonts w:asciiTheme="minorHAnsi" w:hAnsiTheme="minorHAnsi"/>
          <w:sz w:val="26"/>
          <w:szCs w:val="26"/>
        </w:rPr>
      </w:pPr>
      <w:r w:rsidRPr="000E7C94">
        <w:t>ANEXO 2</w:t>
      </w:r>
      <w:r w:rsidR="00447BF0">
        <w:t>:</w:t>
      </w:r>
      <w:r w:rsidRPr="000E7C94">
        <w:t xml:space="preserve"> Glosario</w:t>
      </w:r>
      <w:r w:rsidRPr="000E7C94">
        <w:rPr>
          <w:rStyle w:val="FootnoteReference"/>
          <w:rFonts w:asciiTheme="minorHAnsi" w:hAnsiTheme="minorHAnsi"/>
          <w:szCs w:val="26"/>
        </w:rPr>
        <w:footnoteReference w:id="1"/>
      </w:r>
    </w:p>
    <w:p w:rsidR="00744860" w:rsidRPr="000E7C94" w:rsidRDefault="00744860" w:rsidP="006A39C9">
      <w:r w:rsidRPr="000E7C94">
        <w:t>La</w:t>
      </w:r>
      <w:r w:rsidRPr="000E7C94">
        <w:rPr>
          <w:b/>
          <w:bCs/>
        </w:rPr>
        <w:t xml:space="preserve"> gestión de riesgos </w:t>
      </w:r>
      <w:r w:rsidRPr="000E7C94">
        <w:t>se refiere a un conjunto coordinado de actividades y métodos a que se recurre para dirigir una organización y controlar los numerosos riesgos que pueden afectar a su capacidad para alcanzar objetivos.</w:t>
      </w:r>
    </w:p>
    <w:p w:rsidR="00744860" w:rsidRPr="000E7C94" w:rsidRDefault="00744860" w:rsidP="00B134A7">
      <w:r w:rsidRPr="000E7C94">
        <w:t>El</w:t>
      </w:r>
      <w:r w:rsidRPr="000E7C94">
        <w:rPr>
          <w:b/>
          <w:bCs/>
        </w:rPr>
        <w:t xml:space="preserve"> riesgo</w:t>
      </w:r>
      <w:r w:rsidRPr="000E7C94">
        <w:t xml:space="preserve"> es la </w:t>
      </w:r>
      <w:r w:rsidR="00B134A7" w:rsidRPr="000E7C94">
        <w:t>"</w:t>
      </w:r>
      <w:r w:rsidRPr="000E7C94">
        <w:t>incidencia de incertidumbre en objetivos</w:t>
      </w:r>
      <w:r w:rsidR="00B134A7" w:rsidRPr="000E7C94">
        <w:t>"</w:t>
      </w:r>
      <w:r w:rsidRPr="000E7C94">
        <w:t xml:space="preserve"> y un efecto es la desviación positiva o negativa de lo que se espera.</w:t>
      </w:r>
    </w:p>
    <w:p w:rsidR="00744860" w:rsidRPr="000E7C94" w:rsidRDefault="00744860" w:rsidP="00B134A7">
      <w:r w:rsidRPr="000E7C94">
        <w:t>El</w:t>
      </w:r>
      <w:r w:rsidRPr="000E7C94">
        <w:rPr>
          <w:b/>
          <w:bCs/>
        </w:rPr>
        <w:t xml:space="preserve"> impacto </w:t>
      </w:r>
      <w:r w:rsidRPr="000E7C94">
        <w:t>o consecuencia es el resultado de un hecho, que incide en objetivos.</w:t>
      </w:r>
    </w:p>
    <w:p w:rsidR="00744860" w:rsidRPr="000E7C94" w:rsidRDefault="00744860" w:rsidP="00B134A7">
      <w:r w:rsidRPr="000E7C94">
        <w:t>La</w:t>
      </w:r>
      <w:r w:rsidRPr="000E7C94">
        <w:rPr>
          <w:b/>
          <w:bCs/>
        </w:rPr>
        <w:t xml:space="preserve"> probabilidad </w:t>
      </w:r>
      <w:r w:rsidRPr="000E7C94">
        <w:t>es la posibilidad de que ocurra algo. La probabilidad se puede definir, determinar o evaluar de manera objetiva o subjetiva, y puede expresarse en términos cualitativos o cuantitativos.</w:t>
      </w:r>
    </w:p>
    <w:p w:rsidR="00744860" w:rsidRPr="000E7C94" w:rsidRDefault="00744860" w:rsidP="00B134A7">
      <w:pPr>
        <w:rPr>
          <w:b/>
          <w:bCs/>
        </w:rPr>
      </w:pPr>
      <w:r w:rsidRPr="000E7C94">
        <w:t>La</w:t>
      </w:r>
      <w:r w:rsidRPr="000E7C94">
        <w:rPr>
          <w:b/>
          <w:bCs/>
        </w:rPr>
        <w:t xml:space="preserve"> asunción de riesgos </w:t>
      </w:r>
      <w:r w:rsidRPr="000E7C94">
        <w:t>es la cantidad y el tipo de riesgos que una organización está dispuesta a aceptar.</w:t>
      </w:r>
      <w:r w:rsidRPr="000E7C94">
        <w:rPr>
          <w:b/>
          <w:bCs/>
        </w:rPr>
        <w:t xml:space="preserve"> </w:t>
      </w:r>
    </w:p>
    <w:p w:rsidR="00744860" w:rsidRPr="000E7C94" w:rsidRDefault="00744860" w:rsidP="00B134A7">
      <w:r w:rsidRPr="000E7C94">
        <w:t>La</w:t>
      </w:r>
      <w:r w:rsidRPr="000E7C94">
        <w:rPr>
          <w:b/>
          <w:bCs/>
        </w:rPr>
        <w:t xml:space="preserve"> respuesta al riesgo </w:t>
      </w:r>
      <w:r w:rsidRPr="000E7C94">
        <w:t>se refiere a las decisiones que se toman para hacer frente a los riesgos que se han determinado. La organización puede responder a un riesgo aceptándolo, mitigándolo o transfiriéndolo.</w:t>
      </w:r>
    </w:p>
    <w:p w:rsidR="00744860" w:rsidRPr="000E7C94" w:rsidRDefault="00744860" w:rsidP="00B134A7">
      <w:r w:rsidRPr="000E7C94">
        <w:t>El</w:t>
      </w:r>
      <w:r w:rsidRPr="000E7C94">
        <w:rPr>
          <w:b/>
          <w:bCs/>
        </w:rPr>
        <w:t xml:space="preserve"> registro de riesgos </w:t>
      </w:r>
      <w:r w:rsidRPr="000E7C94">
        <w:t>es un registro de los riesgos identificados que contiene la descripción del riesgo, el encargado del riesgo, la probabilidad y el impacto del riesgo, las medidas de mitigación y las decisiones adoptadas.</w:t>
      </w:r>
    </w:p>
    <w:p w:rsidR="00744860" w:rsidRDefault="00744860" w:rsidP="00F03C32">
      <w:r w:rsidRPr="000E7C94">
        <w:t>El</w:t>
      </w:r>
      <w:r w:rsidRPr="000E7C94">
        <w:rPr>
          <w:b/>
          <w:bCs/>
        </w:rPr>
        <w:t xml:space="preserve"> riesgo residual </w:t>
      </w:r>
      <w:r w:rsidRPr="000E7C94">
        <w:t>es el nivel de riesgo que persiste tras examinar todas las prácticas y los controles de mitigación existentes. El riesgo residual ofrece orientación acerca del nivel de atención requerido respecto de la gestión.</w:t>
      </w:r>
    </w:p>
    <w:p w:rsidR="00627E9B" w:rsidRDefault="00627E9B" w:rsidP="0032202E">
      <w:pPr>
        <w:pStyle w:val="Reasons"/>
      </w:pPr>
    </w:p>
    <w:p w:rsidR="00627E9B" w:rsidRDefault="00627E9B">
      <w:pPr>
        <w:jc w:val="center"/>
      </w:pPr>
      <w:r>
        <w:t>______________</w:t>
      </w:r>
    </w:p>
    <w:sectPr w:rsidR="00627E9B" w:rsidSect="006710F6">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170" w:rsidRDefault="00956170">
      <w:r>
        <w:separator/>
      </w:r>
    </w:p>
  </w:endnote>
  <w:endnote w:type="continuationSeparator" w:id="0">
    <w:p w:rsidR="00956170" w:rsidRDefault="0095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2C" w:rsidRPr="009F612C" w:rsidRDefault="009F612C" w:rsidP="009F612C">
    <w:pPr>
      <w:pStyle w:val="Footer"/>
      <w:rPr>
        <w:lang w:val="fr-CH"/>
      </w:rPr>
    </w:pPr>
    <w:r>
      <w:fldChar w:fldCharType="begin"/>
    </w:r>
    <w:r w:rsidRPr="009F612C">
      <w:rPr>
        <w:lang w:val="fr-CH"/>
      </w:rPr>
      <w:instrText xml:space="preserve"> FILENAME \p \* MERGEFORMAT </w:instrText>
    </w:r>
    <w:r>
      <w:fldChar w:fldCharType="separate"/>
    </w:r>
    <w:r w:rsidR="001F4F63">
      <w:rPr>
        <w:lang w:val="fr-CH"/>
      </w:rPr>
      <w:t>P:\ESP\SG\CONSEIL\C17\000\074S.docx</w:t>
    </w:r>
    <w:r>
      <w:rPr>
        <w:lang w:val="en-US"/>
      </w:rPr>
      <w:fldChar w:fldCharType="end"/>
    </w:r>
    <w:r w:rsidRPr="009F612C">
      <w:rPr>
        <w:lang w:val="fr-CH"/>
      </w:rPr>
      <w:t xml:space="preserve"> (415688)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170" w:rsidRDefault="00956170">
      <w:r>
        <w:t>____________________</w:t>
      </w:r>
    </w:p>
  </w:footnote>
  <w:footnote w:type="continuationSeparator" w:id="0">
    <w:p w:rsidR="00956170" w:rsidRDefault="00956170">
      <w:r>
        <w:continuationSeparator/>
      </w:r>
    </w:p>
  </w:footnote>
  <w:footnote w:id="1">
    <w:p w:rsidR="00744860" w:rsidRPr="00F254B2" w:rsidRDefault="00744860" w:rsidP="00744860">
      <w:pPr>
        <w:pStyle w:val="FootnoteText"/>
        <w:spacing w:line="480" w:lineRule="auto"/>
      </w:pPr>
      <w:r>
        <w:rPr>
          <w:rStyle w:val="FootnoteReference"/>
        </w:rPr>
        <w:footnoteRef/>
      </w:r>
      <w:r>
        <w:tab/>
      </w:r>
      <w:r w:rsidRPr="00F254B2">
        <w:t>Estas definiciones se basan en el diccionario sobre gestión de riesgos ISO 31000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437A4">
      <w:rPr>
        <w:noProof/>
      </w:rPr>
      <w:t>6</w:t>
    </w:r>
    <w:r>
      <w:rPr>
        <w:noProof/>
      </w:rPr>
      <w:fldChar w:fldCharType="end"/>
    </w:r>
  </w:p>
  <w:p w:rsidR="00760F1C" w:rsidRDefault="00760F1C" w:rsidP="009F612C">
    <w:pPr>
      <w:pStyle w:val="Header"/>
    </w:pPr>
    <w:r>
      <w:t>C</w:t>
    </w:r>
    <w:r w:rsidR="007F350B">
      <w:t>1</w:t>
    </w:r>
    <w:r w:rsidR="00B8298E">
      <w:t>7</w:t>
    </w:r>
    <w:r>
      <w:t>/</w:t>
    </w:r>
    <w:r w:rsidR="009F612C">
      <w:t>74</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F17B5"/>
    <w:multiLevelType w:val="hybridMultilevel"/>
    <w:tmpl w:val="F7900426"/>
    <w:lvl w:ilvl="0" w:tplc="8520A654">
      <w:start w:val="1"/>
      <w:numFmt w:val="bullet"/>
      <w:lvlText w:val="o"/>
      <w:lvlJc w:val="left"/>
      <w:pPr>
        <w:ind w:left="1080" w:hanging="360"/>
      </w:pPr>
      <w:rPr>
        <w:rFonts w:ascii="Courier New" w:hAnsi="Courier New" w:cs="Courier New" w:hint="default"/>
        <w:lang w:val="es-ES_tradn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EB122F"/>
    <w:multiLevelType w:val="hybridMultilevel"/>
    <w:tmpl w:val="33C45834"/>
    <w:lvl w:ilvl="0" w:tplc="A1CA3D96">
      <w:start w:val="1"/>
      <w:numFmt w:val="bullet"/>
      <w:lvlText w:val="-"/>
      <w:lvlJc w:val="left"/>
      <w:pPr>
        <w:ind w:left="360" w:hanging="360"/>
      </w:pPr>
      <w:rPr>
        <w:rFonts w:ascii="Calibri" w:eastAsia="SimSu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A93079"/>
    <w:multiLevelType w:val="hybridMultilevel"/>
    <w:tmpl w:val="FE826138"/>
    <w:lvl w:ilvl="0" w:tplc="3B743EB2">
      <w:start w:val="1"/>
      <w:numFmt w:val="bullet"/>
      <w:lvlText w:val="-"/>
      <w:lvlJc w:val="left"/>
      <w:pPr>
        <w:ind w:left="360" w:hanging="360"/>
      </w:pPr>
      <w:rPr>
        <w:rFonts w:ascii="Calibri" w:eastAsiaTheme="minorEastAsia" w:hAnsi="Calibri" w:cstheme="minorBidi" w:hint="default"/>
        <w:lang w:val="es-ES_tradn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70"/>
    <w:rsid w:val="00030BD9"/>
    <w:rsid w:val="000909D5"/>
    <w:rsid w:val="00093EEB"/>
    <w:rsid w:val="000A0A32"/>
    <w:rsid w:val="000A475A"/>
    <w:rsid w:val="000B0D00"/>
    <w:rsid w:val="000B2BF0"/>
    <w:rsid w:val="000B7C15"/>
    <w:rsid w:val="000D1D0F"/>
    <w:rsid w:val="000E7C94"/>
    <w:rsid w:val="000F5290"/>
    <w:rsid w:val="0010165C"/>
    <w:rsid w:val="00135005"/>
    <w:rsid w:val="00146BFB"/>
    <w:rsid w:val="001471A7"/>
    <w:rsid w:val="00153AEB"/>
    <w:rsid w:val="001A739D"/>
    <w:rsid w:val="001F14A2"/>
    <w:rsid w:val="001F4F63"/>
    <w:rsid w:val="002012CF"/>
    <w:rsid w:val="002539D8"/>
    <w:rsid w:val="002801AA"/>
    <w:rsid w:val="002A5A3A"/>
    <w:rsid w:val="002C4676"/>
    <w:rsid w:val="002C70B0"/>
    <w:rsid w:val="002E3948"/>
    <w:rsid w:val="002F3CC4"/>
    <w:rsid w:val="00300461"/>
    <w:rsid w:val="003018A5"/>
    <w:rsid w:val="003339A3"/>
    <w:rsid w:val="003437A4"/>
    <w:rsid w:val="00387192"/>
    <w:rsid w:val="003A1115"/>
    <w:rsid w:val="003B2F80"/>
    <w:rsid w:val="003B3AF3"/>
    <w:rsid w:val="004425DC"/>
    <w:rsid w:val="00447BF0"/>
    <w:rsid w:val="00483482"/>
    <w:rsid w:val="004908B7"/>
    <w:rsid w:val="00497778"/>
    <w:rsid w:val="004D475C"/>
    <w:rsid w:val="00513630"/>
    <w:rsid w:val="00545E3D"/>
    <w:rsid w:val="00555BB7"/>
    <w:rsid w:val="00560125"/>
    <w:rsid w:val="00585553"/>
    <w:rsid w:val="00595F4B"/>
    <w:rsid w:val="005B34D9"/>
    <w:rsid w:val="005C1956"/>
    <w:rsid w:val="005D0CCF"/>
    <w:rsid w:val="005D219E"/>
    <w:rsid w:val="005F410F"/>
    <w:rsid w:val="005F4155"/>
    <w:rsid w:val="0060149A"/>
    <w:rsid w:val="00601924"/>
    <w:rsid w:val="00627E9B"/>
    <w:rsid w:val="006364C7"/>
    <w:rsid w:val="006447EA"/>
    <w:rsid w:val="0064731F"/>
    <w:rsid w:val="006710F6"/>
    <w:rsid w:val="006975F6"/>
    <w:rsid w:val="006A39C9"/>
    <w:rsid w:val="006B033D"/>
    <w:rsid w:val="006C1B56"/>
    <w:rsid w:val="006D4761"/>
    <w:rsid w:val="006E5682"/>
    <w:rsid w:val="00706AEF"/>
    <w:rsid w:val="00726872"/>
    <w:rsid w:val="00735A3E"/>
    <w:rsid w:val="00744860"/>
    <w:rsid w:val="007505FF"/>
    <w:rsid w:val="00751A60"/>
    <w:rsid w:val="00754EAF"/>
    <w:rsid w:val="00760F1C"/>
    <w:rsid w:val="007657F0"/>
    <w:rsid w:val="0077252D"/>
    <w:rsid w:val="007A521A"/>
    <w:rsid w:val="007E5DD3"/>
    <w:rsid w:val="007F350B"/>
    <w:rsid w:val="00820BE4"/>
    <w:rsid w:val="008451E8"/>
    <w:rsid w:val="00851C08"/>
    <w:rsid w:val="00854F14"/>
    <w:rsid w:val="0086198B"/>
    <w:rsid w:val="00874384"/>
    <w:rsid w:val="008D78AC"/>
    <w:rsid w:val="00913B9C"/>
    <w:rsid w:val="00956170"/>
    <w:rsid w:val="00956E77"/>
    <w:rsid w:val="009A4543"/>
    <w:rsid w:val="009F612C"/>
    <w:rsid w:val="00A22D5A"/>
    <w:rsid w:val="00A404C8"/>
    <w:rsid w:val="00A461B5"/>
    <w:rsid w:val="00A85754"/>
    <w:rsid w:val="00A971FB"/>
    <w:rsid w:val="00AA390C"/>
    <w:rsid w:val="00AC7C91"/>
    <w:rsid w:val="00AF6470"/>
    <w:rsid w:val="00B0200A"/>
    <w:rsid w:val="00B134A7"/>
    <w:rsid w:val="00B574DB"/>
    <w:rsid w:val="00B826C2"/>
    <w:rsid w:val="00B8298E"/>
    <w:rsid w:val="00BA13D4"/>
    <w:rsid w:val="00BB315A"/>
    <w:rsid w:val="00BC0C04"/>
    <w:rsid w:val="00BD0723"/>
    <w:rsid w:val="00BD2518"/>
    <w:rsid w:val="00BF1D1C"/>
    <w:rsid w:val="00C0335A"/>
    <w:rsid w:val="00C20C59"/>
    <w:rsid w:val="00C467E3"/>
    <w:rsid w:val="00C55B1F"/>
    <w:rsid w:val="00C82CEF"/>
    <w:rsid w:val="00CA381F"/>
    <w:rsid w:val="00CC5F53"/>
    <w:rsid w:val="00CF1A67"/>
    <w:rsid w:val="00D03F4E"/>
    <w:rsid w:val="00D14008"/>
    <w:rsid w:val="00D2750E"/>
    <w:rsid w:val="00D43ACC"/>
    <w:rsid w:val="00D44BF5"/>
    <w:rsid w:val="00D62446"/>
    <w:rsid w:val="00D96E90"/>
    <w:rsid w:val="00DA0594"/>
    <w:rsid w:val="00DA4C00"/>
    <w:rsid w:val="00DA4EA2"/>
    <w:rsid w:val="00DC3D3E"/>
    <w:rsid w:val="00DD5F74"/>
    <w:rsid w:val="00DD75AE"/>
    <w:rsid w:val="00DE2C90"/>
    <w:rsid w:val="00DE3B24"/>
    <w:rsid w:val="00DE766C"/>
    <w:rsid w:val="00DF5EFD"/>
    <w:rsid w:val="00E02931"/>
    <w:rsid w:val="00E06947"/>
    <w:rsid w:val="00E3592D"/>
    <w:rsid w:val="00E92DE8"/>
    <w:rsid w:val="00EA2A30"/>
    <w:rsid w:val="00EB1212"/>
    <w:rsid w:val="00ED65AB"/>
    <w:rsid w:val="00EE2008"/>
    <w:rsid w:val="00F03C32"/>
    <w:rsid w:val="00F12850"/>
    <w:rsid w:val="00F254B2"/>
    <w:rsid w:val="00F33BF4"/>
    <w:rsid w:val="00F7105E"/>
    <w:rsid w:val="00F75F57"/>
    <w:rsid w:val="00F82FEE"/>
    <w:rsid w:val="00FB3F6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B53A71-698F-4D14-8D61-E81290E8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uiPriority w:val="39"/>
    <w:rsid w:val="00744860"/>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860"/>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heme="minorHAnsi" w:eastAsia="SimSun" w:hAnsiTheme="minorHAnsi"/>
      <w:szCs w:val="24"/>
      <w:lang w:val="en-AU" w:eastAsia="en-AU"/>
    </w:rPr>
  </w:style>
  <w:style w:type="character" w:customStyle="1" w:styleId="FootnoteTextChar">
    <w:name w:val="Footnote Text Char"/>
    <w:basedOn w:val="DefaultParagraphFont"/>
    <w:link w:val="FootnoteText"/>
    <w:uiPriority w:val="99"/>
    <w:locked/>
    <w:rsid w:val="00744860"/>
    <w:rPr>
      <w:rFonts w:ascii="Calibri" w:hAnsi="Calibri"/>
      <w:sz w:val="24"/>
      <w:lang w:val="es-ES_tradnl" w:eastAsia="en-US"/>
    </w:rPr>
  </w:style>
  <w:style w:type="table" w:customStyle="1" w:styleId="ListTable3-Accent51">
    <w:name w:val="List Table 3 - Accent 51"/>
    <w:basedOn w:val="TableNormal"/>
    <w:uiPriority w:val="48"/>
    <w:rsid w:val="00744860"/>
    <w:rPr>
      <w:rFonts w:asciiTheme="minorHAnsi" w:eastAsiaTheme="minorEastAsia"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itu.int/dms_pub/itu-s/opb/conf/S-CONF-ACTF-2014-MSW-S.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17-CL-C-0073/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jiu.org/en/reports-notes/JIU%20Products/JIU_REP_2016_1_English.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eb.itu.int/dms_pub/itu-s/opb/conf/S-CONF-ACTF-2014-MSW-E.docx" TargetMode="External"/><Relationship Id="rId4" Type="http://schemas.openxmlformats.org/officeDocument/2006/relationships/webSettings" Target="webSettings.xml"/><Relationship Id="rId9" Type="http://schemas.openxmlformats.org/officeDocument/2006/relationships/hyperlink" Target="http://web.itu.int/dms_pub/itu-s/opb/conf/S-CONF-ACTF-2014-MSW-E.doc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22</TotalTime>
  <Pages>7</Pages>
  <Words>2214</Words>
  <Characters>12367</Characters>
  <Application>Microsoft Office Word</Application>
  <DocSecurity>0</DocSecurity>
  <Lines>103</Lines>
  <Paragraphs>29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14552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Ricardo Sáez Grau</dc:creator>
  <cp:keywords>C2010, C10</cp:keywords>
  <dc:description>Documento C17/-S  Para: _x000d_Fecha del documento: enero de 2017_x000d_Registrado por ITU51009317 a 15:32:38 el 06/04/2017</dc:description>
  <cp:lastModifiedBy>Ricardo Sáez Grau</cp:lastModifiedBy>
  <cp:revision>90</cp:revision>
  <cp:lastPrinted>2017-05-10T13:45:00Z</cp:lastPrinted>
  <dcterms:created xsi:type="dcterms:W3CDTF">2017-05-10T13:25:00Z</dcterms:created>
  <dcterms:modified xsi:type="dcterms:W3CDTF">2017-05-10T14:08:00Z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