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366DC" w:rsidRPr="006A4846" w14:paraId="10E8B329" w14:textId="77777777">
        <w:trPr>
          <w:cantSplit/>
        </w:trPr>
        <w:tc>
          <w:tcPr>
            <w:tcW w:w="6911" w:type="dxa"/>
          </w:tcPr>
          <w:p w14:paraId="749E42F8" w14:textId="754C5102" w:rsidR="00A366DC" w:rsidRPr="006A4846" w:rsidRDefault="00A366DC" w:rsidP="00ED7697">
            <w:pPr>
              <w:spacing w:before="360" w:after="48" w:line="240" w:lineRule="atLeast"/>
              <w:rPr>
                <w:position w:val="6"/>
              </w:rPr>
            </w:pPr>
            <w:bookmarkStart w:id="0" w:name="dc06"/>
            <w:bookmarkStart w:id="1" w:name="_GoBack"/>
            <w:bookmarkEnd w:id="0"/>
            <w:bookmarkEnd w:id="1"/>
            <w:r w:rsidRPr="006A4846">
              <w:rPr>
                <w:b/>
                <w:bCs/>
                <w:position w:val="6"/>
                <w:sz w:val="30"/>
                <w:szCs w:val="30"/>
              </w:rPr>
              <w:t>C</w:t>
            </w:r>
            <w:r w:rsidR="00ED7697" w:rsidRPr="006A4846">
              <w:rPr>
                <w:b/>
                <w:bCs/>
                <w:position w:val="6"/>
                <w:sz w:val="30"/>
                <w:szCs w:val="30"/>
              </w:rPr>
              <w:t>onseil</w:t>
            </w:r>
            <w:r w:rsidRPr="006A4846">
              <w:rPr>
                <w:b/>
                <w:bCs/>
                <w:position w:val="6"/>
                <w:sz w:val="30"/>
                <w:szCs w:val="30"/>
              </w:rPr>
              <w:t xml:space="preserve"> 2017</w:t>
            </w:r>
            <w:r w:rsidRPr="006A4846">
              <w:rPr>
                <w:rFonts w:cs="Times"/>
                <w:b/>
                <w:position w:val="6"/>
                <w:sz w:val="26"/>
                <w:szCs w:val="26"/>
              </w:rPr>
              <w:br/>
            </w:r>
            <w:r w:rsidR="00ED7697" w:rsidRPr="006A4846">
              <w:rPr>
                <w:b/>
                <w:bCs/>
                <w:position w:val="6"/>
                <w:szCs w:val="24"/>
              </w:rPr>
              <w:t>Genève</w:t>
            </w:r>
            <w:r w:rsidRPr="006A4846">
              <w:rPr>
                <w:b/>
                <w:bCs/>
                <w:position w:val="6"/>
                <w:szCs w:val="24"/>
              </w:rPr>
              <w:t xml:space="preserve">, 15-25 </w:t>
            </w:r>
            <w:r w:rsidR="00ED7697" w:rsidRPr="006A4846">
              <w:rPr>
                <w:b/>
                <w:bCs/>
                <w:position w:val="6"/>
                <w:szCs w:val="24"/>
              </w:rPr>
              <w:t>mai</w:t>
            </w:r>
            <w:r w:rsidRPr="006A4846">
              <w:rPr>
                <w:b/>
                <w:bCs/>
                <w:position w:val="6"/>
                <w:szCs w:val="24"/>
              </w:rPr>
              <w:t xml:space="preserve"> 2017</w:t>
            </w:r>
          </w:p>
        </w:tc>
        <w:tc>
          <w:tcPr>
            <w:tcW w:w="3120" w:type="dxa"/>
          </w:tcPr>
          <w:p w14:paraId="767C12C3" w14:textId="77777777" w:rsidR="00A366DC" w:rsidRPr="006A4846" w:rsidRDefault="00A366DC" w:rsidP="00A366DC">
            <w:pPr>
              <w:spacing w:before="0" w:line="240" w:lineRule="atLeast"/>
              <w:jc w:val="right"/>
            </w:pPr>
            <w:bookmarkStart w:id="2" w:name="ditulogo"/>
            <w:bookmarkEnd w:id="2"/>
            <w:r w:rsidRPr="006A4846">
              <w:rPr>
                <w:rFonts w:ascii="Verdana" w:hAnsi="Verdana"/>
                <w:noProof/>
                <w:color w:val="FFFFFF"/>
                <w:sz w:val="26"/>
                <w:szCs w:val="26"/>
                <w:lang w:eastAsia="zh-CN"/>
              </w:rPr>
              <w:drawing>
                <wp:inline distT="0" distB="0" distL="0" distR="0" wp14:anchorId="2ED94F85" wp14:editId="61CC60C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366DC" w:rsidRPr="006A4846" w14:paraId="7C3EA1B7" w14:textId="77777777">
        <w:trPr>
          <w:cantSplit/>
        </w:trPr>
        <w:tc>
          <w:tcPr>
            <w:tcW w:w="6911" w:type="dxa"/>
            <w:tcBorders>
              <w:bottom w:val="single" w:sz="12" w:space="0" w:color="auto"/>
            </w:tcBorders>
          </w:tcPr>
          <w:p w14:paraId="4A2DEA29" w14:textId="77777777" w:rsidR="00A366DC" w:rsidRPr="006A4846" w:rsidRDefault="00A366DC">
            <w:pPr>
              <w:spacing w:before="0" w:after="48" w:line="240" w:lineRule="atLeast"/>
              <w:rPr>
                <w:b/>
                <w:smallCaps/>
                <w:szCs w:val="24"/>
              </w:rPr>
            </w:pPr>
          </w:p>
        </w:tc>
        <w:tc>
          <w:tcPr>
            <w:tcW w:w="3120" w:type="dxa"/>
            <w:tcBorders>
              <w:bottom w:val="single" w:sz="12" w:space="0" w:color="auto"/>
            </w:tcBorders>
          </w:tcPr>
          <w:p w14:paraId="5E7CFE8F" w14:textId="77777777" w:rsidR="00A366DC" w:rsidRPr="006A4846" w:rsidRDefault="00A366DC">
            <w:pPr>
              <w:spacing w:before="0" w:line="240" w:lineRule="atLeast"/>
              <w:rPr>
                <w:szCs w:val="24"/>
              </w:rPr>
            </w:pPr>
          </w:p>
        </w:tc>
      </w:tr>
      <w:tr w:rsidR="00A366DC" w:rsidRPr="006A4846" w14:paraId="64F5267B" w14:textId="77777777">
        <w:trPr>
          <w:cantSplit/>
        </w:trPr>
        <w:tc>
          <w:tcPr>
            <w:tcW w:w="6911" w:type="dxa"/>
            <w:tcBorders>
              <w:top w:val="single" w:sz="12" w:space="0" w:color="auto"/>
            </w:tcBorders>
          </w:tcPr>
          <w:p w14:paraId="09CEEDA8" w14:textId="77777777" w:rsidR="00A366DC" w:rsidRPr="006A4846" w:rsidRDefault="00A366DC" w:rsidP="009E366C">
            <w:pPr>
              <w:spacing w:before="0" w:line="240" w:lineRule="atLeast"/>
              <w:rPr>
                <w:b/>
                <w:smallCaps/>
                <w:szCs w:val="24"/>
              </w:rPr>
            </w:pPr>
          </w:p>
        </w:tc>
        <w:tc>
          <w:tcPr>
            <w:tcW w:w="3120" w:type="dxa"/>
            <w:tcBorders>
              <w:top w:val="single" w:sz="12" w:space="0" w:color="auto"/>
            </w:tcBorders>
          </w:tcPr>
          <w:p w14:paraId="62800964" w14:textId="77777777" w:rsidR="00A366DC" w:rsidRPr="006A4846" w:rsidRDefault="00A366DC" w:rsidP="009E366C">
            <w:pPr>
              <w:spacing w:before="0" w:line="240" w:lineRule="atLeast"/>
              <w:rPr>
                <w:szCs w:val="24"/>
              </w:rPr>
            </w:pPr>
          </w:p>
        </w:tc>
      </w:tr>
      <w:tr w:rsidR="00A366DC" w:rsidRPr="006A4846" w14:paraId="26A4AA0F" w14:textId="77777777">
        <w:trPr>
          <w:cantSplit/>
          <w:trHeight w:val="23"/>
        </w:trPr>
        <w:tc>
          <w:tcPr>
            <w:tcW w:w="6911" w:type="dxa"/>
            <w:vMerge w:val="restart"/>
          </w:tcPr>
          <w:p w14:paraId="2BD21EC4" w14:textId="77777777" w:rsidR="00A366DC" w:rsidRPr="006A4846" w:rsidRDefault="00A366DC" w:rsidP="009E366C">
            <w:pPr>
              <w:tabs>
                <w:tab w:val="left" w:pos="851"/>
              </w:tabs>
              <w:spacing w:before="0" w:line="240" w:lineRule="atLeast"/>
              <w:rPr>
                <w:b/>
              </w:rPr>
            </w:pPr>
            <w:bookmarkStart w:id="3" w:name="dmeeting" w:colFirst="0" w:colLast="0"/>
            <w:bookmarkStart w:id="4" w:name="dnum" w:colFirst="1" w:colLast="1"/>
            <w:r w:rsidRPr="006A4846">
              <w:rPr>
                <w:b/>
              </w:rPr>
              <w:t xml:space="preserve">Agenda item: </w:t>
            </w:r>
            <w:r w:rsidR="009E366C" w:rsidRPr="006A4846">
              <w:rPr>
                <w:b/>
              </w:rPr>
              <w:t>ADM 9</w:t>
            </w:r>
          </w:p>
        </w:tc>
        <w:tc>
          <w:tcPr>
            <w:tcW w:w="3120" w:type="dxa"/>
          </w:tcPr>
          <w:p w14:paraId="36F31620" w14:textId="454B308F" w:rsidR="00A366DC" w:rsidRPr="006A4846" w:rsidRDefault="00A366DC" w:rsidP="00A366DC">
            <w:pPr>
              <w:tabs>
                <w:tab w:val="left" w:pos="851"/>
              </w:tabs>
              <w:spacing w:before="0" w:line="240" w:lineRule="atLeast"/>
              <w:rPr>
                <w:b/>
              </w:rPr>
            </w:pPr>
            <w:r w:rsidRPr="006A4846">
              <w:rPr>
                <w:b/>
              </w:rPr>
              <w:t>Document C17/74-</w:t>
            </w:r>
            <w:r w:rsidR="00ED7697" w:rsidRPr="006A4846">
              <w:rPr>
                <w:b/>
              </w:rPr>
              <w:t>F</w:t>
            </w:r>
          </w:p>
        </w:tc>
      </w:tr>
      <w:tr w:rsidR="00A366DC" w:rsidRPr="006A4846" w14:paraId="2869F6C5" w14:textId="77777777">
        <w:trPr>
          <w:cantSplit/>
          <w:trHeight w:val="23"/>
        </w:trPr>
        <w:tc>
          <w:tcPr>
            <w:tcW w:w="6911" w:type="dxa"/>
            <w:vMerge/>
          </w:tcPr>
          <w:p w14:paraId="161CD286" w14:textId="77777777" w:rsidR="00A366DC" w:rsidRPr="006A4846" w:rsidRDefault="00A366DC">
            <w:pPr>
              <w:tabs>
                <w:tab w:val="left" w:pos="851"/>
              </w:tabs>
              <w:spacing w:line="240" w:lineRule="atLeast"/>
              <w:rPr>
                <w:b/>
              </w:rPr>
            </w:pPr>
            <w:bookmarkStart w:id="5" w:name="ddate" w:colFirst="1" w:colLast="1"/>
            <w:bookmarkEnd w:id="3"/>
            <w:bookmarkEnd w:id="4"/>
          </w:p>
        </w:tc>
        <w:tc>
          <w:tcPr>
            <w:tcW w:w="3120" w:type="dxa"/>
          </w:tcPr>
          <w:p w14:paraId="6AC526AF" w14:textId="4828ABFA" w:rsidR="00A366DC" w:rsidRPr="006A4846" w:rsidRDefault="00A366DC" w:rsidP="00ED7697">
            <w:pPr>
              <w:tabs>
                <w:tab w:val="left" w:pos="993"/>
              </w:tabs>
              <w:spacing w:before="0"/>
              <w:rPr>
                <w:b/>
              </w:rPr>
            </w:pPr>
            <w:r w:rsidRPr="006A4846">
              <w:rPr>
                <w:b/>
              </w:rPr>
              <w:t xml:space="preserve">31 </w:t>
            </w:r>
            <w:r w:rsidR="00ED7697" w:rsidRPr="006A4846">
              <w:rPr>
                <w:b/>
              </w:rPr>
              <w:t>mars</w:t>
            </w:r>
            <w:r w:rsidRPr="006A4846">
              <w:rPr>
                <w:b/>
              </w:rPr>
              <w:t xml:space="preserve"> 2017</w:t>
            </w:r>
          </w:p>
        </w:tc>
      </w:tr>
      <w:tr w:rsidR="00A366DC" w:rsidRPr="006A4846" w14:paraId="46ACBC75" w14:textId="77777777">
        <w:trPr>
          <w:cantSplit/>
          <w:trHeight w:val="23"/>
        </w:trPr>
        <w:tc>
          <w:tcPr>
            <w:tcW w:w="6911" w:type="dxa"/>
            <w:vMerge/>
          </w:tcPr>
          <w:p w14:paraId="042CAC53" w14:textId="77777777" w:rsidR="00A366DC" w:rsidRPr="006A4846" w:rsidRDefault="00A366DC">
            <w:pPr>
              <w:tabs>
                <w:tab w:val="left" w:pos="851"/>
              </w:tabs>
              <w:spacing w:line="240" w:lineRule="atLeast"/>
              <w:rPr>
                <w:b/>
              </w:rPr>
            </w:pPr>
            <w:bookmarkStart w:id="6" w:name="dorlang" w:colFirst="1" w:colLast="1"/>
            <w:bookmarkEnd w:id="5"/>
          </w:p>
        </w:tc>
        <w:tc>
          <w:tcPr>
            <w:tcW w:w="3120" w:type="dxa"/>
          </w:tcPr>
          <w:p w14:paraId="40DBADF1" w14:textId="37243BF2" w:rsidR="00A366DC" w:rsidRPr="006A4846" w:rsidRDefault="00A366DC" w:rsidP="00ED7697">
            <w:pPr>
              <w:tabs>
                <w:tab w:val="left" w:pos="993"/>
              </w:tabs>
              <w:spacing w:before="0"/>
              <w:rPr>
                <w:b/>
              </w:rPr>
            </w:pPr>
            <w:r w:rsidRPr="006A4846">
              <w:rPr>
                <w:b/>
              </w:rPr>
              <w:t xml:space="preserve">Original: </w:t>
            </w:r>
            <w:r w:rsidR="00ED7697" w:rsidRPr="006A4846">
              <w:rPr>
                <w:b/>
              </w:rPr>
              <w:t>anglais</w:t>
            </w:r>
          </w:p>
        </w:tc>
      </w:tr>
      <w:tr w:rsidR="00A366DC" w:rsidRPr="006A4846" w14:paraId="42CFF879" w14:textId="77777777">
        <w:trPr>
          <w:cantSplit/>
        </w:trPr>
        <w:tc>
          <w:tcPr>
            <w:tcW w:w="10031" w:type="dxa"/>
            <w:gridSpan w:val="2"/>
          </w:tcPr>
          <w:p w14:paraId="6BC6C066" w14:textId="43F417B2" w:rsidR="00A366DC" w:rsidRPr="006A4846" w:rsidRDefault="006A4846" w:rsidP="006A4846">
            <w:pPr>
              <w:pStyle w:val="Source"/>
            </w:pPr>
            <w:bookmarkStart w:id="7" w:name="dsource" w:colFirst="0" w:colLast="0"/>
            <w:bookmarkEnd w:id="6"/>
            <w:r w:rsidRPr="006A4846">
              <w:t>Rapport du Secrétaire général</w:t>
            </w:r>
          </w:p>
        </w:tc>
      </w:tr>
      <w:tr w:rsidR="00A366DC" w:rsidRPr="006B07D3" w14:paraId="16A5C40F" w14:textId="77777777">
        <w:trPr>
          <w:cantSplit/>
        </w:trPr>
        <w:tc>
          <w:tcPr>
            <w:tcW w:w="10031" w:type="dxa"/>
            <w:gridSpan w:val="2"/>
          </w:tcPr>
          <w:p w14:paraId="3F7C17B1" w14:textId="0FB6A9CE" w:rsidR="00A366DC" w:rsidRPr="006A4846" w:rsidRDefault="00133A85" w:rsidP="00133A85">
            <w:pPr>
              <w:pStyle w:val="Title1"/>
            </w:pPr>
            <w:bookmarkStart w:id="8" w:name="dtitle1" w:colFirst="0" w:colLast="0"/>
            <w:bookmarkEnd w:id="7"/>
            <w:r>
              <w:t xml:space="preserve">projet de politique de l’uit </w:t>
            </w:r>
            <w:r w:rsidR="005F0B71">
              <w:t xml:space="preserve">EN matière </w:t>
            </w:r>
            <w:r>
              <w:t>de gestion des risques</w:t>
            </w:r>
          </w:p>
        </w:tc>
      </w:tr>
      <w:bookmarkEnd w:id="8"/>
    </w:tbl>
    <w:p w14:paraId="705F365C" w14:textId="77777777" w:rsidR="00A366DC" w:rsidRPr="006A4846" w:rsidRDefault="00A366D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366DC" w:rsidRPr="006B07D3" w14:paraId="58A6D84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FB54922" w14:textId="59959DC7" w:rsidR="00A366DC" w:rsidRPr="006A4846" w:rsidRDefault="00133A85">
            <w:pPr>
              <w:pStyle w:val="Headingb"/>
            </w:pPr>
            <w:r>
              <w:t>Résumé</w:t>
            </w:r>
          </w:p>
          <w:p w14:paraId="3C345EB3" w14:textId="6919E90E" w:rsidR="00612A5C" w:rsidRDefault="00612A5C" w:rsidP="00B94CF0">
            <w:pPr>
              <w:jc w:val="both"/>
            </w:pPr>
            <w:r w:rsidRPr="00612A5C">
              <w:t>Conformément aux Résolutions 151, 71 et 72 de la Conférence de plénipotentiaires et aux recommandations du Comité consultatif indépendant pour les questions de gestion (CCIG) et du Corps commun d’inspection des Nations Unies (CCI), l’UIT met en œuvre un cadre de gestion systématique des risques pour améliorer de façon continue ses pratiques de gestion vers une efficacité, une transparence et une responsabilisation plus grandes</w:t>
            </w:r>
            <w:r>
              <w:t>.</w:t>
            </w:r>
          </w:p>
          <w:p w14:paraId="3731B000" w14:textId="60D10C6B" w:rsidR="009E366C" w:rsidRPr="006A4846" w:rsidRDefault="00612A5C" w:rsidP="00B94CF0">
            <w:pPr>
              <w:jc w:val="both"/>
            </w:pPr>
            <w:r>
              <w:t xml:space="preserve">Le présent document </w:t>
            </w:r>
            <w:r w:rsidR="00A27BB3">
              <w:t>donne un aperçu du projet de politique de l’UIT en matière de gestion des risques</w:t>
            </w:r>
            <w:r w:rsidR="009E366C" w:rsidRPr="006A4846">
              <w:t>.</w:t>
            </w:r>
          </w:p>
          <w:p w14:paraId="0839BF34" w14:textId="41EF3EF2" w:rsidR="00A366DC" w:rsidRPr="006A4846" w:rsidRDefault="00910177" w:rsidP="00B94CF0">
            <w:pPr>
              <w:jc w:val="both"/>
            </w:pPr>
            <w:r>
              <w:t xml:space="preserve">Cette politique est complétée par une déclaration relative à la propension au risque </w:t>
            </w:r>
            <w:r w:rsidR="009E366C" w:rsidRPr="006A4846">
              <w:t>(C17/73)</w:t>
            </w:r>
            <w:r>
              <w:t xml:space="preserve"> qui indique</w:t>
            </w:r>
            <w:r w:rsidR="009E366C" w:rsidRPr="006A4846">
              <w:t xml:space="preserve"> </w:t>
            </w:r>
            <w:r>
              <w:t>le degré et le type de risques que l’UIT est prête à assumer pour la réalisation de ses buts et objectifs et détaille à la fois la propension et la tolérance au risque de l’organisation</w:t>
            </w:r>
            <w:r w:rsidR="009E366C" w:rsidRPr="006A4846">
              <w:t>.</w:t>
            </w:r>
          </w:p>
          <w:p w14:paraId="3EDA4840" w14:textId="77777777" w:rsidR="00910177" w:rsidRPr="0084136A" w:rsidRDefault="00910177" w:rsidP="00910177">
            <w:pPr>
              <w:pStyle w:val="Headingb"/>
              <w:jc w:val="both"/>
            </w:pPr>
            <w:r>
              <w:t xml:space="preserve">Suite à donner </w:t>
            </w:r>
          </w:p>
          <w:p w14:paraId="14920536" w14:textId="5C7241F1" w:rsidR="00A366DC" w:rsidRPr="004960EB" w:rsidRDefault="00910177" w:rsidP="005D2473">
            <w:pPr>
              <w:pStyle w:val="Headingb"/>
              <w:spacing w:before="0"/>
              <w:ind w:left="0" w:firstLine="0"/>
              <w:rPr>
                <w:b w:val="0"/>
                <w:lang w:val="fr-CH"/>
              </w:rPr>
            </w:pPr>
            <w:r w:rsidRPr="004960EB">
              <w:rPr>
                <w:b w:val="0"/>
                <w:lang w:val="fr-CH"/>
              </w:rPr>
              <w:t>Le Conseil est invité à</w:t>
            </w:r>
            <w:r w:rsidRPr="004960EB">
              <w:rPr>
                <w:lang w:val="fr-CH"/>
              </w:rPr>
              <w:t xml:space="preserve"> examiner </w:t>
            </w:r>
            <w:r w:rsidRPr="004960EB">
              <w:rPr>
                <w:b w:val="0"/>
                <w:lang w:val="fr-CH"/>
              </w:rPr>
              <w:t>et à</w:t>
            </w:r>
            <w:r w:rsidRPr="004960EB">
              <w:rPr>
                <w:lang w:val="fr-CH"/>
              </w:rPr>
              <w:t xml:space="preserve"> approuver </w:t>
            </w:r>
            <w:r w:rsidRPr="004960EB">
              <w:rPr>
                <w:b w:val="0"/>
                <w:lang w:val="fr-CH"/>
              </w:rPr>
              <w:t>le projet de politique de l’</w:t>
            </w:r>
            <w:r w:rsidR="005D2473" w:rsidRPr="004960EB">
              <w:rPr>
                <w:b w:val="0"/>
                <w:lang w:val="fr-CH"/>
              </w:rPr>
              <w:t xml:space="preserve">UIT en </w:t>
            </w:r>
            <w:r w:rsidRPr="004960EB">
              <w:rPr>
                <w:b w:val="0"/>
                <w:lang w:val="fr-CH"/>
              </w:rPr>
              <w:t>matière de gestion des risques.</w:t>
            </w:r>
          </w:p>
          <w:p w14:paraId="40DEA802" w14:textId="77777777" w:rsidR="00A366DC" w:rsidRPr="006A4846" w:rsidRDefault="00A366DC">
            <w:pPr>
              <w:pStyle w:val="Table"/>
              <w:keepNext w:val="0"/>
              <w:spacing w:before="0" w:after="0"/>
              <w:rPr>
                <w:rFonts w:ascii="Calibri" w:hAnsi="Calibri"/>
                <w:caps w:val="0"/>
                <w:sz w:val="22"/>
                <w:lang w:val="fr-FR"/>
              </w:rPr>
            </w:pPr>
            <w:r w:rsidRPr="006A4846">
              <w:rPr>
                <w:rFonts w:ascii="Calibri" w:hAnsi="Calibri"/>
                <w:caps w:val="0"/>
                <w:sz w:val="22"/>
                <w:lang w:val="fr-FR"/>
              </w:rPr>
              <w:t>____________</w:t>
            </w:r>
          </w:p>
          <w:p w14:paraId="38E021D4" w14:textId="148994F0" w:rsidR="00A366DC" w:rsidRPr="006A4846" w:rsidRDefault="00910177">
            <w:pPr>
              <w:pStyle w:val="Headingb"/>
            </w:pPr>
            <w:r w:rsidRPr="006A4846">
              <w:t>Références</w:t>
            </w:r>
          </w:p>
          <w:p w14:paraId="097E9856" w14:textId="1931EEEA" w:rsidR="00A366DC" w:rsidRPr="00BB3200" w:rsidRDefault="00BB3200" w:rsidP="009E366C">
            <w:pPr>
              <w:snapToGrid w:val="0"/>
              <w:spacing w:after="120"/>
              <w:rPr>
                <w:bCs/>
                <w:i/>
                <w:iCs/>
                <w:color w:val="0000FF"/>
                <w:szCs w:val="24"/>
                <w:u w:val="single"/>
              </w:rPr>
            </w:pPr>
            <w:r w:rsidRPr="0084136A">
              <w:rPr>
                <w:bCs/>
                <w:i/>
                <w:iCs/>
                <w:szCs w:val="24"/>
              </w:rPr>
              <w:t>Résolutions</w:t>
            </w:r>
            <w:r>
              <w:rPr>
                <w:bCs/>
                <w:i/>
                <w:iCs/>
                <w:szCs w:val="24"/>
              </w:rPr>
              <w:t xml:space="preserve"> de la Conférence de plénipotentiaires</w:t>
            </w:r>
            <w:r w:rsidRPr="0084136A">
              <w:rPr>
                <w:bCs/>
                <w:i/>
                <w:iCs/>
                <w:szCs w:val="24"/>
              </w:rPr>
              <w:t xml:space="preserve"> </w:t>
            </w:r>
            <w:hyperlink r:id="rId9" w:history="1">
              <w:r w:rsidRPr="00451F60">
                <w:rPr>
                  <w:rStyle w:val="Hyperlink"/>
                  <w:bCs/>
                  <w:i/>
                  <w:iCs/>
                  <w:szCs w:val="24"/>
                </w:rPr>
                <w:t>7</w:t>
              </w:r>
              <w:r w:rsidRPr="00451F60">
                <w:rPr>
                  <w:rStyle w:val="Hyperlink"/>
                  <w:bCs/>
                  <w:i/>
                  <w:iCs/>
                  <w:szCs w:val="24"/>
                </w:rPr>
                <w:t>1</w:t>
              </w:r>
            </w:hyperlink>
            <w:r w:rsidRPr="00451F60">
              <w:rPr>
                <w:rStyle w:val="Hyperlink"/>
                <w:bCs/>
                <w:szCs w:val="24"/>
                <w:u w:val="none"/>
              </w:rPr>
              <w:t xml:space="preserve"> </w:t>
            </w:r>
            <w:r>
              <w:rPr>
                <w:bCs/>
                <w:i/>
                <w:iCs/>
                <w:szCs w:val="24"/>
              </w:rPr>
              <w:t>(Ré</w:t>
            </w:r>
            <w:r w:rsidRPr="0084136A">
              <w:rPr>
                <w:bCs/>
                <w:i/>
                <w:iCs/>
                <w:szCs w:val="24"/>
              </w:rPr>
              <w:t xml:space="preserve">v. Busan, 2014), </w:t>
            </w:r>
            <w:hyperlink r:id="rId10" w:history="1">
              <w:r w:rsidRPr="0084136A">
                <w:rPr>
                  <w:rStyle w:val="Hyperlink"/>
                  <w:bCs/>
                  <w:i/>
                  <w:iCs/>
                  <w:szCs w:val="24"/>
                </w:rPr>
                <w:t>7</w:t>
              </w:r>
              <w:r w:rsidRPr="0084136A">
                <w:rPr>
                  <w:rStyle w:val="Hyperlink"/>
                  <w:bCs/>
                  <w:i/>
                  <w:iCs/>
                  <w:szCs w:val="24"/>
                </w:rPr>
                <w:t>2</w:t>
              </w:r>
            </w:hyperlink>
            <w:r>
              <w:rPr>
                <w:bCs/>
                <w:i/>
                <w:iCs/>
                <w:szCs w:val="24"/>
              </w:rPr>
              <w:t xml:space="preserve"> (Ré</w:t>
            </w:r>
            <w:r w:rsidRPr="0084136A">
              <w:rPr>
                <w:bCs/>
                <w:i/>
                <w:iCs/>
                <w:szCs w:val="24"/>
              </w:rPr>
              <w:t xml:space="preserve">v. Busan, 2014), </w:t>
            </w:r>
            <w:r>
              <w:rPr>
                <w:bCs/>
                <w:i/>
                <w:iCs/>
                <w:szCs w:val="24"/>
              </w:rPr>
              <w:t>et</w:t>
            </w:r>
            <w:r w:rsidRPr="0084136A">
              <w:rPr>
                <w:bCs/>
                <w:i/>
                <w:iCs/>
                <w:szCs w:val="24"/>
              </w:rPr>
              <w:t xml:space="preserve"> </w:t>
            </w:r>
            <w:hyperlink r:id="rId11" w:history="1">
              <w:r w:rsidRPr="0084136A">
                <w:rPr>
                  <w:rStyle w:val="Hyperlink"/>
                  <w:bCs/>
                  <w:i/>
                  <w:iCs/>
                  <w:szCs w:val="24"/>
                </w:rPr>
                <w:t>1</w:t>
              </w:r>
              <w:r w:rsidRPr="0084136A">
                <w:rPr>
                  <w:rStyle w:val="Hyperlink"/>
                  <w:bCs/>
                  <w:i/>
                  <w:iCs/>
                  <w:szCs w:val="24"/>
                </w:rPr>
                <w:t>5</w:t>
              </w:r>
              <w:r w:rsidRPr="0084136A">
                <w:rPr>
                  <w:rStyle w:val="Hyperlink"/>
                  <w:bCs/>
                  <w:i/>
                  <w:iCs/>
                  <w:szCs w:val="24"/>
                </w:rPr>
                <w:t>1</w:t>
              </w:r>
            </w:hyperlink>
            <w:r w:rsidRPr="0084136A">
              <w:rPr>
                <w:bCs/>
                <w:i/>
                <w:iCs/>
                <w:szCs w:val="24"/>
              </w:rPr>
              <w:t xml:space="preserve"> (R</w:t>
            </w:r>
            <w:r>
              <w:rPr>
                <w:bCs/>
                <w:i/>
                <w:iCs/>
                <w:szCs w:val="24"/>
              </w:rPr>
              <w:t>é</w:t>
            </w:r>
            <w:r w:rsidRPr="0084136A">
              <w:rPr>
                <w:bCs/>
                <w:i/>
                <w:iCs/>
                <w:szCs w:val="24"/>
              </w:rPr>
              <w:t xml:space="preserve">v. Busan, 2014); </w:t>
            </w:r>
            <w:r w:rsidRPr="00997F88">
              <w:rPr>
                <w:bCs/>
                <w:i/>
                <w:iCs/>
                <w:szCs w:val="24"/>
              </w:rPr>
              <w:t xml:space="preserve">Examen de la gestion et de l'administration de l'UIT </w:t>
            </w:r>
            <w:r>
              <w:rPr>
                <w:bCs/>
                <w:i/>
                <w:iCs/>
                <w:szCs w:val="24"/>
              </w:rPr>
              <w:t xml:space="preserve">par le CCI </w:t>
            </w:r>
            <w:r w:rsidRPr="0084136A">
              <w:rPr>
                <w:bCs/>
                <w:i/>
                <w:iCs/>
                <w:szCs w:val="24"/>
              </w:rPr>
              <w:t>(</w:t>
            </w:r>
            <w:hyperlink r:id="rId12" w:history="1">
              <w:r w:rsidRPr="0084136A">
                <w:rPr>
                  <w:rStyle w:val="Hyperlink"/>
                  <w:bCs/>
                  <w:i/>
                  <w:iCs/>
                  <w:szCs w:val="24"/>
                </w:rPr>
                <w:t>JIU/</w:t>
              </w:r>
              <w:r w:rsidRPr="0084136A">
                <w:rPr>
                  <w:rStyle w:val="Hyperlink"/>
                  <w:bCs/>
                  <w:i/>
                  <w:iCs/>
                  <w:szCs w:val="24"/>
                </w:rPr>
                <w:t>2</w:t>
              </w:r>
              <w:r w:rsidRPr="0084136A">
                <w:rPr>
                  <w:rStyle w:val="Hyperlink"/>
                  <w:bCs/>
                  <w:i/>
                  <w:iCs/>
                  <w:szCs w:val="24"/>
                </w:rPr>
                <w:t>0</w:t>
              </w:r>
              <w:r w:rsidRPr="0084136A">
                <w:rPr>
                  <w:rStyle w:val="Hyperlink"/>
                  <w:bCs/>
                  <w:i/>
                  <w:iCs/>
                  <w:szCs w:val="24"/>
                </w:rPr>
                <w:t>1</w:t>
              </w:r>
              <w:r w:rsidRPr="0084136A">
                <w:rPr>
                  <w:rStyle w:val="Hyperlink"/>
                  <w:bCs/>
                  <w:i/>
                  <w:iCs/>
                  <w:szCs w:val="24"/>
                </w:rPr>
                <w:t>6/1</w:t>
              </w:r>
            </w:hyperlink>
            <w:r w:rsidRPr="0084136A">
              <w:rPr>
                <w:bCs/>
                <w:i/>
                <w:iCs/>
                <w:szCs w:val="24"/>
              </w:rPr>
              <w:t xml:space="preserve">); </w:t>
            </w:r>
            <w:hyperlink r:id="rId13" w:history="1">
              <w:r w:rsidRPr="00451F60">
                <w:rPr>
                  <w:rStyle w:val="Hyperlink"/>
                  <w:bCs/>
                  <w:i/>
                  <w:iCs/>
                  <w:szCs w:val="24"/>
                </w:rPr>
                <w:t>C17</w:t>
              </w:r>
              <w:r w:rsidRPr="00451F60">
                <w:rPr>
                  <w:rStyle w:val="Hyperlink"/>
                  <w:bCs/>
                  <w:i/>
                  <w:iCs/>
                  <w:szCs w:val="24"/>
                </w:rPr>
                <w:t>/</w:t>
              </w:r>
              <w:r w:rsidRPr="00451F60">
                <w:rPr>
                  <w:rStyle w:val="Hyperlink"/>
                  <w:bCs/>
                  <w:i/>
                  <w:iCs/>
                  <w:szCs w:val="24"/>
                </w:rPr>
                <w:t>7</w:t>
              </w:r>
              <w:r w:rsidRPr="00451F60">
                <w:rPr>
                  <w:rStyle w:val="Hyperlink"/>
                  <w:i/>
                  <w:lang w:val="fr-CH"/>
                </w:rPr>
                <w:t>3</w:t>
              </w:r>
            </w:hyperlink>
          </w:p>
        </w:tc>
      </w:tr>
    </w:tbl>
    <w:p w14:paraId="13C529F7" w14:textId="77777777" w:rsidR="00570284" w:rsidRPr="006A4846" w:rsidRDefault="00570284" w:rsidP="006B07D3">
      <w:pPr>
        <w:pStyle w:val="Heading1"/>
      </w:pPr>
      <w:bookmarkStart w:id="9" w:name="dstart"/>
      <w:bookmarkStart w:id="10" w:name="dbreak"/>
      <w:bookmarkEnd w:id="9"/>
      <w:bookmarkEnd w:id="10"/>
      <w:r w:rsidRPr="006A4846">
        <w:t>1</w:t>
      </w:r>
      <w:r w:rsidRPr="006A4846">
        <w:tab/>
      </w:r>
      <w:r w:rsidRPr="006B07D3">
        <w:t>Introduction</w:t>
      </w:r>
    </w:p>
    <w:p w14:paraId="0DE7A55A" w14:textId="56A0EE62" w:rsidR="00570284" w:rsidRPr="006A4846" w:rsidRDefault="00570284" w:rsidP="006B07D3">
      <w:pPr>
        <w:pStyle w:val="Heading2"/>
      </w:pPr>
      <w:r w:rsidRPr="006A4846">
        <w:t>1.1</w:t>
      </w:r>
      <w:r w:rsidRPr="006A4846">
        <w:tab/>
      </w:r>
      <w:r w:rsidR="00B60A50">
        <w:t>Mission et buts stratégiques de l’UIT</w:t>
      </w:r>
    </w:p>
    <w:p w14:paraId="0ABF1F27" w14:textId="7299520B" w:rsidR="00570284" w:rsidRPr="006A4846" w:rsidRDefault="00B60A50" w:rsidP="006B07D3">
      <w:r>
        <w:t>La mission de l’UIT est « </w:t>
      </w:r>
      <w:r w:rsidR="00D4528F" w:rsidRPr="006B07D3">
        <w:rPr>
          <w:i/>
          <w:iCs/>
        </w:rPr>
        <w:t xml:space="preserve">de promouvoir, faciliter et encourager l'accès universel, à un coût abordable, aux réseaux, services et applications de télécommunication/technologies de l'information et de la communication (TIC) et leur utilisation au service d'une croissance et d'un </w:t>
      </w:r>
      <w:r w:rsidR="00D4528F" w:rsidRPr="006B07D3">
        <w:rPr>
          <w:i/>
          <w:iCs/>
        </w:rPr>
        <w:lastRenderedPageBreak/>
        <w:t>développement socio-économiques et écologiquement durables</w:t>
      </w:r>
      <w:r w:rsidR="00D4528F">
        <w:t> »</w:t>
      </w:r>
      <w:r w:rsidR="00802007" w:rsidRPr="006A4846">
        <w:t xml:space="preserve"> (Annex</w:t>
      </w:r>
      <w:r w:rsidR="00D4528F">
        <w:t>e</w:t>
      </w:r>
      <w:r w:rsidR="00802007" w:rsidRPr="006A4846">
        <w:t xml:space="preserve"> 2 </w:t>
      </w:r>
      <w:r w:rsidR="00D4528F">
        <w:t xml:space="preserve">de la </w:t>
      </w:r>
      <w:r w:rsidR="00D4528F" w:rsidRPr="006A4846">
        <w:t>Résolution</w:t>
      </w:r>
      <w:r w:rsidR="00802007" w:rsidRPr="006A4846">
        <w:t xml:space="preserve"> 71 (R</w:t>
      </w:r>
      <w:r w:rsidR="00D4528F">
        <w:t>é</w:t>
      </w:r>
      <w:r w:rsidR="00570284" w:rsidRPr="006A4846">
        <w:t>v. Busan</w:t>
      </w:r>
      <w:r w:rsidR="00802007" w:rsidRPr="006A4846">
        <w:t>,</w:t>
      </w:r>
      <w:r w:rsidR="00D4528F">
        <w:t xml:space="preserve"> 2014</w:t>
      </w:r>
      <w:r w:rsidR="00802007" w:rsidRPr="006A4846">
        <w:t>)</w:t>
      </w:r>
      <w:r w:rsidR="00570284" w:rsidRPr="006A4846">
        <w:t>.</w:t>
      </w:r>
    </w:p>
    <w:p w14:paraId="6397BF8F" w14:textId="09313209" w:rsidR="008D12C2" w:rsidRPr="0084136A" w:rsidRDefault="008D12C2" w:rsidP="006B07D3">
      <w:r>
        <w:t>l'UIT met</w:t>
      </w:r>
      <w:r w:rsidRPr="001D235C">
        <w:t xml:space="preserve"> tout en oeuvre pour mener à bien sa mission en poursuivant les quatre buts suivants</w:t>
      </w:r>
      <w:r>
        <w:t> :</w:t>
      </w:r>
    </w:p>
    <w:p w14:paraId="4F9CBDF8" w14:textId="46C67964" w:rsidR="008D12C2" w:rsidRPr="00873D26" w:rsidRDefault="006B07D3" w:rsidP="006B07D3">
      <w:pPr>
        <w:pStyle w:val="enumlev1"/>
      </w:pPr>
      <w:r>
        <w:t>–</w:t>
      </w:r>
      <w:r w:rsidR="008D12C2" w:rsidRPr="0084136A">
        <w:tab/>
      </w:r>
      <w:r w:rsidR="008D12C2" w:rsidRPr="00873D26">
        <w:t>But 1: Croissance – Permettre et encourager l'accès aux télécommunications/TIC et leur utilisation accrue</w:t>
      </w:r>
      <w:r w:rsidR="008D12C2">
        <w:t> ;</w:t>
      </w:r>
    </w:p>
    <w:p w14:paraId="4B30B7F2" w14:textId="1BFC3712" w:rsidR="008D12C2" w:rsidRPr="00873D26" w:rsidRDefault="006B07D3" w:rsidP="006B07D3">
      <w:pPr>
        <w:pStyle w:val="enumlev1"/>
      </w:pPr>
      <w:r>
        <w:t>–</w:t>
      </w:r>
      <w:r>
        <w:tab/>
      </w:r>
      <w:r w:rsidR="008D12C2" w:rsidRPr="00873D26">
        <w:t>But 2: Inclusion – Réduire la fracture numérique et mettre le large bande à la portée de tous</w:t>
      </w:r>
      <w:r w:rsidR="008D12C2">
        <w:t> ;</w:t>
      </w:r>
    </w:p>
    <w:p w14:paraId="52789574" w14:textId="05E08A0F" w:rsidR="008D12C2" w:rsidRPr="00873D26" w:rsidRDefault="006B07D3" w:rsidP="006B07D3">
      <w:pPr>
        <w:pStyle w:val="enumlev1"/>
      </w:pPr>
      <w:r>
        <w:t>–</w:t>
      </w:r>
      <w:r>
        <w:tab/>
      </w:r>
      <w:r w:rsidR="008D12C2" w:rsidRPr="00873D26">
        <w:t>But 3: Durabilité – Gérer les problèmes résultant du développement des télécommunications/TIC</w:t>
      </w:r>
      <w:r w:rsidR="008D12C2">
        <w:t> ;</w:t>
      </w:r>
    </w:p>
    <w:p w14:paraId="41C8EC44" w14:textId="21BB01F4" w:rsidR="00570284" w:rsidRPr="008D12C2" w:rsidRDefault="006B07D3" w:rsidP="006B07D3">
      <w:pPr>
        <w:pStyle w:val="enumlev1"/>
      </w:pPr>
      <w:r>
        <w:t>–</w:t>
      </w:r>
      <w:r>
        <w:tab/>
      </w:r>
      <w:r w:rsidR="008D12C2" w:rsidRPr="00873D26">
        <w:t>But 4: Innovation et partenariats – Jouer un rôle de premier plan dans l'évolution de l'environnement des télécommunications/TIC, mieux contribuer à cette évolution et s'y adapter</w:t>
      </w:r>
      <w:r w:rsidR="008D12C2">
        <w:t xml:space="preserve">. </w:t>
      </w:r>
    </w:p>
    <w:p w14:paraId="42DCA965" w14:textId="1934EFD4" w:rsidR="00EB440F" w:rsidRPr="00EB440F" w:rsidRDefault="00570284" w:rsidP="006B07D3">
      <w:pPr>
        <w:pStyle w:val="Heading2"/>
      </w:pPr>
      <w:r w:rsidRPr="006A4846">
        <w:t>1.2</w:t>
      </w:r>
      <w:r w:rsidR="006B07D3">
        <w:tab/>
      </w:r>
      <w:r w:rsidR="00EB440F">
        <w:t xml:space="preserve">La gestion des risques dans le </w:t>
      </w:r>
      <w:r w:rsidR="00EB440F" w:rsidRPr="00EB440F">
        <w:t>cadre de gestion axée sur les résultats (GAR)</w:t>
      </w:r>
      <w:r w:rsidR="00EB440F">
        <w:t xml:space="preserve"> de l’UIT</w:t>
      </w:r>
    </w:p>
    <w:p w14:paraId="3A0631AA" w14:textId="109B129F" w:rsidR="00AD1C0C" w:rsidRPr="00AD1C0C" w:rsidRDefault="005C6160" w:rsidP="006B07D3">
      <w:pPr>
        <w:rPr>
          <w:spacing w:val="-2"/>
        </w:rPr>
      </w:pPr>
      <w:r>
        <w:t>Les résultats s</w:t>
      </w:r>
      <w:r w:rsidRPr="005C6160">
        <w:t>ont l'axe principal de la stratégie, de la planification et de la budgétisation dans le cadre UIT de gestion axée sur les résultats. Le contrôle et l'évaluation de la performance, ainsi que l</w:t>
      </w:r>
      <w:r>
        <w:t>a gestion des risques, permette</w:t>
      </w:r>
      <w:r w:rsidRPr="005C6160">
        <w:t>nt de veiller à ce que les processus de planification stratégique, opérationnelle et financière reposent sur des décisions prises en connaissance de cause et sur une affectation adéquate des ressources</w:t>
      </w:r>
      <w:r w:rsidR="00570284" w:rsidRPr="006A4846">
        <w:rPr>
          <w:spacing w:val="-2"/>
        </w:rPr>
        <w:t xml:space="preserve">. </w:t>
      </w:r>
      <w:r w:rsidR="00C441A6">
        <w:rPr>
          <w:spacing w:val="-2"/>
        </w:rPr>
        <w:t>Le cadre de ges</w:t>
      </w:r>
      <w:r w:rsidR="00AD1C0C">
        <w:rPr>
          <w:spacing w:val="-2"/>
        </w:rPr>
        <w:t>t</w:t>
      </w:r>
      <w:r w:rsidR="00C441A6">
        <w:rPr>
          <w:spacing w:val="-2"/>
        </w:rPr>
        <w:t>ion des ri</w:t>
      </w:r>
      <w:r w:rsidR="00AD1C0C">
        <w:rPr>
          <w:spacing w:val="-2"/>
        </w:rPr>
        <w:t>s</w:t>
      </w:r>
      <w:r w:rsidR="00C441A6">
        <w:rPr>
          <w:spacing w:val="-2"/>
        </w:rPr>
        <w:t>ques de l’</w:t>
      </w:r>
      <w:r w:rsidR="00AD1C0C">
        <w:rPr>
          <w:spacing w:val="-2"/>
        </w:rPr>
        <w:t>UIT conti</w:t>
      </w:r>
      <w:r w:rsidR="00C441A6">
        <w:rPr>
          <w:spacing w:val="-2"/>
        </w:rPr>
        <w:t>nue d’être élaboré plus avant</w:t>
      </w:r>
      <w:r w:rsidR="00AD1C0C">
        <w:rPr>
          <w:spacing w:val="-2"/>
        </w:rPr>
        <w:t>,</w:t>
      </w:r>
      <w:r w:rsidR="00C441A6">
        <w:rPr>
          <w:spacing w:val="-2"/>
        </w:rPr>
        <w:t xml:space="preserve"> </w:t>
      </w:r>
      <w:r w:rsidR="00AD1C0C">
        <w:rPr>
          <w:spacing w:val="-2"/>
        </w:rPr>
        <w:t>l</w:t>
      </w:r>
      <w:r w:rsidR="00AD1C0C" w:rsidRPr="00AD1C0C">
        <w:rPr>
          <w:spacing w:val="-2"/>
        </w:rPr>
        <w:t>'objectif étant que le cadre UIT de gestion axée sur les résultats défini dans le plan stratégique de l'Union pour la période 2016-2019 fasse l'objet d'une approche intégrée</w:t>
      </w:r>
    </w:p>
    <w:p w14:paraId="2D01EE72" w14:textId="6E4CAF30" w:rsidR="00570284" w:rsidRPr="006A4846" w:rsidRDefault="00FA56ED" w:rsidP="006B07D3">
      <w:r w:rsidRPr="00FA56ED">
        <w:t>Compte tenu des difficultés, évolutions et transformations actuelles qui auront très probablement une incidence sur les activités de l'UIT</w:t>
      </w:r>
      <w:r>
        <w:t xml:space="preserve">, l’Union a </w:t>
      </w:r>
      <w:r w:rsidR="00CA3EE8">
        <w:t xml:space="preserve">déterminé et analysé les risques stratégiques principaux lors de la planification de sa stratégie </w:t>
      </w:r>
      <w:r w:rsidR="00570284" w:rsidRPr="006A4846">
        <w:t xml:space="preserve">2016-2019, </w:t>
      </w:r>
      <w:r w:rsidR="00CA3EE8">
        <w:t>et a élaboré en conséquence ses cadres stratégique et opérationnel</w:t>
      </w:r>
      <w:r w:rsidR="00570284" w:rsidRPr="006A4846">
        <w:t>.</w:t>
      </w:r>
    </w:p>
    <w:p w14:paraId="3E25669A" w14:textId="578FC365" w:rsidR="00570284" w:rsidRPr="006A4846" w:rsidRDefault="00570284" w:rsidP="006B07D3">
      <w:pPr>
        <w:pStyle w:val="Heading2"/>
      </w:pPr>
      <w:r w:rsidRPr="006A4846">
        <w:t>1.3</w:t>
      </w:r>
      <w:r w:rsidRPr="006A4846">
        <w:tab/>
      </w:r>
      <w:r w:rsidR="00C3696A">
        <w:t>Objet</w:t>
      </w:r>
      <w:r w:rsidR="00CA3EE8">
        <w:t xml:space="preserve"> de la </w:t>
      </w:r>
      <w:r w:rsidR="00CA3EE8" w:rsidRPr="006B07D3">
        <w:t>politique</w:t>
      </w:r>
      <w:r w:rsidR="00CA3EE8">
        <w:t xml:space="preserve"> de l’UIT en matière de gestion des risques</w:t>
      </w:r>
    </w:p>
    <w:p w14:paraId="3BDDFDF5" w14:textId="1F3CAA46" w:rsidR="00570284" w:rsidRPr="006A4846" w:rsidRDefault="00C3696A" w:rsidP="006B07D3">
      <w:r>
        <w:t>L’objet</w:t>
      </w:r>
      <w:r w:rsidR="00CA3EE8">
        <w:t xml:space="preserve"> de cette politique est de </w:t>
      </w:r>
      <w:r w:rsidR="00563183">
        <w:t>consigner la méthodologie et le cadre communs de la mise en œuvre de la gestion systématique des risques</w:t>
      </w:r>
      <w:r w:rsidR="00570284" w:rsidRPr="006A4846">
        <w:t xml:space="preserve">. </w:t>
      </w:r>
      <w:r w:rsidR="00563183">
        <w:t>L’objectif déterminant est de faciliter et favoriser l</w:t>
      </w:r>
      <w:r w:rsidR="006609A1">
        <w:t>’identification</w:t>
      </w:r>
      <w:r w:rsidR="00563183">
        <w:t xml:space="preserve">, la communication et la gestion des risques par </w:t>
      </w:r>
      <w:r w:rsidR="00F04E92">
        <w:t xml:space="preserve">l’intermédiaire de la structure </w:t>
      </w:r>
      <w:r w:rsidR="00702BF9">
        <w:t>hiérarchique de la direction</w:t>
      </w:r>
      <w:r w:rsidR="00570284" w:rsidRPr="006A4846">
        <w:t xml:space="preserve">. </w:t>
      </w:r>
    </w:p>
    <w:p w14:paraId="4E647BF1" w14:textId="64DB3CC2" w:rsidR="00570284" w:rsidRPr="006A4846" w:rsidRDefault="008727E1" w:rsidP="006B07D3">
      <w:r>
        <w:t xml:space="preserve">La méthodologie exposée dans le présent document suit les bonnes pratiques </w:t>
      </w:r>
      <w:r w:rsidR="007E4EF1">
        <w:t xml:space="preserve">recommandées par les organisations professionnelles et </w:t>
      </w:r>
      <w:r w:rsidR="00835ABB">
        <w:t>adaptées aux particularités de l’UIT</w:t>
      </w:r>
      <w:r w:rsidR="00570284" w:rsidRPr="006A4846">
        <w:t>.</w:t>
      </w:r>
    </w:p>
    <w:p w14:paraId="7FF3A184" w14:textId="0357559E" w:rsidR="00570284" w:rsidRPr="006A4846" w:rsidRDefault="00570284" w:rsidP="006B07D3">
      <w:pPr>
        <w:pStyle w:val="Heading2"/>
      </w:pPr>
      <w:r w:rsidRPr="006A4846">
        <w:t>1.4</w:t>
      </w:r>
      <w:r w:rsidRPr="006A4846">
        <w:tab/>
      </w:r>
      <w:r w:rsidR="00835ABB">
        <w:t xml:space="preserve">Objectifs de la </w:t>
      </w:r>
      <w:r w:rsidR="00835ABB" w:rsidRPr="006B07D3">
        <w:t>politique</w:t>
      </w:r>
      <w:r w:rsidR="00835ABB">
        <w:t xml:space="preserve"> de l’UIT en matière de gestion des risques</w:t>
      </w:r>
    </w:p>
    <w:p w14:paraId="40884468" w14:textId="0EE99A91" w:rsidR="00570284" w:rsidRPr="006A4846" w:rsidRDefault="00FC7FD5" w:rsidP="006B07D3">
      <w:r>
        <w:t>Les principaux objectifs de la politique de l’UIT en matière de gestion des risques sont les suivants </w:t>
      </w:r>
      <w:r w:rsidR="00570284" w:rsidRPr="006A4846">
        <w:t>:</w:t>
      </w:r>
    </w:p>
    <w:p w14:paraId="46B52292" w14:textId="6E890341" w:rsidR="00570284" w:rsidRPr="006A4846" w:rsidRDefault="006B07D3" w:rsidP="006B07D3">
      <w:pPr>
        <w:pStyle w:val="enumlev1"/>
      </w:pPr>
      <w:r>
        <w:t>–</w:t>
      </w:r>
      <w:r>
        <w:tab/>
      </w:r>
      <w:r w:rsidR="000F7147">
        <w:t xml:space="preserve">intégrer la gestion des risques dans le processus opérationnel de l’organisation en s’inspirant des bonnes pratiques ; et </w:t>
      </w:r>
    </w:p>
    <w:p w14:paraId="2DFC1E3F" w14:textId="7CCEEFB5" w:rsidR="00570284" w:rsidRPr="006A4846" w:rsidRDefault="006B07D3" w:rsidP="006B07D3">
      <w:pPr>
        <w:pStyle w:val="enumlev1"/>
      </w:pPr>
      <w:r>
        <w:t>–</w:t>
      </w:r>
      <w:r>
        <w:tab/>
      </w:r>
      <w:r w:rsidR="000F7147">
        <w:t xml:space="preserve">permettre la </w:t>
      </w:r>
      <w:r w:rsidR="00C451AF">
        <w:t>réalisation</w:t>
      </w:r>
      <w:r w:rsidR="000F7147">
        <w:t xml:space="preserve"> des buts et objectifs de l’organisation, en soutenant une culture de </w:t>
      </w:r>
      <w:r w:rsidR="00C451AF">
        <w:t xml:space="preserve">connaissance des risques et de </w:t>
      </w:r>
      <w:r w:rsidR="00CA69C0">
        <w:t>résilience de l’organisation</w:t>
      </w:r>
      <w:r w:rsidR="00570284" w:rsidRPr="006A4846">
        <w:t>.</w:t>
      </w:r>
    </w:p>
    <w:p w14:paraId="3C211D3F" w14:textId="572382A5" w:rsidR="00570284" w:rsidRPr="006A4846" w:rsidRDefault="00570284" w:rsidP="006B07D3">
      <w:pPr>
        <w:pStyle w:val="Heading2"/>
      </w:pPr>
      <w:r w:rsidRPr="006A4846">
        <w:lastRenderedPageBreak/>
        <w:t>1.5</w:t>
      </w:r>
      <w:r w:rsidRPr="006A4846">
        <w:tab/>
      </w:r>
      <w:r w:rsidR="00A91AA5" w:rsidRPr="006B07D3">
        <w:t>Principes</w:t>
      </w:r>
      <w:r w:rsidR="00A91AA5">
        <w:t xml:space="preserve"> stratégiques</w:t>
      </w:r>
    </w:p>
    <w:p w14:paraId="5D6BC2DE" w14:textId="201F47D8" w:rsidR="00570284" w:rsidRPr="006A4846" w:rsidRDefault="00862316" w:rsidP="006B07D3">
      <w:r>
        <w:t>La méthode de gestion des risques de l’UIT est guidée par les principes suivants </w:t>
      </w:r>
      <w:r w:rsidR="00570284" w:rsidRPr="006A4846">
        <w:t>:</w:t>
      </w:r>
    </w:p>
    <w:p w14:paraId="0A1F9558" w14:textId="67D1394F" w:rsidR="00570284" w:rsidRPr="006A4846" w:rsidRDefault="006B07D3" w:rsidP="006B07D3">
      <w:pPr>
        <w:pStyle w:val="enumlev1"/>
      </w:pPr>
      <w:r>
        <w:t>–</w:t>
      </w:r>
      <w:r>
        <w:tab/>
      </w:r>
      <w:r w:rsidR="00862316">
        <w:t>inté</w:t>
      </w:r>
      <w:r w:rsidR="00570284" w:rsidRPr="006A4846">
        <w:t xml:space="preserve">gration </w:t>
      </w:r>
      <w:r w:rsidR="00862316">
        <w:t>dans les processus opérationnels : la gestion des risques n’est pas menée de façon isolée ; au contraire, elle est intégrée dans des processus opérationnels préexistants </w:t>
      </w:r>
      <w:r w:rsidR="00570284" w:rsidRPr="006A4846">
        <w:t>;</w:t>
      </w:r>
    </w:p>
    <w:p w14:paraId="78B10A83" w14:textId="2262A4F7" w:rsidR="00570284" w:rsidRPr="006A4846" w:rsidRDefault="006B07D3" w:rsidP="006B07D3">
      <w:pPr>
        <w:pStyle w:val="enumlev1"/>
      </w:pPr>
      <w:r>
        <w:t>–</w:t>
      </w:r>
      <w:r>
        <w:tab/>
      </w:r>
      <w:r w:rsidR="00EE2FE4">
        <w:t>orientation</w:t>
      </w:r>
      <w:r w:rsidR="00862316">
        <w:t xml:space="preserve"> sur la disc</w:t>
      </w:r>
      <w:r w:rsidR="00EE2FE4">
        <w:t>ussion : des entretiens ont lieu au sujet de la gestion des risques de l’entité opérationnelle au niveau exécutif </w:t>
      </w:r>
      <w:r w:rsidR="00570284" w:rsidRPr="006A4846">
        <w:t>;</w:t>
      </w:r>
    </w:p>
    <w:p w14:paraId="3AED309C" w14:textId="0F1F3C09" w:rsidR="00570284" w:rsidRPr="006A4846" w:rsidRDefault="006B07D3" w:rsidP="006B07D3">
      <w:pPr>
        <w:pStyle w:val="enumlev1"/>
      </w:pPr>
      <w:r>
        <w:t>–</w:t>
      </w:r>
      <w:r>
        <w:tab/>
      </w:r>
      <w:r w:rsidR="00EE2FE4">
        <w:t xml:space="preserve">intervention en cas de risque : les risques sont identifiés, mais il existe aussi une intervention correspondante </w:t>
      </w:r>
      <w:r w:rsidR="00E2634B">
        <w:t>pour y faire face ;</w:t>
      </w:r>
    </w:p>
    <w:p w14:paraId="386EB59A" w14:textId="3AD1E70C" w:rsidR="00570284" w:rsidRPr="006A4846" w:rsidRDefault="006B07D3" w:rsidP="006B07D3">
      <w:pPr>
        <w:pStyle w:val="enumlev1"/>
      </w:pPr>
      <w:r>
        <w:t>–</w:t>
      </w:r>
      <w:r>
        <w:tab/>
      </w:r>
      <w:r w:rsidR="00E2634B">
        <w:t>risques différents à des niveaux différents : reconnaissance du fait que différentes parties de l’organisation ont des objectifs différents et peuvent donc faire</w:t>
      </w:r>
      <w:r w:rsidR="009321C0">
        <w:t xml:space="preserve"> face à des risques différents ;</w:t>
      </w:r>
      <w:r w:rsidR="00E2634B">
        <w:t xml:space="preserve"> et</w:t>
      </w:r>
      <w:r w:rsidR="00570284" w:rsidRPr="006A4846">
        <w:t xml:space="preserve"> </w:t>
      </w:r>
    </w:p>
    <w:p w14:paraId="0A39A220" w14:textId="19E014A9" w:rsidR="00570284" w:rsidRPr="006A4846" w:rsidRDefault="006B07D3" w:rsidP="006B07D3">
      <w:pPr>
        <w:pStyle w:val="enumlev1"/>
      </w:pPr>
      <w:r>
        <w:t>–</w:t>
      </w:r>
      <w:r>
        <w:tab/>
      </w:r>
      <w:r w:rsidR="00E2634B">
        <w:t>prise de décisions de gestion des risques au niveau approprié : quand les risques ne peuvent pas être atténués à un niveau, ils sont signalés et gérés au niveau supérieur.</w:t>
      </w:r>
    </w:p>
    <w:p w14:paraId="600D5C8C" w14:textId="3F4C1472" w:rsidR="00570284" w:rsidRPr="006A4846" w:rsidRDefault="00570284" w:rsidP="00344097">
      <w:pPr>
        <w:pStyle w:val="Heading1"/>
      </w:pPr>
      <w:r w:rsidRPr="006A4846">
        <w:t>2</w:t>
      </w:r>
      <w:r w:rsidRPr="006A4846">
        <w:tab/>
      </w:r>
      <w:r w:rsidR="00F80E7D">
        <w:t>Classement et évaluation des risques</w:t>
      </w:r>
    </w:p>
    <w:p w14:paraId="7BA4462A" w14:textId="640BF54E" w:rsidR="00570284" w:rsidRPr="006A4846" w:rsidRDefault="00570284" w:rsidP="00344097">
      <w:pPr>
        <w:pStyle w:val="Heading2"/>
      </w:pPr>
      <w:r w:rsidRPr="006A4846">
        <w:t>2.1</w:t>
      </w:r>
      <w:r w:rsidRPr="006A4846">
        <w:tab/>
      </w:r>
      <w:r w:rsidR="00F80E7D" w:rsidRPr="00344097">
        <w:t>P</w:t>
      </w:r>
      <w:r w:rsidRPr="00344097">
        <w:t>erspective</w:t>
      </w:r>
      <w:r w:rsidR="00F80E7D">
        <w:t xml:space="preserve"> de risque</w:t>
      </w:r>
    </w:p>
    <w:p w14:paraId="6824BB42" w14:textId="04B68821" w:rsidR="00570284" w:rsidRPr="006A4846" w:rsidRDefault="00F80E7D" w:rsidP="00344097">
      <w:r>
        <w:t xml:space="preserve">Les grandes catégories de risque sont les suivantes </w:t>
      </w:r>
      <w:r w:rsidR="00570284" w:rsidRPr="006A4846">
        <w:t>:</w:t>
      </w:r>
    </w:p>
    <w:p w14:paraId="6430B282" w14:textId="374AF8E9" w:rsidR="00570284" w:rsidRPr="006A4846" w:rsidRDefault="00344097" w:rsidP="00344097">
      <w:pPr>
        <w:pStyle w:val="enumlev1"/>
      </w:pPr>
      <w:r>
        <w:t>–</w:t>
      </w:r>
      <w:r>
        <w:tab/>
      </w:r>
      <w:r w:rsidR="00415344">
        <w:t xml:space="preserve">risques stratégiques : risques associés à une réduction de la capacité de l’UIT </w:t>
      </w:r>
      <w:r w:rsidR="009D1D00">
        <w:t>de</w:t>
      </w:r>
      <w:r w:rsidR="00415344">
        <w:t xml:space="preserve"> réaliser ses buts stratégiques ; et</w:t>
      </w:r>
    </w:p>
    <w:p w14:paraId="3B3D15C5" w14:textId="5BAC080E" w:rsidR="00570284" w:rsidRPr="006A4846" w:rsidRDefault="00344097" w:rsidP="00344097">
      <w:pPr>
        <w:pStyle w:val="enumlev1"/>
      </w:pPr>
      <w:r>
        <w:t>–</w:t>
      </w:r>
      <w:r>
        <w:tab/>
      </w:r>
      <w:r w:rsidR="00415344">
        <w:t xml:space="preserve">risques opérationnels ; risques associés à une réduction de la capacité de l’UIT </w:t>
      </w:r>
      <w:r w:rsidR="009D1D00">
        <w:t>de</w:t>
      </w:r>
      <w:r w:rsidR="00415344">
        <w:t xml:space="preserve"> réaliser ses objectifs opérationnels. On trouvera ci-dessous une liste indicative des grandes catégories de risques opérationnels identifiés </w:t>
      </w:r>
      <w:r w:rsidR="00570284" w:rsidRPr="006A4846">
        <w:t>:</w:t>
      </w:r>
    </w:p>
    <w:p w14:paraId="3178F9AA" w14:textId="7C70F585" w:rsidR="00570284" w:rsidRPr="006A4846" w:rsidRDefault="00751A18" w:rsidP="00751A18">
      <w:pPr>
        <w:pStyle w:val="enumlev2"/>
      </w:pPr>
      <w:r>
        <w:t>•</w:t>
      </w:r>
      <w:r>
        <w:tab/>
      </w:r>
      <w:r w:rsidR="00415344">
        <w:t xml:space="preserve">organisationnels (c.-à-d. risques qui pourraient </w:t>
      </w:r>
      <w:r w:rsidR="009D1D00">
        <w:t xml:space="preserve">compromettre la capacité de l’organisation de </w:t>
      </w:r>
      <w:r w:rsidR="00ED2D17">
        <w:t xml:space="preserve">fonctionner dans ses bureaux et d’organiser des </w:t>
      </w:r>
      <w:r w:rsidR="008076DF">
        <w:t>opérations critiques) ;</w:t>
      </w:r>
    </w:p>
    <w:p w14:paraId="090EB319" w14:textId="3A987A1F" w:rsidR="00570284" w:rsidRPr="006A4846" w:rsidRDefault="00751A18" w:rsidP="00751A18">
      <w:pPr>
        <w:pStyle w:val="enumlev2"/>
      </w:pPr>
      <w:r>
        <w:t>•</w:t>
      </w:r>
      <w:r>
        <w:tab/>
      </w:r>
      <w:r w:rsidR="008076DF">
        <w:t>i</w:t>
      </w:r>
      <w:r w:rsidR="00570284" w:rsidRPr="006A4846">
        <w:t>nfrastructure (</w:t>
      </w:r>
      <w:r w:rsidR="00BF06A8">
        <w:t xml:space="preserve">c.-à-c. risques </w:t>
      </w:r>
      <w:r w:rsidR="004205F7">
        <w:t>relatifs</w:t>
      </w:r>
      <w:r w:rsidR="00BF06A8">
        <w:t xml:space="preserve"> à l’infrastructure physique ou numérique </w:t>
      </w:r>
      <w:r w:rsidR="004205F7">
        <w:t xml:space="preserve">prenant en charge les besoins de l’organisation) ; </w:t>
      </w:r>
    </w:p>
    <w:p w14:paraId="13F96C60" w14:textId="20D39DDB" w:rsidR="00570284" w:rsidRPr="006A4846" w:rsidRDefault="00751A18" w:rsidP="00751A18">
      <w:pPr>
        <w:pStyle w:val="enumlev2"/>
      </w:pPr>
      <w:r>
        <w:t>•</w:t>
      </w:r>
      <w:r>
        <w:tab/>
      </w:r>
      <w:r w:rsidR="004205F7">
        <w:t xml:space="preserve">ressources humaines </w:t>
      </w:r>
      <w:r w:rsidR="00570284" w:rsidRPr="006A4846">
        <w:t>(</w:t>
      </w:r>
      <w:r w:rsidR="004205F7">
        <w:t>c.-à-d. risques relatifs au personnel) ;</w:t>
      </w:r>
    </w:p>
    <w:p w14:paraId="62BF4B61" w14:textId="627E48C1" w:rsidR="00570284" w:rsidRPr="006A4846" w:rsidRDefault="00751A18" w:rsidP="00751A18">
      <w:pPr>
        <w:pStyle w:val="enumlev2"/>
      </w:pPr>
      <w:r>
        <w:t>•</w:t>
      </w:r>
      <w:r>
        <w:tab/>
      </w:r>
      <w:r w:rsidR="004205F7">
        <w:t>ressources financières (c.-à-d. risques relatifs à la stabilité financière de l’organisation) ;</w:t>
      </w:r>
    </w:p>
    <w:p w14:paraId="5FBBC465" w14:textId="7A1A7F90" w:rsidR="00570284" w:rsidRPr="006A4846" w:rsidRDefault="00751A18" w:rsidP="00751A18">
      <w:pPr>
        <w:pStyle w:val="enumlev2"/>
      </w:pPr>
      <w:r>
        <w:t>•</w:t>
      </w:r>
      <w:r>
        <w:tab/>
      </w:r>
      <w:r w:rsidR="004205F7">
        <w:t>parties prenantes/partenaires (c.-à-d. risques relatifs à des décisions inattendues ayant des conséquences importantes pour l’organisation) ;</w:t>
      </w:r>
    </w:p>
    <w:p w14:paraId="416A2FB5" w14:textId="448A3F1E" w:rsidR="00570284" w:rsidRPr="006A4846" w:rsidRDefault="00751A18" w:rsidP="00751A18">
      <w:pPr>
        <w:pStyle w:val="enumlev2"/>
      </w:pPr>
      <w:r>
        <w:t>•</w:t>
      </w:r>
      <w:r>
        <w:tab/>
      </w:r>
      <w:r w:rsidR="004205F7">
        <w:t>environnement</w:t>
      </w:r>
      <w:r w:rsidR="00570284" w:rsidRPr="006A4846">
        <w:t xml:space="preserve"> (</w:t>
      </w:r>
      <w:r w:rsidR="004205F7">
        <w:t xml:space="preserve">c.-à-d. risques qui pourraient compromettre les </w:t>
      </w:r>
      <w:r w:rsidR="009321C0">
        <w:t>activités</w:t>
      </w:r>
      <w:r w:rsidR="004205F7">
        <w:t xml:space="preserve"> de l’organisation dans une zone géographique particulière).</w:t>
      </w:r>
    </w:p>
    <w:p w14:paraId="21B50481" w14:textId="4312D67E" w:rsidR="00570284" w:rsidRPr="006A4846" w:rsidRDefault="00570284" w:rsidP="00751A18">
      <w:pPr>
        <w:pStyle w:val="Heading2"/>
      </w:pPr>
      <w:r w:rsidRPr="006A4846">
        <w:t>2.2</w:t>
      </w:r>
      <w:r w:rsidRPr="006A4846">
        <w:tab/>
      </w:r>
      <w:r w:rsidR="004205F7" w:rsidRPr="00751A18">
        <w:t>Evaluation</w:t>
      </w:r>
      <w:r w:rsidR="004205F7">
        <w:t xml:space="preserve"> du risque </w:t>
      </w:r>
    </w:p>
    <w:p w14:paraId="387A82DC" w14:textId="3B1959B2" w:rsidR="00570284" w:rsidRPr="006A4846" w:rsidRDefault="004205F7" w:rsidP="00751A18">
      <w:r>
        <w:t xml:space="preserve">Le risque est la combinaison de </w:t>
      </w:r>
      <w:r w:rsidR="00613567">
        <w:t>la probabilité d’un événement et de ses conséquences</w:t>
      </w:r>
      <w:r w:rsidR="00C9070C">
        <w:t xml:space="preserve"> (</w:t>
      </w:r>
      <w:r w:rsidR="00215D8C">
        <w:t>incidence</w:t>
      </w:r>
      <w:r w:rsidR="00C9070C">
        <w:t>)</w:t>
      </w:r>
      <w:r w:rsidR="00613567">
        <w:t xml:space="preserve">. </w:t>
      </w:r>
      <w:r w:rsidR="0062251D">
        <w:t xml:space="preserve">La présente évaluation du risque vise à hiérarchiser, ou </w:t>
      </w:r>
      <w:r w:rsidR="00E264B3">
        <w:t xml:space="preserve">évaluer, le niveau de risque (criticité). Les </w:t>
      </w:r>
      <w:r w:rsidR="00570284" w:rsidRPr="006A4846">
        <w:t xml:space="preserve">Bureaux </w:t>
      </w:r>
      <w:r w:rsidR="00C9070C">
        <w:t>et le Secrétariat général évalueront le niveau de risque en utilisant la matrice ci-dessous </w:t>
      </w:r>
      <w:r w:rsidR="00570284" w:rsidRPr="006A4846">
        <w:t>:</w:t>
      </w:r>
    </w:p>
    <w:p w14:paraId="4EFAFC06" w14:textId="26CC39BD" w:rsidR="00570284" w:rsidRPr="006A4846" w:rsidRDefault="00C9070C" w:rsidP="00751A18">
      <w:pPr>
        <w:pStyle w:val="Figuretitle"/>
        <w:spacing w:after="240"/>
        <w:rPr>
          <w:u w:val="single"/>
        </w:rPr>
      </w:pPr>
      <w:r>
        <w:lastRenderedPageBreak/>
        <w:t xml:space="preserve">Matrice du niveau de risque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50"/>
        <w:gridCol w:w="1510"/>
        <w:gridCol w:w="1596"/>
        <w:gridCol w:w="1596"/>
      </w:tblGrid>
      <w:tr w:rsidR="00570284" w:rsidRPr="006A4846" w14:paraId="4EF3B268" w14:textId="77777777" w:rsidTr="003D63E1">
        <w:trPr>
          <w:jc w:val="center"/>
        </w:trPr>
        <w:tc>
          <w:tcPr>
            <w:tcW w:w="426" w:type="dxa"/>
            <w:vAlign w:val="center"/>
          </w:tcPr>
          <w:p w14:paraId="0DA364AC" w14:textId="77777777" w:rsidR="00570284" w:rsidRPr="006A4846" w:rsidRDefault="00570284" w:rsidP="00526AC6">
            <w:pPr>
              <w:jc w:val="center"/>
              <w:rPr>
                <w:sz w:val="20"/>
              </w:rPr>
            </w:pPr>
          </w:p>
        </w:tc>
        <w:tc>
          <w:tcPr>
            <w:tcW w:w="850" w:type="dxa"/>
            <w:tcBorders>
              <w:right w:val="single" w:sz="4" w:space="0" w:color="4BACC6" w:themeColor="accent5"/>
            </w:tcBorders>
            <w:vAlign w:val="center"/>
          </w:tcPr>
          <w:p w14:paraId="5059E2F0" w14:textId="77777777" w:rsidR="00570284" w:rsidRPr="006A4846" w:rsidRDefault="00570284" w:rsidP="00526AC6">
            <w:pPr>
              <w:jc w:val="center"/>
              <w:rPr>
                <w:sz w:val="20"/>
              </w:rPr>
            </w:pPr>
          </w:p>
        </w:tc>
        <w:tc>
          <w:tcPr>
            <w:tcW w:w="4702" w:type="dxa"/>
            <w:gridSpan w:val="3"/>
            <w:tcBorders>
              <w:top w:val="single" w:sz="4" w:space="0" w:color="4BACC6" w:themeColor="accent5"/>
              <w:left w:val="single" w:sz="4" w:space="0" w:color="4BACC6" w:themeColor="accent5"/>
              <w:right w:val="single" w:sz="4" w:space="0" w:color="4BACC6" w:themeColor="accent5"/>
            </w:tcBorders>
            <w:shd w:val="clear" w:color="auto" w:fill="4472C4"/>
            <w:vAlign w:val="center"/>
          </w:tcPr>
          <w:p w14:paraId="236403D4" w14:textId="5BC7CC5A" w:rsidR="00570284" w:rsidRPr="006A4846" w:rsidRDefault="00215D8C" w:rsidP="00526AC6">
            <w:pPr>
              <w:jc w:val="center"/>
              <w:rPr>
                <w:b/>
                <w:bCs/>
                <w:sz w:val="20"/>
              </w:rPr>
            </w:pPr>
            <w:r>
              <w:rPr>
                <w:b/>
                <w:bCs/>
                <w:color w:val="FFFFFF" w:themeColor="background1"/>
                <w:sz w:val="20"/>
              </w:rPr>
              <w:t>Incidence</w:t>
            </w:r>
          </w:p>
        </w:tc>
      </w:tr>
      <w:tr w:rsidR="00570284" w:rsidRPr="006A4846" w14:paraId="49BA83BB" w14:textId="77777777" w:rsidTr="003D63E1">
        <w:trPr>
          <w:trHeight w:val="141"/>
          <w:jc w:val="center"/>
        </w:trPr>
        <w:tc>
          <w:tcPr>
            <w:tcW w:w="426" w:type="dxa"/>
            <w:tcBorders>
              <w:bottom w:val="single" w:sz="4" w:space="0" w:color="4BACC6" w:themeColor="accent5"/>
            </w:tcBorders>
            <w:vAlign w:val="center"/>
          </w:tcPr>
          <w:p w14:paraId="76102A2D" w14:textId="77777777" w:rsidR="00570284" w:rsidRPr="006A4846" w:rsidRDefault="00570284" w:rsidP="00526AC6">
            <w:pPr>
              <w:jc w:val="center"/>
              <w:rPr>
                <w:sz w:val="20"/>
              </w:rPr>
            </w:pPr>
          </w:p>
        </w:tc>
        <w:tc>
          <w:tcPr>
            <w:tcW w:w="850" w:type="dxa"/>
            <w:vAlign w:val="center"/>
          </w:tcPr>
          <w:p w14:paraId="652EFDDA" w14:textId="77777777" w:rsidR="00570284" w:rsidRPr="006A4846" w:rsidRDefault="00570284" w:rsidP="00526AC6">
            <w:pPr>
              <w:jc w:val="center"/>
              <w:rPr>
                <w:sz w:val="20"/>
              </w:rPr>
            </w:pPr>
          </w:p>
        </w:tc>
        <w:tc>
          <w:tcPr>
            <w:tcW w:w="1510" w:type="dxa"/>
            <w:tcBorders>
              <w:bottom w:val="single" w:sz="4" w:space="0" w:color="auto"/>
            </w:tcBorders>
            <w:shd w:val="clear" w:color="auto" w:fill="auto"/>
            <w:vAlign w:val="center"/>
          </w:tcPr>
          <w:p w14:paraId="56CD77A0" w14:textId="4008A748" w:rsidR="00570284" w:rsidRPr="006A4846" w:rsidRDefault="00C9070C" w:rsidP="00526AC6">
            <w:pPr>
              <w:jc w:val="center"/>
              <w:rPr>
                <w:b/>
                <w:bCs/>
                <w:sz w:val="20"/>
              </w:rPr>
            </w:pPr>
            <w:r>
              <w:rPr>
                <w:b/>
                <w:bCs/>
                <w:sz w:val="20"/>
              </w:rPr>
              <w:t>Faible</w:t>
            </w:r>
          </w:p>
        </w:tc>
        <w:tc>
          <w:tcPr>
            <w:tcW w:w="1596" w:type="dxa"/>
            <w:tcBorders>
              <w:bottom w:val="single" w:sz="4" w:space="0" w:color="auto"/>
            </w:tcBorders>
            <w:shd w:val="clear" w:color="auto" w:fill="auto"/>
            <w:vAlign w:val="center"/>
          </w:tcPr>
          <w:p w14:paraId="23731064" w14:textId="353CFEE6" w:rsidR="00570284" w:rsidRPr="006A4846" w:rsidRDefault="00C9070C" w:rsidP="00526AC6">
            <w:pPr>
              <w:jc w:val="center"/>
              <w:rPr>
                <w:b/>
                <w:bCs/>
                <w:sz w:val="20"/>
              </w:rPr>
            </w:pPr>
            <w:r>
              <w:rPr>
                <w:b/>
                <w:bCs/>
                <w:sz w:val="20"/>
              </w:rPr>
              <w:t>Moyen</w:t>
            </w:r>
          </w:p>
        </w:tc>
        <w:tc>
          <w:tcPr>
            <w:tcW w:w="1596" w:type="dxa"/>
            <w:tcBorders>
              <w:bottom w:val="single" w:sz="4" w:space="0" w:color="auto"/>
            </w:tcBorders>
            <w:shd w:val="clear" w:color="auto" w:fill="auto"/>
            <w:vAlign w:val="center"/>
          </w:tcPr>
          <w:p w14:paraId="104888F3" w14:textId="58120B7B" w:rsidR="00570284" w:rsidRPr="006A4846" w:rsidRDefault="00C9070C" w:rsidP="00526AC6">
            <w:pPr>
              <w:jc w:val="center"/>
              <w:rPr>
                <w:b/>
                <w:bCs/>
                <w:sz w:val="20"/>
              </w:rPr>
            </w:pPr>
            <w:r>
              <w:rPr>
                <w:b/>
                <w:bCs/>
                <w:sz w:val="20"/>
              </w:rPr>
              <w:t>Elevé</w:t>
            </w:r>
          </w:p>
        </w:tc>
      </w:tr>
      <w:tr w:rsidR="00570284" w:rsidRPr="006A4846" w14:paraId="39CBA3EC" w14:textId="77777777" w:rsidTr="003D63E1">
        <w:trPr>
          <w:cantSplit/>
          <w:trHeight w:val="369"/>
          <w:jc w:val="center"/>
        </w:trPr>
        <w:tc>
          <w:tcPr>
            <w:tcW w:w="426" w:type="dxa"/>
            <w:vMerge w:val="restart"/>
            <w:tcBorders>
              <w:top w:val="single" w:sz="4" w:space="0" w:color="4BACC6" w:themeColor="accent5"/>
              <w:left w:val="single" w:sz="4" w:space="0" w:color="4BACC6" w:themeColor="accent5"/>
              <w:bottom w:val="single" w:sz="4" w:space="0" w:color="4BACC6" w:themeColor="accent5"/>
            </w:tcBorders>
            <w:shd w:val="clear" w:color="auto" w:fill="4472C4"/>
            <w:textDirection w:val="btLr"/>
            <w:vAlign w:val="center"/>
          </w:tcPr>
          <w:p w14:paraId="135C7248" w14:textId="4BDE8C4B" w:rsidR="00570284" w:rsidRPr="006A4846" w:rsidRDefault="00C9070C" w:rsidP="00526AC6">
            <w:pPr>
              <w:ind w:left="113" w:right="113"/>
              <w:jc w:val="center"/>
              <w:rPr>
                <w:b/>
                <w:bCs/>
                <w:sz w:val="20"/>
              </w:rPr>
            </w:pPr>
            <w:r>
              <w:rPr>
                <w:b/>
                <w:bCs/>
                <w:color w:val="FFFFFF" w:themeColor="background1"/>
                <w:sz w:val="20"/>
              </w:rPr>
              <w:t>Probabilité</w:t>
            </w:r>
          </w:p>
        </w:tc>
        <w:tc>
          <w:tcPr>
            <w:tcW w:w="850" w:type="dxa"/>
            <w:tcBorders>
              <w:right w:val="single" w:sz="4" w:space="0" w:color="auto"/>
            </w:tcBorders>
            <w:shd w:val="clear" w:color="auto" w:fill="auto"/>
            <w:vAlign w:val="center"/>
          </w:tcPr>
          <w:p w14:paraId="5C98E35C" w14:textId="58F668CD" w:rsidR="00570284" w:rsidRPr="006A4846" w:rsidRDefault="00C9070C" w:rsidP="00526AC6">
            <w:pPr>
              <w:jc w:val="center"/>
              <w:rPr>
                <w:b/>
                <w:bCs/>
                <w:sz w:val="20"/>
              </w:rPr>
            </w:pPr>
            <w:r>
              <w:rPr>
                <w:b/>
                <w:bCs/>
                <w:sz w:val="20"/>
              </w:rPr>
              <w:t>Elevée</w:t>
            </w:r>
          </w:p>
        </w:tc>
        <w:tc>
          <w:tcPr>
            <w:tcW w:w="1510" w:type="dxa"/>
            <w:tcBorders>
              <w:top w:val="single" w:sz="4" w:space="0" w:color="auto"/>
              <w:left w:val="single" w:sz="4" w:space="0" w:color="auto"/>
              <w:bottom w:val="single" w:sz="4" w:space="0" w:color="auto"/>
              <w:right w:val="single" w:sz="4" w:space="0" w:color="auto"/>
            </w:tcBorders>
            <w:shd w:val="clear" w:color="auto" w:fill="FFD757"/>
            <w:vAlign w:val="center"/>
          </w:tcPr>
          <w:p w14:paraId="70572AE4" w14:textId="5366FBC5" w:rsidR="00570284" w:rsidRPr="006A4846" w:rsidRDefault="007E6B87" w:rsidP="007E6B87">
            <w:pPr>
              <w:jc w:val="center"/>
              <w:rPr>
                <w:b/>
                <w:bCs/>
                <w:sz w:val="20"/>
              </w:rPr>
            </w:pPr>
            <w:r>
              <w:rPr>
                <w:b/>
                <w:bCs/>
                <w:sz w:val="20"/>
              </w:rPr>
              <w:t xml:space="preserve">Risque moyen </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5B15714D" w14:textId="581791E1" w:rsidR="00570284" w:rsidRPr="006A4846" w:rsidRDefault="007E6B87" w:rsidP="007E6B87">
            <w:pPr>
              <w:jc w:val="center"/>
              <w:rPr>
                <w:b/>
                <w:bCs/>
                <w:sz w:val="20"/>
              </w:rPr>
            </w:pPr>
            <w:r>
              <w:rPr>
                <w:b/>
                <w:bCs/>
                <w:sz w:val="20"/>
              </w:rPr>
              <w:t xml:space="preserve">Risque élevé </w:t>
            </w:r>
            <w:r w:rsidR="00570284" w:rsidRPr="006A4846">
              <w:rPr>
                <w:b/>
                <w:bCs/>
                <w:sz w:val="20"/>
              </w:rPr>
              <w:t xml:space="preserve"> </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60A87634" w14:textId="242A250D" w:rsidR="00570284" w:rsidRPr="006A4846" w:rsidRDefault="007E6B87" w:rsidP="00526AC6">
            <w:pPr>
              <w:jc w:val="center"/>
              <w:rPr>
                <w:b/>
                <w:bCs/>
                <w:sz w:val="20"/>
              </w:rPr>
            </w:pPr>
            <w:r>
              <w:rPr>
                <w:b/>
                <w:bCs/>
                <w:sz w:val="20"/>
              </w:rPr>
              <w:t>Risque élevé</w:t>
            </w:r>
          </w:p>
        </w:tc>
      </w:tr>
      <w:tr w:rsidR="00570284" w:rsidRPr="006A4846" w14:paraId="0540AAD4" w14:textId="77777777" w:rsidTr="003D63E1">
        <w:trPr>
          <w:cantSplit/>
          <w:trHeight w:val="369"/>
          <w:jc w:val="center"/>
        </w:trPr>
        <w:tc>
          <w:tcPr>
            <w:tcW w:w="426"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14:paraId="545C7850" w14:textId="77777777" w:rsidR="00570284" w:rsidRPr="006A4846" w:rsidRDefault="00570284" w:rsidP="00526AC6">
            <w:pPr>
              <w:jc w:val="center"/>
              <w:rPr>
                <w:sz w:val="20"/>
              </w:rPr>
            </w:pPr>
          </w:p>
        </w:tc>
        <w:tc>
          <w:tcPr>
            <w:tcW w:w="850" w:type="dxa"/>
            <w:tcBorders>
              <w:right w:val="single" w:sz="4" w:space="0" w:color="auto"/>
            </w:tcBorders>
            <w:shd w:val="clear" w:color="auto" w:fill="auto"/>
            <w:vAlign w:val="center"/>
          </w:tcPr>
          <w:p w14:paraId="7A807E42" w14:textId="504B248A" w:rsidR="00570284" w:rsidRPr="006A4846" w:rsidRDefault="00C9070C" w:rsidP="00526AC6">
            <w:pPr>
              <w:jc w:val="center"/>
              <w:rPr>
                <w:b/>
                <w:bCs/>
                <w:sz w:val="20"/>
              </w:rPr>
            </w:pPr>
            <w:r>
              <w:rPr>
                <w:b/>
                <w:bCs/>
                <w:sz w:val="20"/>
              </w:rPr>
              <w:t>Moyenne</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78AB14" w14:textId="3D470519" w:rsidR="00570284" w:rsidRPr="006A4846" w:rsidRDefault="007E6B87" w:rsidP="00526AC6">
            <w:pPr>
              <w:jc w:val="center"/>
              <w:rPr>
                <w:b/>
                <w:bCs/>
                <w:sz w:val="20"/>
              </w:rPr>
            </w:pPr>
            <w:r>
              <w:rPr>
                <w:b/>
                <w:bCs/>
                <w:sz w:val="20"/>
              </w:rPr>
              <w:t>Risque faible</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14:paraId="6647F6E7" w14:textId="2F4C3C9D" w:rsidR="00570284" w:rsidRPr="006A4846" w:rsidRDefault="007E6B87" w:rsidP="00526AC6">
            <w:pPr>
              <w:jc w:val="center"/>
              <w:rPr>
                <w:b/>
                <w:bCs/>
                <w:sz w:val="20"/>
              </w:rPr>
            </w:pPr>
            <w:r>
              <w:rPr>
                <w:b/>
                <w:bCs/>
                <w:sz w:val="20"/>
              </w:rPr>
              <w:t>Risque moyen</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71D7F78C" w14:textId="08545286" w:rsidR="00570284" w:rsidRPr="006A4846" w:rsidRDefault="007E6B87" w:rsidP="00526AC6">
            <w:pPr>
              <w:jc w:val="center"/>
              <w:rPr>
                <w:b/>
                <w:bCs/>
                <w:sz w:val="20"/>
              </w:rPr>
            </w:pPr>
            <w:r>
              <w:rPr>
                <w:b/>
                <w:bCs/>
                <w:sz w:val="20"/>
              </w:rPr>
              <w:t>Risque élevé</w:t>
            </w:r>
          </w:p>
        </w:tc>
      </w:tr>
      <w:tr w:rsidR="00570284" w:rsidRPr="006A4846" w14:paraId="439F7B8C" w14:textId="77777777" w:rsidTr="003D63E1">
        <w:trPr>
          <w:cantSplit/>
          <w:trHeight w:val="369"/>
          <w:jc w:val="center"/>
        </w:trPr>
        <w:tc>
          <w:tcPr>
            <w:tcW w:w="426"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14:paraId="1CE628F6" w14:textId="77777777" w:rsidR="00570284" w:rsidRPr="006A4846" w:rsidRDefault="00570284" w:rsidP="00526AC6">
            <w:pPr>
              <w:jc w:val="center"/>
              <w:rPr>
                <w:sz w:val="20"/>
              </w:rPr>
            </w:pPr>
          </w:p>
        </w:tc>
        <w:tc>
          <w:tcPr>
            <w:tcW w:w="850" w:type="dxa"/>
            <w:tcBorders>
              <w:right w:val="single" w:sz="4" w:space="0" w:color="auto"/>
            </w:tcBorders>
            <w:shd w:val="clear" w:color="auto" w:fill="auto"/>
            <w:vAlign w:val="center"/>
          </w:tcPr>
          <w:p w14:paraId="44BE23B5" w14:textId="5444D9C0" w:rsidR="00570284" w:rsidRPr="006A4846" w:rsidRDefault="00C9070C" w:rsidP="00526AC6">
            <w:pPr>
              <w:jc w:val="center"/>
              <w:rPr>
                <w:b/>
                <w:bCs/>
                <w:sz w:val="20"/>
              </w:rPr>
            </w:pPr>
            <w:r>
              <w:rPr>
                <w:b/>
                <w:bCs/>
                <w:sz w:val="20"/>
              </w:rPr>
              <w:t>Faible</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6CB563" w14:textId="4AEE6B46" w:rsidR="00570284" w:rsidRPr="006A4846" w:rsidRDefault="007E6B87" w:rsidP="00526AC6">
            <w:pPr>
              <w:jc w:val="center"/>
              <w:rPr>
                <w:b/>
                <w:bCs/>
                <w:sz w:val="20"/>
              </w:rPr>
            </w:pPr>
            <w:r>
              <w:rPr>
                <w:b/>
                <w:bCs/>
                <w:sz w:val="20"/>
              </w:rPr>
              <w:t>Risque faible</w:t>
            </w:r>
          </w:p>
        </w:tc>
        <w:tc>
          <w:tcPr>
            <w:tcW w:w="15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77809D" w14:textId="19A3FB9E" w:rsidR="00570284" w:rsidRPr="006A4846" w:rsidRDefault="007E6B87" w:rsidP="00526AC6">
            <w:pPr>
              <w:jc w:val="center"/>
              <w:rPr>
                <w:b/>
                <w:bCs/>
                <w:sz w:val="20"/>
              </w:rPr>
            </w:pPr>
            <w:r>
              <w:rPr>
                <w:b/>
                <w:bCs/>
                <w:sz w:val="20"/>
              </w:rPr>
              <w:t>Risque faible</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14:paraId="298DE539" w14:textId="59042462" w:rsidR="00570284" w:rsidRPr="006A4846" w:rsidRDefault="007E6B87" w:rsidP="00526AC6">
            <w:pPr>
              <w:jc w:val="center"/>
              <w:rPr>
                <w:b/>
                <w:bCs/>
                <w:sz w:val="20"/>
              </w:rPr>
            </w:pPr>
            <w:r>
              <w:rPr>
                <w:b/>
                <w:bCs/>
                <w:sz w:val="20"/>
              </w:rPr>
              <w:t>Risque moyen</w:t>
            </w:r>
          </w:p>
        </w:tc>
      </w:tr>
    </w:tbl>
    <w:p w14:paraId="58537A68" w14:textId="77777777" w:rsidR="00570284" w:rsidRPr="006A4846" w:rsidRDefault="00570284" w:rsidP="00570284">
      <w:pPr>
        <w:spacing w:line="276" w:lineRule="auto"/>
      </w:pPr>
    </w:p>
    <w:p w14:paraId="158BCBBD" w14:textId="0091F388" w:rsidR="00570284" w:rsidRPr="006A4846" w:rsidRDefault="007E6B87" w:rsidP="00751A18">
      <w:r>
        <w:t xml:space="preserve">La probabilité et </w:t>
      </w:r>
      <w:r w:rsidR="00215D8C">
        <w:t>l’incidence</w:t>
      </w:r>
      <w:r>
        <w:t xml:space="preserve"> sont mesuré</w:t>
      </w:r>
      <w:r w:rsidR="00215D8C">
        <w:t>e</w:t>
      </w:r>
      <w:r>
        <w:t>s à différents niveaux selon les tableaux ci-dessous</w:t>
      </w:r>
      <w:r w:rsidR="00570284" w:rsidRPr="006A4846">
        <w:t>.</w:t>
      </w:r>
    </w:p>
    <w:p w14:paraId="2F13D0FA" w14:textId="373C4BAF" w:rsidR="00570284" w:rsidRPr="006A4846" w:rsidRDefault="007E6B87" w:rsidP="00751A18">
      <w:pPr>
        <w:pStyle w:val="Figuretitle"/>
        <w:spacing w:after="240"/>
      </w:pPr>
      <w:r>
        <w:t>Probabilité</w:t>
      </w:r>
    </w:p>
    <w:tbl>
      <w:tblPr>
        <w:tblStyle w:val="ListTable3-Accent51"/>
        <w:tblW w:w="6020" w:type="dxa"/>
        <w:jc w:val="center"/>
        <w:tblLook w:val="04A0" w:firstRow="1" w:lastRow="0" w:firstColumn="1" w:lastColumn="0" w:noHBand="0" w:noVBand="1"/>
      </w:tblPr>
      <w:tblGrid>
        <w:gridCol w:w="1010"/>
        <w:gridCol w:w="5102"/>
      </w:tblGrid>
      <w:tr w:rsidR="00570284" w:rsidRPr="006A4846" w14:paraId="5C85ED52" w14:textId="77777777" w:rsidTr="00526AC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hideMark/>
          </w:tcPr>
          <w:p w14:paraId="2644CCF5" w14:textId="1B7A8252" w:rsidR="00570284" w:rsidRPr="006A4846" w:rsidRDefault="007E6B87" w:rsidP="00E92B74">
            <w:pPr>
              <w:keepNext/>
              <w:keepLines/>
              <w:jc w:val="center"/>
              <w:rPr>
                <w:rFonts w:eastAsia="Times New Roman"/>
                <w:b w:val="0"/>
                <w:bCs w:val="0"/>
                <w:color w:val="FFFFFF"/>
                <w:sz w:val="20"/>
                <w:szCs w:val="20"/>
              </w:rPr>
            </w:pPr>
            <w:r>
              <w:rPr>
                <w:rFonts w:eastAsia="Times New Roman"/>
                <w:color w:val="FFFFFF"/>
                <w:sz w:val="20"/>
                <w:szCs w:val="20"/>
              </w:rPr>
              <w:t>Niveau</w:t>
            </w:r>
          </w:p>
        </w:tc>
        <w:tc>
          <w:tcPr>
            <w:tcW w:w="5102" w:type="dxa"/>
            <w:shd w:val="clear" w:color="auto" w:fill="4472C4"/>
            <w:vAlign w:val="center"/>
            <w:hideMark/>
          </w:tcPr>
          <w:p w14:paraId="38778714" w14:textId="77777777" w:rsidR="00570284" w:rsidRPr="006A4846" w:rsidRDefault="00570284" w:rsidP="00E92B74">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6A4846">
              <w:rPr>
                <w:rFonts w:eastAsia="Times New Roman"/>
                <w:color w:val="FFFFFF"/>
                <w:sz w:val="20"/>
                <w:szCs w:val="20"/>
              </w:rPr>
              <w:t>Justification</w:t>
            </w:r>
          </w:p>
        </w:tc>
      </w:tr>
      <w:tr w:rsidR="00570284" w:rsidRPr="006A4846" w14:paraId="1AEB5112" w14:textId="77777777" w:rsidTr="00526A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18EE4193" w14:textId="2E55A12F" w:rsidR="00570284" w:rsidRPr="006A4846" w:rsidRDefault="007E6B87" w:rsidP="00E92B74">
            <w:pPr>
              <w:keepNext/>
              <w:keepLines/>
              <w:rPr>
                <w:rFonts w:eastAsia="Times New Roman"/>
                <w:color w:val="000000"/>
                <w:sz w:val="20"/>
                <w:szCs w:val="20"/>
              </w:rPr>
            </w:pPr>
            <w:r>
              <w:rPr>
                <w:rFonts w:eastAsia="Times New Roman"/>
                <w:color w:val="000000"/>
                <w:sz w:val="20"/>
                <w:szCs w:val="20"/>
              </w:rPr>
              <w:t>Faible</w:t>
            </w:r>
          </w:p>
        </w:tc>
        <w:tc>
          <w:tcPr>
            <w:tcW w:w="5102" w:type="dxa"/>
            <w:noWrap/>
            <w:vAlign w:val="center"/>
            <w:hideMark/>
          </w:tcPr>
          <w:p w14:paraId="075675A1" w14:textId="07000D8A" w:rsidR="00570284" w:rsidRPr="006A4846" w:rsidRDefault="00F40A30" w:rsidP="00F40A30">
            <w:pPr>
              <w:keepNext/>
              <w:keepLines/>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 xml:space="preserve">Evénement très peu probable </w:t>
            </w:r>
          </w:p>
        </w:tc>
      </w:tr>
      <w:tr w:rsidR="00570284" w:rsidRPr="006A4846" w14:paraId="273B91E2" w14:textId="77777777" w:rsidTr="00526AC6">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5091E020" w14:textId="1AE1BC22" w:rsidR="00570284" w:rsidRPr="006A4846" w:rsidRDefault="007E6B87" w:rsidP="00E92B74">
            <w:pPr>
              <w:keepNext/>
              <w:keepLines/>
              <w:rPr>
                <w:rFonts w:eastAsia="Times New Roman"/>
                <w:color w:val="000000"/>
                <w:sz w:val="20"/>
                <w:szCs w:val="20"/>
              </w:rPr>
            </w:pPr>
            <w:r>
              <w:rPr>
                <w:rFonts w:eastAsia="Times New Roman"/>
                <w:color w:val="000000"/>
                <w:sz w:val="20"/>
                <w:szCs w:val="20"/>
              </w:rPr>
              <w:t>Moyenne</w:t>
            </w:r>
          </w:p>
        </w:tc>
        <w:tc>
          <w:tcPr>
            <w:tcW w:w="5102" w:type="dxa"/>
            <w:noWrap/>
            <w:vAlign w:val="center"/>
            <w:hideMark/>
          </w:tcPr>
          <w:p w14:paraId="07501B7F" w14:textId="06A44B40" w:rsidR="00570284" w:rsidRPr="006A4846" w:rsidRDefault="00F40A30" w:rsidP="00F40A30">
            <w:pPr>
              <w:keepNext/>
              <w:keepLines/>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Pr>
                <w:rFonts w:eastAsia="Times New Roman"/>
                <w:color w:val="000000"/>
                <w:sz w:val="20"/>
                <w:szCs w:val="20"/>
              </w:rPr>
              <w:t>Evénement probable</w:t>
            </w:r>
            <w:r w:rsidR="00570284" w:rsidRPr="006A4846">
              <w:rPr>
                <w:rFonts w:eastAsia="Times New Roman"/>
                <w:color w:val="000000"/>
                <w:sz w:val="20"/>
                <w:szCs w:val="20"/>
              </w:rPr>
              <w:t xml:space="preserve"> </w:t>
            </w:r>
          </w:p>
        </w:tc>
      </w:tr>
      <w:tr w:rsidR="00570284" w:rsidRPr="006A4846" w14:paraId="79F2FC55" w14:textId="77777777" w:rsidTr="00526A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33584E2A" w14:textId="1F600890" w:rsidR="00570284" w:rsidRPr="006A4846" w:rsidRDefault="007E6B87" w:rsidP="00E92B74">
            <w:pPr>
              <w:keepNext/>
              <w:keepLines/>
              <w:rPr>
                <w:rFonts w:eastAsia="Times New Roman"/>
                <w:color w:val="000000"/>
                <w:sz w:val="20"/>
                <w:szCs w:val="20"/>
              </w:rPr>
            </w:pPr>
            <w:r>
              <w:rPr>
                <w:rFonts w:eastAsia="Times New Roman"/>
                <w:color w:val="000000"/>
                <w:sz w:val="20"/>
                <w:szCs w:val="20"/>
              </w:rPr>
              <w:t>Elevée</w:t>
            </w:r>
          </w:p>
        </w:tc>
        <w:tc>
          <w:tcPr>
            <w:tcW w:w="5102" w:type="dxa"/>
            <w:noWrap/>
            <w:vAlign w:val="center"/>
            <w:hideMark/>
          </w:tcPr>
          <w:p w14:paraId="5DBB6A89" w14:textId="736D177E" w:rsidR="00570284" w:rsidRPr="006A4846" w:rsidRDefault="00F40A30" w:rsidP="00F40A30">
            <w:pPr>
              <w:keepNext/>
              <w:keepLines/>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Evénement très probable</w:t>
            </w:r>
          </w:p>
        </w:tc>
      </w:tr>
    </w:tbl>
    <w:p w14:paraId="79C73EAA" w14:textId="606BB04A" w:rsidR="00570284" w:rsidRPr="006A4846" w:rsidRDefault="00215D8C" w:rsidP="00751A18">
      <w:pPr>
        <w:pStyle w:val="Figuretitle"/>
        <w:spacing w:after="240"/>
      </w:pPr>
      <w:r>
        <w:t>Incidence</w:t>
      </w:r>
      <w:r w:rsidR="00F40A30">
        <w:t xml:space="preserve"> du risque</w:t>
      </w:r>
    </w:p>
    <w:tbl>
      <w:tblPr>
        <w:tblStyle w:val="ListTable3-Accent51"/>
        <w:tblW w:w="8572" w:type="dxa"/>
        <w:jc w:val="center"/>
        <w:tblLook w:val="04A0" w:firstRow="1" w:lastRow="0" w:firstColumn="1" w:lastColumn="0" w:noHBand="0" w:noVBand="1"/>
      </w:tblPr>
      <w:tblGrid>
        <w:gridCol w:w="918"/>
        <w:gridCol w:w="7654"/>
      </w:tblGrid>
      <w:tr w:rsidR="00570284" w:rsidRPr="006A4846" w14:paraId="560C64C5" w14:textId="77777777" w:rsidTr="00526AC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hideMark/>
          </w:tcPr>
          <w:p w14:paraId="6BBBEE46" w14:textId="729F82B9" w:rsidR="00570284" w:rsidRPr="006A4846" w:rsidRDefault="00F40A30" w:rsidP="00526AC6">
            <w:pPr>
              <w:jc w:val="center"/>
              <w:rPr>
                <w:rFonts w:eastAsia="Times New Roman"/>
                <w:b w:val="0"/>
                <w:bCs w:val="0"/>
                <w:color w:val="FFFFFF"/>
                <w:sz w:val="20"/>
                <w:szCs w:val="20"/>
              </w:rPr>
            </w:pPr>
            <w:r>
              <w:rPr>
                <w:rFonts w:eastAsia="Times New Roman"/>
                <w:color w:val="FFFFFF"/>
                <w:sz w:val="20"/>
                <w:szCs w:val="20"/>
              </w:rPr>
              <w:t>Niveau</w:t>
            </w:r>
          </w:p>
        </w:tc>
        <w:tc>
          <w:tcPr>
            <w:tcW w:w="7654" w:type="dxa"/>
            <w:shd w:val="clear" w:color="auto" w:fill="4472C4"/>
            <w:vAlign w:val="center"/>
            <w:hideMark/>
          </w:tcPr>
          <w:p w14:paraId="23B0F0A3" w14:textId="77777777" w:rsidR="00570284" w:rsidRPr="006A4846" w:rsidRDefault="00570284" w:rsidP="00526AC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6A4846">
              <w:rPr>
                <w:rFonts w:eastAsia="Times New Roman"/>
                <w:color w:val="FFFFFF"/>
                <w:sz w:val="20"/>
                <w:szCs w:val="20"/>
              </w:rPr>
              <w:t>Justification</w:t>
            </w:r>
          </w:p>
        </w:tc>
      </w:tr>
      <w:tr w:rsidR="00570284" w:rsidRPr="006B07D3" w14:paraId="653C0D66" w14:textId="77777777" w:rsidTr="00526A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3482C550" w14:textId="408723A7" w:rsidR="00570284" w:rsidRPr="006A4846" w:rsidRDefault="00F40A30" w:rsidP="00526AC6">
            <w:pPr>
              <w:rPr>
                <w:rFonts w:eastAsia="Times New Roman"/>
                <w:color w:val="000000"/>
                <w:sz w:val="20"/>
                <w:szCs w:val="20"/>
              </w:rPr>
            </w:pPr>
            <w:r>
              <w:rPr>
                <w:rFonts w:eastAsia="Times New Roman"/>
                <w:color w:val="000000"/>
                <w:sz w:val="20"/>
                <w:szCs w:val="20"/>
              </w:rPr>
              <w:t>Faible</w:t>
            </w:r>
            <w:r w:rsidR="00570284" w:rsidRPr="006A4846">
              <w:rPr>
                <w:rFonts w:eastAsia="Times New Roman"/>
                <w:color w:val="000000"/>
                <w:sz w:val="20"/>
                <w:szCs w:val="20"/>
              </w:rPr>
              <w:t xml:space="preserve"> </w:t>
            </w:r>
          </w:p>
        </w:tc>
        <w:tc>
          <w:tcPr>
            <w:tcW w:w="7654" w:type="dxa"/>
            <w:noWrap/>
            <w:vAlign w:val="center"/>
            <w:hideMark/>
          </w:tcPr>
          <w:p w14:paraId="17D86F8C" w14:textId="52B57D06" w:rsidR="00570284" w:rsidRPr="006A4846" w:rsidRDefault="00215D8C" w:rsidP="00093DD4">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Incidence mineure sur les activités, la réputation ou l</w:t>
            </w:r>
            <w:r w:rsidR="00093DD4">
              <w:rPr>
                <w:rFonts w:eastAsia="Times New Roman"/>
                <w:color w:val="000000"/>
                <w:sz w:val="20"/>
                <w:szCs w:val="20"/>
              </w:rPr>
              <w:t>a stabilité financière</w:t>
            </w:r>
          </w:p>
        </w:tc>
      </w:tr>
      <w:tr w:rsidR="00570284" w:rsidRPr="006B07D3" w14:paraId="6644E2EC" w14:textId="77777777" w:rsidTr="00526AC6">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4BDADD18" w14:textId="23D79F1B" w:rsidR="00570284" w:rsidRPr="006A4846" w:rsidRDefault="00F40A30" w:rsidP="00526AC6">
            <w:pPr>
              <w:rPr>
                <w:rFonts w:eastAsia="Times New Roman"/>
                <w:color w:val="000000"/>
                <w:sz w:val="20"/>
                <w:szCs w:val="20"/>
              </w:rPr>
            </w:pPr>
            <w:r>
              <w:rPr>
                <w:rFonts w:eastAsia="Times New Roman"/>
                <w:color w:val="000000"/>
                <w:sz w:val="20"/>
                <w:szCs w:val="20"/>
              </w:rPr>
              <w:t>Moyen</w:t>
            </w:r>
          </w:p>
        </w:tc>
        <w:tc>
          <w:tcPr>
            <w:tcW w:w="7654" w:type="dxa"/>
            <w:noWrap/>
            <w:vAlign w:val="center"/>
            <w:hideMark/>
          </w:tcPr>
          <w:p w14:paraId="2660AFCC" w14:textId="5828B99E" w:rsidR="00570284" w:rsidRPr="006A4846" w:rsidRDefault="00093DD4" w:rsidP="00093DD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Pr>
                <w:rFonts w:eastAsia="Times New Roman"/>
                <w:color w:val="000000"/>
                <w:sz w:val="20"/>
                <w:szCs w:val="20"/>
              </w:rPr>
              <w:t>Incidence marquée sur les activités, la réputation ou la stabilité financière</w:t>
            </w:r>
          </w:p>
        </w:tc>
      </w:tr>
      <w:tr w:rsidR="00570284" w:rsidRPr="006B07D3" w14:paraId="717FE295" w14:textId="77777777" w:rsidTr="00526A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7BC27250" w14:textId="66240EED" w:rsidR="00570284" w:rsidRPr="006A4846" w:rsidRDefault="00F40A30" w:rsidP="00526AC6">
            <w:pPr>
              <w:rPr>
                <w:rFonts w:eastAsia="Times New Roman"/>
                <w:color w:val="000000"/>
                <w:sz w:val="20"/>
                <w:szCs w:val="20"/>
              </w:rPr>
            </w:pPr>
            <w:r>
              <w:rPr>
                <w:rFonts w:eastAsia="Times New Roman"/>
                <w:color w:val="000000"/>
                <w:sz w:val="20"/>
                <w:szCs w:val="20"/>
              </w:rPr>
              <w:t>Elevé</w:t>
            </w:r>
            <w:r w:rsidR="00570284" w:rsidRPr="006A4846">
              <w:rPr>
                <w:rFonts w:eastAsia="Times New Roman"/>
                <w:color w:val="000000"/>
                <w:sz w:val="20"/>
                <w:szCs w:val="20"/>
              </w:rPr>
              <w:t xml:space="preserve"> </w:t>
            </w:r>
          </w:p>
        </w:tc>
        <w:tc>
          <w:tcPr>
            <w:tcW w:w="7654" w:type="dxa"/>
            <w:noWrap/>
            <w:vAlign w:val="center"/>
            <w:hideMark/>
          </w:tcPr>
          <w:p w14:paraId="6DA86D8E" w14:textId="02AD790A" w:rsidR="00570284" w:rsidRPr="006A4846" w:rsidRDefault="00093DD4" w:rsidP="00093DD4">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Incidence critique sur les activités, la réputation ou la stabilité financière – exige une attention immédiate</w:t>
            </w:r>
          </w:p>
        </w:tc>
      </w:tr>
    </w:tbl>
    <w:p w14:paraId="52247406" w14:textId="3263BF6F" w:rsidR="00570284" w:rsidRPr="006A4846" w:rsidRDefault="00570284" w:rsidP="00751A18">
      <w:pPr>
        <w:pStyle w:val="Heading2"/>
      </w:pPr>
      <w:r w:rsidRPr="006A4846">
        <w:t>2.3</w:t>
      </w:r>
      <w:r w:rsidRPr="006A4846">
        <w:tab/>
      </w:r>
      <w:r w:rsidR="00093DD4" w:rsidRPr="00751A18">
        <w:t>Traitement</w:t>
      </w:r>
      <w:r w:rsidR="00093DD4">
        <w:t xml:space="preserve"> du risque </w:t>
      </w:r>
    </w:p>
    <w:p w14:paraId="5B83FACC" w14:textId="76D55CFA" w:rsidR="00570284" w:rsidRPr="006A4846" w:rsidRDefault="00B13C55" w:rsidP="00751A18">
      <w:r>
        <w:t>Définir une intervention en cas de risque signifie choisir une mesure appropriée au risque visé. Il existe trois interventions possibles en cas de risque </w:t>
      </w:r>
      <w:r w:rsidR="00570284" w:rsidRPr="006A4846">
        <w:t>:</w:t>
      </w:r>
    </w:p>
    <w:p w14:paraId="71393E2C" w14:textId="77809403" w:rsidR="00570284" w:rsidRPr="006A4846" w:rsidRDefault="00751A18" w:rsidP="00751A18">
      <w:pPr>
        <w:pStyle w:val="enumlev1"/>
      </w:pPr>
      <w:r>
        <w:t>–</w:t>
      </w:r>
      <w:r>
        <w:tab/>
      </w:r>
      <w:r w:rsidR="009204AB">
        <w:rPr>
          <w:b/>
          <w:bCs/>
        </w:rPr>
        <w:t>a</w:t>
      </w:r>
      <w:r w:rsidR="00570284" w:rsidRPr="006A4846">
        <w:rPr>
          <w:b/>
          <w:bCs/>
        </w:rPr>
        <w:t>ccepta</w:t>
      </w:r>
      <w:r w:rsidR="00B13C55">
        <w:rPr>
          <w:b/>
          <w:bCs/>
        </w:rPr>
        <w:t>tion </w:t>
      </w:r>
      <w:r w:rsidR="00B13C55" w:rsidRPr="00FE5F62">
        <w:rPr>
          <w:bCs/>
        </w:rPr>
        <w:t>:</w:t>
      </w:r>
      <w:r w:rsidR="00570284" w:rsidRPr="006A4846">
        <w:t xml:space="preserve"> </w:t>
      </w:r>
      <w:r w:rsidR="00B13C55">
        <w:t>le risque est déterminé, mais comme il est assez faible et que son incidence est insignifiante, ou comme les efforts d’atténuation sont supérieurs aux conséquences, le risque est accepté et aucune mesure particulière n’est prise pour l’atténuer </w:t>
      </w:r>
      <w:r w:rsidR="00570284" w:rsidRPr="006A4846">
        <w:t>;</w:t>
      </w:r>
    </w:p>
    <w:p w14:paraId="3C130490" w14:textId="186AEAD8" w:rsidR="00570284" w:rsidRPr="006A4846" w:rsidRDefault="00751A18" w:rsidP="00751A18">
      <w:pPr>
        <w:pStyle w:val="enumlev1"/>
      </w:pPr>
      <w:r>
        <w:t>–</w:t>
      </w:r>
      <w:r>
        <w:tab/>
      </w:r>
      <w:r w:rsidR="009204AB">
        <w:rPr>
          <w:b/>
          <w:bCs/>
        </w:rPr>
        <w:t>a</w:t>
      </w:r>
      <w:r w:rsidR="002F21AE">
        <w:rPr>
          <w:b/>
          <w:bCs/>
        </w:rPr>
        <w:t xml:space="preserve">tténuation </w:t>
      </w:r>
      <w:r w:rsidR="00570284" w:rsidRPr="006A4846">
        <w:t xml:space="preserve">: </w:t>
      </w:r>
      <w:r w:rsidR="00FE5F62">
        <w:t xml:space="preserve">le risque est déterminé, mais des mesures ont déjà été prises ou sont en cours pour réduire/éviter le risque ; et </w:t>
      </w:r>
    </w:p>
    <w:p w14:paraId="40A2D56A" w14:textId="5E67BE74" w:rsidR="00570284" w:rsidRPr="006A4846" w:rsidRDefault="00751A18" w:rsidP="00751A18">
      <w:pPr>
        <w:pStyle w:val="enumlev1"/>
      </w:pPr>
      <w:r>
        <w:t>–</w:t>
      </w:r>
      <w:r>
        <w:tab/>
      </w:r>
      <w:r w:rsidR="009204AB">
        <w:rPr>
          <w:b/>
          <w:bCs/>
        </w:rPr>
        <w:t>t</w:t>
      </w:r>
      <w:r w:rsidR="00570284" w:rsidRPr="006A4846">
        <w:rPr>
          <w:b/>
          <w:bCs/>
        </w:rPr>
        <w:t>ransfer</w:t>
      </w:r>
      <w:r w:rsidR="00FE5F62">
        <w:rPr>
          <w:b/>
          <w:bCs/>
        </w:rPr>
        <w:t xml:space="preserve">t </w:t>
      </w:r>
      <w:r w:rsidR="00570284" w:rsidRPr="006A4846">
        <w:t xml:space="preserve">: </w:t>
      </w:r>
      <w:r w:rsidR="00FE5F62">
        <w:t>le risque</w:t>
      </w:r>
      <w:r w:rsidR="00570284" w:rsidRPr="006A4846">
        <w:t xml:space="preserve"> </w:t>
      </w:r>
      <w:r w:rsidR="00FE5F62">
        <w:t xml:space="preserve">est identifié, la responsabilité du risque reste </w:t>
      </w:r>
      <w:r w:rsidR="005300E2">
        <w:t>auprès du pilote de risque mais la gestion des mesures d’atténuation du risque est attribuée au niveau approprié : autre département, division, section, unité, ou externalisée</w:t>
      </w:r>
      <w:r w:rsidR="00570284" w:rsidRPr="006A4846">
        <w:t>.</w:t>
      </w:r>
    </w:p>
    <w:p w14:paraId="41E219D3" w14:textId="1BEAE476" w:rsidR="00570284" w:rsidRPr="006A4846" w:rsidRDefault="00570284" w:rsidP="00751A18">
      <w:pPr>
        <w:pStyle w:val="Heading1"/>
      </w:pPr>
      <w:r w:rsidRPr="006A4846">
        <w:t>3</w:t>
      </w:r>
      <w:r w:rsidRPr="006A4846">
        <w:tab/>
      </w:r>
      <w:r w:rsidR="008A60C7">
        <w:t>Suivi et examen</w:t>
      </w:r>
    </w:p>
    <w:p w14:paraId="1A059716" w14:textId="57448A15" w:rsidR="00570284" w:rsidRPr="006A4846" w:rsidRDefault="008A60C7" w:rsidP="00751A18">
      <w:pPr>
        <w:pStyle w:val="Headingb"/>
      </w:pPr>
      <w:r>
        <w:t>Examen et mise à jour du registre des risques</w:t>
      </w:r>
    </w:p>
    <w:p w14:paraId="6381DBE4" w14:textId="67CB7AAF" w:rsidR="00570284" w:rsidRPr="006A4846" w:rsidRDefault="00500342" w:rsidP="00751A18">
      <w:r>
        <w:t>L’UIT tiend</w:t>
      </w:r>
      <w:r w:rsidR="009321C0">
        <w:t>ra une liste des risques</w:t>
      </w:r>
      <w:r>
        <w:t xml:space="preserve"> </w:t>
      </w:r>
      <w:r w:rsidR="00B5471D">
        <w:t>auxquels</w:t>
      </w:r>
      <w:r>
        <w:t xml:space="preserve"> elle fait face, ainsi que des mesures d’</w:t>
      </w:r>
      <w:r w:rsidR="00B5471D">
        <w:t>atténuation</w:t>
      </w:r>
      <w:r>
        <w:t xml:space="preserve"> correspondantes. Les risques sont examinés régulièrement comme suit </w:t>
      </w:r>
      <w:r w:rsidR="00570284" w:rsidRPr="006A4846">
        <w:t>:</w:t>
      </w:r>
    </w:p>
    <w:p w14:paraId="07DD9CD0" w14:textId="6A6DAE92" w:rsidR="00570284" w:rsidRPr="006A4846" w:rsidRDefault="00751A18" w:rsidP="00751A18">
      <w:pPr>
        <w:pStyle w:val="enumlev1"/>
      </w:pPr>
      <w:r>
        <w:lastRenderedPageBreak/>
        <w:t>–</w:t>
      </w:r>
      <w:r>
        <w:tab/>
      </w:r>
      <w:r w:rsidR="00F963E3">
        <w:t xml:space="preserve">l’examen des risques stratégiques et opérationnels est intégré dans les </w:t>
      </w:r>
      <w:r w:rsidR="00D857E3">
        <w:t xml:space="preserve">processus opérationnels de l’UIT plutôt que d’être traité comme un exercice périodique ; </w:t>
      </w:r>
    </w:p>
    <w:p w14:paraId="5BD58904" w14:textId="7B63093E" w:rsidR="00570284" w:rsidRPr="006A4846" w:rsidRDefault="00751A18" w:rsidP="00751A18">
      <w:pPr>
        <w:pStyle w:val="enumlev1"/>
      </w:pPr>
      <w:r>
        <w:t>–</w:t>
      </w:r>
      <w:r>
        <w:tab/>
      </w:r>
      <w:r w:rsidR="000E35AD">
        <w:t>les Bureaux et le Secrétariat général procèdent à un examen annuel des risques opérationnels, en mettant en évidence, en analysant et en évaluant les risques nouveaux ou existants, dans le cadre du processus d’élaboration des plan opérationnels ;</w:t>
      </w:r>
    </w:p>
    <w:p w14:paraId="29F633CC" w14:textId="741DE17D" w:rsidR="00570284" w:rsidRPr="006A4846" w:rsidRDefault="00751A18" w:rsidP="00751A18">
      <w:pPr>
        <w:pStyle w:val="enumlev1"/>
      </w:pPr>
      <w:r>
        <w:t>–</w:t>
      </w:r>
      <w:r>
        <w:tab/>
      </w:r>
      <w:r w:rsidR="00746299">
        <w:t>il est procédé à une synthèse d</w:t>
      </w:r>
      <w:r w:rsidR="00D857E3">
        <w:t xml:space="preserve">es risques examinés des plans opérationnels des Secteurs et du Secrétariat général </w:t>
      </w:r>
      <w:r w:rsidR="00746299">
        <w:t>et les membres de l’équipe de direction examinent collectivement tous les risques opérationnels et stratégiques ; et</w:t>
      </w:r>
    </w:p>
    <w:p w14:paraId="652DEEAD" w14:textId="423FB08B" w:rsidR="00570284" w:rsidRPr="006A4846" w:rsidRDefault="00751A18" w:rsidP="00751A18">
      <w:pPr>
        <w:pStyle w:val="enumlev1"/>
      </w:pPr>
      <w:r>
        <w:t>–</w:t>
      </w:r>
      <w:r>
        <w:tab/>
      </w:r>
      <w:r w:rsidR="000E35AD">
        <w:t>les risques opérationnels sont communiqués aux membres et font l’objet de consultations avec ces derniers dans le cadre des plans opérationnels. Les groupes consultatifs des Secteurs ont la possibilité de les examiner et le Conseil procédera à un examen final des risques et des mesures d’atténuation à mettre en œuvre.</w:t>
      </w:r>
    </w:p>
    <w:p w14:paraId="2E2A4D52" w14:textId="52CC9073" w:rsidR="00570284" w:rsidRPr="006A4846" w:rsidRDefault="00570284" w:rsidP="00751A18">
      <w:pPr>
        <w:pStyle w:val="Heading1"/>
      </w:pPr>
      <w:r w:rsidRPr="006A4846">
        <w:t>4</w:t>
      </w:r>
      <w:r w:rsidRPr="006A4846">
        <w:tab/>
      </w:r>
      <w:r w:rsidR="00746299" w:rsidRPr="006A4846">
        <w:t>Rôles</w:t>
      </w:r>
      <w:r w:rsidRPr="006A4846">
        <w:t xml:space="preserve"> </w:t>
      </w:r>
      <w:r w:rsidR="00746299">
        <w:t>et</w:t>
      </w:r>
      <w:r w:rsidRPr="006A4846">
        <w:t xml:space="preserve"> </w:t>
      </w:r>
      <w:r w:rsidR="00746299" w:rsidRPr="00751A18">
        <w:t>responsabilités</w:t>
      </w:r>
    </w:p>
    <w:tbl>
      <w:tblPr>
        <w:tblStyle w:val="ListTable3-Accent51"/>
        <w:tblW w:w="0" w:type="auto"/>
        <w:tblLook w:val="04A0" w:firstRow="1" w:lastRow="0" w:firstColumn="1" w:lastColumn="0" w:noHBand="0" w:noVBand="1"/>
      </w:tblPr>
      <w:tblGrid>
        <w:gridCol w:w="1838"/>
        <w:gridCol w:w="3119"/>
        <w:gridCol w:w="4393"/>
      </w:tblGrid>
      <w:tr w:rsidR="00570284" w:rsidRPr="006A4846" w14:paraId="7CB56E4D" w14:textId="77777777" w:rsidTr="00526A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shd w:val="clear" w:color="auto" w:fill="4472C4"/>
          </w:tcPr>
          <w:p w14:paraId="27E520E7" w14:textId="6281127A" w:rsidR="00570284" w:rsidRPr="006A4846" w:rsidRDefault="001A1A5E" w:rsidP="00526AC6">
            <w:pPr>
              <w:keepNext/>
              <w:keepLines/>
              <w:spacing w:after="120"/>
              <w:rPr>
                <w:sz w:val="20"/>
                <w:szCs w:val="20"/>
              </w:rPr>
            </w:pPr>
            <w:r>
              <w:rPr>
                <w:sz w:val="20"/>
                <w:szCs w:val="20"/>
              </w:rPr>
              <w:t>Titre</w:t>
            </w:r>
          </w:p>
        </w:tc>
        <w:tc>
          <w:tcPr>
            <w:tcW w:w="3119" w:type="dxa"/>
            <w:shd w:val="clear" w:color="auto" w:fill="4472C4"/>
          </w:tcPr>
          <w:p w14:paraId="1C2BF6CB" w14:textId="23CD558B" w:rsidR="00570284" w:rsidRPr="006A4846" w:rsidRDefault="001A1A5E" w:rsidP="00526AC6">
            <w:pPr>
              <w:keepNext/>
              <w:keepLines/>
              <w:spacing w:after="120"/>
              <w:cnfStyle w:val="100000000000" w:firstRow="1" w:lastRow="0" w:firstColumn="0" w:lastColumn="0" w:oddVBand="0" w:evenVBand="0" w:oddHBand="0" w:evenHBand="0" w:firstRowFirstColumn="0" w:firstRowLastColumn="0" w:lastRowFirstColumn="0" w:lastRowLastColumn="0"/>
              <w:rPr>
                <w:sz w:val="20"/>
                <w:szCs w:val="20"/>
              </w:rPr>
            </w:pPr>
            <w:r w:rsidRPr="006A4846">
              <w:rPr>
                <w:sz w:val="20"/>
                <w:szCs w:val="20"/>
              </w:rPr>
              <w:t>Rôle</w:t>
            </w:r>
          </w:p>
        </w:tc>
        <w:tc>
          <w:tcPr>
            <w:tcW w:w="4393" w:type="dxa"/>
            <w:shd w:val="clear" w:color="auto" w:fill="4472C4"/>
          </w:tcPr>
          <w:p w14:paraId="5DA7780D" w14:textId="12066BBE" w:rsidR="00570284" w:rsidRPr="006A4846" w:rsidRDefault="001A1A5E" w:rsidP="00526AC6">
            <w:pPr>
              <w:keepNext/>
              <w:keepLines/>
              <w:spacing w:after="120"/>
              <w:cnfStyle w:val="100000000000" w:firstRow="1" w:lastRow="0" w:firstColumn="0" w:lastColumn="0" w:oddVBand="0" w:evenVBand="0" w:oddHBand="0" w:evenHBand="0" w:firstRowFirstColumn="0" w:firstRowLastColumn="0" w:lastRowFirstColumn="0" w:lastRowLastColumn="0"/>
              <w:rPr>
                <w:sz w:val="20"/>
                <w:szCs w:val="20"/>
              </w:rPr>
            </w:pPr>
            <w:r w:rsidRPr="006A4846">
              <w:rPr>
                <w:sz w:val="20"/>
                <w:szCs w:val="20"/>
              </w:rPr>
              <w:t>Responsabilités</w:t>
            </w:r>
          </w:p>
        </w:tc>
      </w:tr>
      <w:tr w:rsidR="00570284" w:rsidRPr="006B07D3" w14:paraId="22B962F5" w14:textId="77777777" w:rsidTr="00526AC6">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1838" w:type="dxa"/>
          </w:tcPr>
          <w:p w14:paraId="5755692C" w14:textId="4D3550C5" w:rsidR="00570284" w:rsidRPr="006A4846" w:rsidRDefault="004E34D4" w:rsidP="004E34D4">
            <w:pPr>
              <w:keepNext/>
              <w:keepLines/>
              <w:spacing w:before="40" w:after="40"/>
              <w:rPr>
                <w:sz w:val="20"/>
                <w:szCs w:val="20"/>
              </w:rPr>
            </w:pPr>
            <w:r>
              <w:rPr>
                <w:sz w:val="20"/>
                <w:szCs w:val="20"/>
              </w:rPr>
              <w:t>Pilote de risque</w:t>
            </w:r>
          </w:p>
        </w:tc>
        <w:tc>
          <w:tcPr>
            <w:tcW w:w="3119" w:type="dxa"/>
          </w:tcPr>
          <w:p w14:paraId="02B097BA" w14:textId="06B52CA6" w:rsidR="00570284" w:rsidRPr="006A4846" w:rsidRDefault="004E34D4" w:rsidP="00076966">
            <w:pPr>
              <w:keepNext/>
              <w:keepLines/>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 pilote de risque est responsable de la gestion du risque</w:t>
            </w:r>
            <w:r w:rsidR="00C802B8">
              <w:rPr>
                <w:sz w:val="20"/>
                <w:szCs w:val="20"/>
              </w:rPr>
              <w:t>, ayant l’intérêt le plus élevé à ce que le risque so</w:t>
            </w:r>
            <w:r w:rsidR="00076966">
              <w:rPr>
                <w:sz w:val="20"/>
                <w:szCs w:val="20"/>
              </w:rPr>
              <w:t>it correctement traité, et a les pouvoirs appropriés pour traiter le risque en conséquence.</w:t>
            </w:r>
          </w:p>
        </w:tc>
        <w:tc>
          <w:tcPr>
            <w:tcW w:w="4393" w:type="dxa"/>
          </w:tcPr>
          <w:p w14:paraId="4BB96CC6" w14:textId="1AF8212E" w:rsidR="00570284" w:rsidRPr="006A4846" w:rsidRDefault="002D240A"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Responsable de la gestion d’ensemble du risque, y compris quand le risque est transféré</w:t>
            </w:r>
          </w:p>
          <w:p w14:paraId="238EB63C" w14:textId="17215345" w:rsidR="00570284" w:rsidRPr="006A4846" w:rsidRDefault="002D240A"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Décide des mesures d’atténuation du risque</w:t>
            </w:r>
          </w:p>
          <w:p w14:paraId="34F1DF29" w14:textId="67A0BA08" w:rsidR="00570284" w:rsidRPr="006A4846" w:rsidRDefault="002D240A"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 xml:space="preserve">Alloue les ressources/le </w:t>
            </w:r>
            <w:r w:rsidR="00570284" w:rsidRPr="006A4846">
              <w:rPr>
                <w:sz w:val="20"/>
                <w:szCs w:val="20"/>
                <w:lang w:val="fr-FR"/>
              </w:rPr>
              <w:t xml:space="preserve">budget </w:t>
            </w:r>
            <w:r>
              <w:rPr>
                <w:sz w:val="20"/>
                <w:szCs w:val="20"/>
                <w:lang w:val="fr-FR"/>
              </w:rPr>
              <w:t>pour les mesures d’atténuation</w:t>
            </w:r>
          </w:p>
          <w:p w14:paraId="3E0AE6AF" w14:textId="5982975E" w:rsidR="00570284" w:rsidRPr="006A4846" w:rsidRDefault="002D240A"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 xml:space="preserve">Gère le processus de (ré)évaluation du risque </w:t>
            </w:r>
          </w:p>
          <w:p w14:paraId="4340A9A8" w14:textId="4C43C5AC" w:rsidR="00570284" w:rsidRPr="006A4846" w:rsidRDefault="002D240A" w:rsidP="002D240A">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Gère le processus de signalement du risque</w:t>
            </w:r>
          </w:p>
        </w:tc>
      </w:tr>
      <w:tr w:rsidR="00570284" w:rsidRPr="006B07D3" w14:paraId="3FC96EA5" w14:textId="77777777" w:rsidTr="00526AC6">
        <w:trPr>
          <w:trHeight w:val="1304"/>
        </w:trPr>
        <w:tc>
          <w:tcPr>
            <w:cnfStyle w:val="001000000000" w:firstRow="0" w:lastRow="0" w:firstColumn="1" w:lastColumn="0" w:oddVBand="0" w:evenVBand="0" w:oddHBand="0" w:evenHBand="0" w:firstRowFirstColumn="0" w:firstRowLastColumn="0" w:lastRowFirstColumn="0" w:lastRowLastColumn="0"/>
            <w:tcW w:w="1838" w:type="dxa"/>
          </w:tcPr>
          <w:p w14:paraId="3D160B13" w14:textId="00BCCFD8" w:rsidR="00570284" w:rsidRPr="006A4846" w:rsidRDefault="002D240A" w:rsidP="00526AC6">
            <w:pPr>
              <w:spacing w:before="40" w:after="40"/>
              <w:rPr>
                <w:sz w:val="20"/>
                <w:szCs w:val="20"/>
              </w:rPr>
            </w:pPr>
            <w:r>
              <w:rPr>
                <w:sz w:val="20"/>
                <w:szCs w:val="20"/>
              </w:rPr>
              <w:t>Coordonnateur de la gestion des risques</w:t>
            </w:r>
          </w:p>
        </w:tc>
        <w:tc>
          <w:tcPr>
            <w:tcW w:w="3119" w:type="dxa"/>
          </w:tcPr>
          <w:p w14:paraId="11B3A8FA" w14:textId="71D749A2" w:rsidR="00570284" w:rsidRPr="006A4846" w:rsidRDefault="002D240A" w:rsidP="002D240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Coordonne la gestion des risques au sein du Bureau respectif ou du Secrétariat général</w:t>
            </w:r>
          </w:p>
        </w:tc>
        <w:tc>
          <w:tcPr>
            <w:tcW w:w="4393" w:type="dxa"/>
          </w:tcPr>
          <w:p w14:paraId="346646D4" w14:textId="58083DA7" w:rsidR="00570284" w:rsidRPr="006A4846" w:rsidRDefault="002D240A"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 xml:space="preserve">Facilite la gestion des risques au sein du </w:t>
            </w:r>
            <w:r w:rsidR="00570284" w:rsidRPr="006A4846">
              <w:rPr>
                <w:sz w:val="20"/>
                <w:szCs w:val="20"/>
                <w:lang w:val="fr-FR"/>
              </w:rPr>
              <w:t xml:space="preserve">Bureau </w:t>
            </w:r>
            <w:r>
              <w:rPr>
                <w:sz w:val="20"/>
                <w:szCs w:val="20"/>
                <w:lang w:val="fr-FR"/>
              </w:rPr>
              <w:t>ou du Secrétariat général</w:t>
            </w:r>
          </w:p>
          <w:p w14:paraId="52B7FBD8" w14:textId="32F5F7E5" w:rsidR="00570284" w:rsidRPr="006A4846" w:rsidRDefault="002D240A"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 xml:space="preserve">Tient et met à jour la liste des risques </w:t>
            </w:r>
          </w:p>
          <w:p w14:paraId="77457C96" w14:textId="3C03356A" w:rsidR="00570284" w:rsidRPr="006A4846" w:rsidRDefault="0007244D" w:rsidP="0007244D">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 xml:space="preserve">Fait la synthèse des renseignements et les soumet pour l’examen par la direction et le signalement des risques </w:t>
            </w:r>
          </w:p>
        </w:tc>
      </w:tr>
      <w:tr w:rsidR="00570284" w:rsidRPr="006B07D3" w14:paraId="6DDC2990" w14:textId="77777777" w:rsidTr="00526AC6">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838" w:type="dxa"/>
          </w:tcPr>
          <w:p w14:paraId="2DA67600" w14:textId="7688AF95" w:rsidR="00570284" w:rsidRPr="006A4846" w:rsidRDefault="0007244D" w:rsidP="0007244D">
            <w:pPr>
              <w:spacing w:before="40" w:after="40"/>
              <w:rPr>
                <w:sz w:val="20"/>
                <w:szCs w:val="20"/>
              </w:rPr>
            </w:pPr>
            <w:r>
              <w:rPr>
                <w:sz w:val="20"/>
                <w:szCs w:val="20"/>
              </w:rPr>
              <w:t xml:space="preserve">Personne/unité responsable de la mise en œuvre de la mesure d’atténuation </w:t>
            </w:r>
          </w:p>
        </w:tc>
        <w:tc>
          <w:tcPr>
            <w:tcW w:w="3119" w:type="dxa"/>
          </w:tcPr>
          <w:p w14:paraId="6609B178" w14:textId="32860CEB" w:rsidR="00570284" w:rsidRPr="006A4846" w:rsidRDefault="0007244D" w:rsidP="0007244D">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Met en œuvre la mesure d’atténuation et fait rapport de la mise en œuvre au pilote de risque</w:t>
            </w:r>
          </w:p>
        </w:tc>
        <w:tc>
          <w:tcPr>
            <w:tcW w:w="4393" w:type="dxa"/>
          </w:tcPr>
          <w:p w14:paraId="1CEA2FC6" w14:textId="7B69970A" w:rsidR="00570284" w:rsidRPr="006A4846" w:rsidRDefault="0007244D" w:rsidP="00570284">
            <w:pPr>
              <w:pStyle w:val="ListParagraph"/>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 xml:space="preserve">Met en œuvre la mesure d’atténuation </w:t>
            </w:r>
          </w:p>
          <w:p w14:paraId="5F3776F9" w14:textId="78DEAEAE" w:rsidR="00570284" w:rsidRPr="006A4846" w:rsidRDefault="00894023" w:rsidP="00894023">
            <w:pPr>
              <w:pStyle w:val="ListParagraph"/>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Fournit des renseignements destinés à l’examen par la direction et à la mise à jour de la liste</w:t>
            </w:r>
          </w:p>
        </w:tc>
      </w:tr>
      <w:tr w:rsidR="00570284" w:rsidRPr="006B07D3" w14:paraId="2FC9DDF9" w14:textId="77777777" w:rsidTr="00526AC6">
        <w:trPr>
          <w:trHeight w:val="850"/>
        </w:trPr>
        <w:tc>
          <w:tcPr>
            <w:cnfStyle w:val="001000000000" w:firstRow="0" w:lastRow="0" w:firstColumn="1" w:lastColumn="0" w:oddVBand="0" w:evenVBand="0" w:oddHBand="0" w:evenHBand="0" w:firstRowFirstColumn="0" w:firstRowLastColumn="0" w:lastRowFirstColumn="0" w:lastRowLastColumn="0"/>
            <w:tcW w:w="1838" w:type="dxa"/>
          </w:tcPr>
          <w:p w14:paraId="323363DD" w14:textId="62ACCD6D" w:rsidR="00570284" w:rsidRPr="006A4846" w:rsidRDefault="00894023" w:rsidP="00894023">
            <w:pPr>
              <w:spacing w:before="40" w:after="40"/>
              <w:rPr>
                <w:sz w:val="20"/>
                <w:szCs w:val="20"/>
              </w:rPr>
            </w:pPr>
            <w:r>
              <w:rPr>
                <w:sz w:val="20"/>
                <w:szCs w:val="20"/>
              </w:rPr>
              <w:t xml:space="preserve">Equipe de direction </w:t>
            </w:r>
          </w:p>
        </w:tc>
        <w:tc>
          <w:tcPr>
            <w:tcW w:w="3119" w:type="dxa"/>
          </w:tcPr>
          <w:p w14:paraId="788AD426" w14:textId="5845D61A" w:rsidR="00570284" w:rsidRPr="006A4846" w:rsidRDefault="00894023" w:rsidP="0089402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Examine les risques sur une base régulière et prend des décisions relatives à la gestion des risques </w:t>
            </w:r>
          </w:p>
        </w:tc>
        <w:tc>
          <w:tcPr>
            <w:tcW w:w="4393" w:type="dxa"/>
          </w:tcPr>
          <w:p w14:paraId="00F99EDC" w14:textId="34D294D5" w:rsidR="00570284" w:rsidRPr="006A4846" w:rsidRDefault="00894023"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 xml:space="preserve">Examine régulièrement les risques dans le cadre des processus opérationnels de l’organisation </w:t>
            </w:r>
          </w:p>
          <w:p w14:paraId="03500484" w14:textId="3163D7C9" w:rsidR="00570284" w:rsidRPr="006A4846" w:rsidRDefault="00894023" w:rsidP="00894023">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Prend des décisions sur la mise en œuvre et l’examen de la stratégie de gestion des risques</w:t>
            </w:r>
          </w:p>
        </w:tc>
      </w:tr>
    </w:tbl>
    <w:p w14:paraId="6E556A43" w14:textId="77777777" w:rsidR="00570284" w:rsidRPr="006A4846" w:rsidRDefault="00570284" w:rsidP="00751A18">
      <w:pPr>
        <w:pStyle w:val="Heading1"/>
      </w:pPr>
      <w:r w:rsidRPr="006A4846">
        <w:t>5</w:t>
      </w:r>
      <w:r w:rsidRPr="006A4846">
        <w:tab/>
      </w:r>
      <w:r w:rsidRPr="00751A18">
        <w:t>Communication</w:t>
      </w:r>
    </w:p>
    <w:p w14:paraId="5DDA84DC" w14:textId="04594F46" w:rsidR="00570284" w:rsidRPr="006A4846" w:rsidRDefault="009D6F72" w:rsidP="00751A18">
      <w:r>
        <w:t>La c</w:t>
      </w:r>
      <w:r w:rsidR="00570284" w:rsidRPr="006A4846">
        <w:t xml:space="preserve">ommunication </w:t>
      </w:r>
      <w:r>
        <w:t>avec les parties prenantes externes (Etats Membres) et internes est assurée pendant toutes les étapes du processus de gestion des risques</w:t>
      </w:r>
      <w:r w:rsidR="00570284" w:rsidRPr="006A4846">
        <w:t>.</w:t>
      </w:r>
    </w:p>
    <w:p w14:paraId="2327DF8A" w14:textId="33CA1E46" w:rsidR="00570284" w:rsidRPr="006A4846" w:rsidRDefault="009D6F72" w:rsidP="00751A18">
      <w:r>
        <w:t>Dès lors, des plans de communication et de consultation sont élaborés à un stade précoce</w:t>
      </w:r>
      <w:r w:rsidR="00570284" w:rsidRPr="006A4846">
        <w:t xml:space="preserve">. </w:t>
      </w:r>
      <w:r>
        <w:t xml:space="preserve">Ces plans traitent de questions relatives au risque proprement dit, à ses causes, à ses conséquences (si elles sont connues) et aux mesures prises pour le traiter. Une communication externe et interne efficace a lieu pour garantir que les responsables de la mise en œuvre du processus de gestion des </w:t>
      </w:r>
      <w:r>
        <w:lastRenderedPageBreak/>
        <w:t>risques et les parties prenantes comprennent la base sur laquelle les décisions sont prises et les raisons pour lesquelles certaines interventions sont nécessaires.</w:t>
      </w:r>
    </w:p>
    <w:p w14:paraId="4BB76F06" w14:textId="0CAB4CC5" w:rsidR="00570284" w:rsidRPr="006A4846" w:rsidRDefault="00570284" w:rsidP="00751A18">
      <w:pPr>
        <w:pStyle w:val="Heading1"/>
      </w:pPr>
      <w:r w:rsidRPr="006A4846">
        <w:t>6</w:t>
      </w:r>
      <w:r w:rsidRPr="006A4846">
        <w:tab/>
      </w:r>
      <w:r w:rsidR="009D6F72">
        <w:t xml:space="preserve">Examen </w:t>
      </w:r>
      <w:r w:rsidR="009D6F72" w:rsidRPr="00751A18">
        <w:t>de</w:t>
      </w:r>
      <w:r w:rsidR="009D6F72">
        <w:t xml:space="preserve"> la politique </w:t>
      </w:r>
    </w:p>
    <w:p w14:paraId="116874E1" w14:textId="77777777" w:rsidR="00751A18" w:rsidRDefault="009D6F72" w:rsidP="00751A18">
      <w:r>
        <w:t>Deux ans après sa mise en place, la politique sera examinée et mise à jour pour tenir compte des nouvelles bonnes pratiques et des enseignements tirés</w:t>
      </w:r>
      <w:r w:rsidR="00570284" w:rsidRPr="006A4846">
        <w:t>.</w:t>
      </w:r>
    </w:p>
    <w:p w14:paraId="572B145E" w14:textId="6F589102" w:rsidR="00570284" w:rsidRPr="006A4846" w:rsidRDefault="00570284" w:rsidP="00751A18">
      <w:r w:rsidRPr="006A4846">
        <w:br w:type="page"/>
      </w:r>
    </w:p>
    <w:p w14:paraId="2AB93629" w14:textId="3FC7A8F4" w:rsidR="00570284" w:rsidRDefault="00570284" w:rsidP="00751A18">
      <w:pPr>
        <w:pStyle w:val="Heading1"/>
      </w:pPr>
      <w:r w:rsidRPr="006A4846">
        <w:lastRenderedPageBreak/>
        <w:t>ANNEX</w:t>
      </w:r>
      <w:r w:rsidR="009D6F72">
        <w:t>E</w:t>
      </w:r>
      <w:r w:rsidRPr="006A4846">
        <w:t xml:space="preserve"> 1: </w:t>
      </w:r>
      <w:r w:rsidR="00526AC6">
        <w:t xml:space="preserve">Modèle de registre des risques </w:t>
      </w:r>
    </w:p>
    <w:p w14:paraId="33BFFF8D" w14:textId="77777777" w:rsidR="00751A18" w:rsidRPr="00751A18" w:rsidRDefault="00751A18" w:rsidP="00751A18"/>
    <w:tbl>
      <w:tblPr>
        <w:tblStyle w:val="TableGrid"/>
        <w:tblW w:w="9752" w:type="dxa"/>
        <w:jc w:val="center"/>
        <w:tblLayout w:type="fixed"/>
        <w:tblCellMar>
          <w:left w:w="0" w:type="dxa"/>
          <w:right w:w="0" w:type="dxa"/>
        </w:tblCellMar>
        <w:tblLook w:val="04A0" w:firstRow="1" w:lastRow="0" w:firstColumn="1" w:lastColumn="0" w:noHBand="0" w:noVBand="1"/>
      </w:tblPr>
      <w:tblGrid>
        <w:gridCol w:w="1051"/>
        <w:gridCol w:w="1050"/>
        <w:gridCol w:w="750"/>
        <w:gridCol w:w="900"/>
        <w:gridCol w:w="750"/>
        <w:gridCol w:w="901"/>
        <w:gridCol w:w="901"/>
        <w:gridCol w:w="749"/>
        <w:gridCol w:w="1050"/>
        <w:gridCol w:w="904"/>
        <w:gridCol w:w="746"/>
      </w:tblGrid>
      <w:tr w:rsidR="00570284" w:rsidRPr="006A4846" w14:paraId="338A7684" w14:textId="77777777" w:rsidTr="00526AC6">
        <w:trPr>
          <w:trHeight w:val="90"/>
          <w:jc w:val="center"/>
        </w:trPr>
        <w:tc>
          <w:tcPr>
            <w:tcW w:w="1985" w:type="dxa"/>
            <w:gridSpan w:val="2"/>
            <w:vMerge w:val="restart"/>
            <w:tcMar>
              <w:left w:w="28" w:type="dxa"/>
              <w:right w:w="28" w:type="dxa"/>
            </w:tcMar>
          </w:tcPr>
          <w:p w14:paraId="1E5F9ED5" w14:textId="38102283" w:rsidR="00570284" w:rsidRPr="006A4846" w:rsidRDefault="00526AC6" w:rsidP="00526AC6">
            <w:pPr>
              <w:spacing w:before="40" w:after="40"/>
              <w:jc w:val="center"/>
              <w:rPr>
                <w:b/>
                <w:bCs/>
                <w:sz w:val="16"/>
                <w:szCs w:val="16"/>
              </w:rPr>
            </w:pPr>
            <w:r>
              <w:rPr>
                <w:b/>
                <w:bCs/>
                <w:sz w:val="16"/>
                <w:szCs w:val="16"/>
              </w:rPr>
              <w:t>Liste des risques</w:t>
            </w:r>
          </w:p>
        </w:tc>
        <w:tc>
          <w:tcPr>
            <w:tcW w:w="5670" w:type="dxa"/>
            <w:gridSpan w:val="7"/>
            <w:vMerge w:val="restart"/>
            <w:tcMar>
              <w:left w:w="28" w:type="dxa"/>
              <w:right w:w="28" w:type="dxa"/>
            </w:tcMar>
          </w:tcPr>
          <w:p w14:paraId="555D2659" w14:textId="7065A733" w:rsidR="00570284" w:rsidRPr="006A4846" w:rsidRDefault="003D63E1" w:rsidP="00526AC6">
            <w:pPr>
              <w:spacing w:before="40" w:after="40"/>
              <w:jc w:val="center"/>
              <w:rPr>
                <w:b/>
                <w:bCs/>
                <w:sz w:val="16"/>
                <w:szCs w:val="16"/>
              </w:rPr>
            </w:pPr>
            <w:r w:rsidRPr="006A4846">
              <w:rPr>
                <w:b/>
                <w:bCs/>
                <w:sz w:val="16"/>
                <w:szCs w:val="16"/>
              </w:rPr>
              <w:t>(</w:t>
            </w:r>
            <w:r w:rsidR="00526AC6">
              <w:rPr>
                <w:b/>
                <w:bCs/>
                <w:sz w:val="16"/>
                <w:szCs w:val="16"/>
              </w:rPr>
              <w:t>Insérer le Secteu</w:t>
            </w:r>
            <w:r w:rsidRPr="006A4846">
              <w:rPr>
                <w:b/>
                <w:bCs/>
                <w:sz w:val="16"/>
                <w:szCs w:val="16"/>
              </w:rPr>
              <w:t xml:space="preserve">r </w:t>
            </w:r>
            <w:r w:rsidR="00526AC6">
              <w:rPr>
                <w:b/>
                <w:bCs/>
                <w:sz w:val="16"/>
                <w:szCs w:val="16"/>
              </w:rPr>
              <w:t>ou</w:t>
            </w:r>
            <w:r w:rsidRPr="006A4846">
              <w:rPr>
                <w:b/>
                <w:bCs/>
                <w:sz w:val="16"/>
                <w:szCs w:val="16"/>
              </w:rPr>
              <w:t xml:space="preserve"> </w:t>
            </w:r>
            <w:r w:rsidR="00526AC6">
              <w:rPr>
                <w:b/>
                <w:bCs/>
                <w:sz w:val="16"/>
                <w:szCs w:val="16"/>
              </w:rPr>
              <w:t>le Secrétariat général</w:t>
            </w:r>
            <w:r w:rsidR="00570284" w:rsidRPr="006A4846">
              <w:rPr>
                <w:b/>
                <w:bCs/>
                <w:sz w:val="16"/>
                <w:szCs w:val="16"/>
              </w:rPr>
              <w:t>)</w:t>
            </w:r>
          </w:p>
          <w:p w14:paraId="7194FD6B" w14:textId="1A3ECDC5" w:rsidR="00570284" w:rsidRPr="006A4846" w:rsidRDefault="00570284" w:rsidP="00526AC6">
            <w:pPr>
              <w:spacing w:before="40" w:after="40"/>
              <w:jc w:val="center"/>
              <w:rPr>
                <w:b/>
                <w:bCs/>
                <w:sz w:val="16"/>
                <w:szCs w:val="16"/>
              </w:rPr>
            </w:pPr>
            <w:r w:rsidRPr="006A4846">
              <w:rPr>
                <w:b/>
                <w:bCs/>
                <w:sz w:val="16"/>
                <w:szCs w:val="16"/>
              </w:rPr>
              <w:t>(</w:t>
            </w:r>
            <w:r w:rsidR="00526AC6">
              <w:rPr>
                <w:b/>
                <w:bCs/>
                <w:sz w:val="16"/>
                <w:szCs w:val="16"/>
              </w:rPr>
              <w:t xml:space="preserve">selon le plan opérationnel </w:t>
            </w:r>
            <w:r w:rsidRPr="006A4846">
              <w:rPr>
                <w:b/>
                <w:bCs/>
                <w:sz w:val="16"/>
                <w:szCs w:val="16"/>
              </w:rPr>
              <w:t>2017-2020)</w:t>
            </w:r>
          </w:p>
        </w:tc>
        <w:tc>
          <w:tcPr>
            <w:tcW w:w="1559" w:type="dxa"/>
            <w:gridSpan w:val="2"/>
            <w:tcMar>
              <w:left w:w="28" w:type="dxa"/>
              <w:right w:w="28" w:type="dxa"/>
            </w:tcMar>
          </w:tcPr>
          <w:p w14:paraId="7BCAF0F2" w14:textId="249924CA" w:rsidR="00570284" w:rsidRPr="006A4846" w:rsidRDefault="006728FB" w:rsidP="006728FB">
            <w:pPr>
              <w:spacing w:before="40" w:after="40"/>
              <w:jc w:val="center"/>
              <w:rPr>
                <w:b/>
                <w:bCs/>
                <w:sz w:val="16"/>
                <w:szCs w:val="16"/>
              </w:rPr>
            </w:pPr>
            <w:r>
              <w:rPr>
                <w:b/>
                <w:bCs/>
                <w:sz w:val="16"/>
                <w:szCs w:val="16"/>
              </w:rPr>
              <w:t>Dernière synthèse d’examen</w:t>
            </w:r>
          </w:p>
        </w:tc>
      </w:tr>
      <w:tr w:rsidR="00570284" w:rsidRPr="006A4846" w14:paraId="5F9CB127" w14:textId="77777777" w:rsidTr="00526AC6">
        <w:trPr>
          <w:trHeight w:val="88"/>
          <w:jc w:val="center"/>
        </w:trPr>
        <w:tc>
          <w:tcPr>
            <w:tcW w:w="1985" w:type="dxa"/>
            <w:gridSpan w:val="2"/>
            <w:vMerge/>
            <w:tcMar>
              <w:left w:w="28" w:type="dxa"/>
              <w:right w:w="28" w:type="dxa"/>
            </w:tcMar>
          </w:tcPr>
          <w:p w14:paraId="61F17081" w14:textId="77777777" w:rsidR="00570284" w:rsidRPr="006A4846" w:rsidRDefault="00570284" w:rsidP="00526AC6">
            <w:pPr>
              <w:spacing w:before="40" w:after="40"/>
              <w:jc w:val="center"/>
              <w:rPr>
                <w:b/>
                <w:bCs/>
                <w:sz w:val="16"/>
                <w:szCs w:val="16"/>
              </w:rPr>
            </w:pPr>
          </w:p>
        </w:tc>
        <w:tc>
          <w:tcPr>
            <w:tcW w:w="5670" w:type="dxa"/>
            <w:gridSpan w:val="7"/>
            <w:vMerge/>
            <w:tcMar>
              <w:left w:w="28" w:type="dxa"/>
              <w:right w:w="28" w:type="dxa"/>
            </w:tcMar>
          </w:tcPr>
          <w:p w14:paraId="0675FACE" w14:textId="77777777" w:rsidR="00570284" w:rsidRPr="006A4846" w:rsidRDefault="00570284" w:rsidP="00526AC6">
            <w:pPr>
              <w:spacing w:before="40" w:after="40"/>
              <w:jc w:val="center"/>
              <w:rPr>
                <w:b/>
                <w:bCs/>
                <w:sz w:val="16"/>
                <w:szCs w:val="16"/>
              </w:rPr>
            </w:pPr>
          </w:p>
        </w:tc>
        <w:tc>
          <w:tcPr>
            <w:tcW w:w="854" w:type="dxa"/>
            <w:tcMar>
              <w:left w:w="28" w:type="dxa"/>
              <w:right w:w="28" w:type="dxa"/>
            </w:tcMar>
          </w:tcPr>
          <w:p w14:paraId="77236090" w14:textId="77777777" w:rsidR="00570284" w:rsidRPr="006A4846" w:rsidRDefault="00570284" w:rsidP="00526AC6">
            <w:pPr>
              <w:spacing w:before="40" w:after="40"/>
              <w:jc w:val="center"/>
              <w:rPr>
                <w:b/>
                <w:bCs/>
                <w:sz w:val="16"/>
                <w:szCs w:val="16"/>
              </w:rPr>
            </w:pPr>
            <w:r w:rsidRPr="006A4846">
              <w:rPr>
                <w:b/>
                <w:bCs/>
                <w:sz w:val="16"/>
                <w:szCs w:val="16"/>
              </w:rPr>
              <w:t>Date</w:t>
            </w:r>
          </w:p>
        </w:tc>
        <w:tc>
          <w:tcPr>
            <w:tcW w:w="705" w:type="dxa"/>
            <w:tcMar>
              <w:left w:w="28" w:type="dxa"/>
              <w:right w:w="28" w:type="dxa"/>
            </w:tcMar>
          </w:tcPr>
          <w:p w14:paraId="233C6934" w14:textId="77777777" w:rsidR="00570284" w:rsidRPr="006A4846" w:rsidRDefault="00570284" w:rsidP="00526AC6">
            <w:pPr>
              <w:spacing w:before="40" w:after="40"/>
              <w:jc w:val="center"/>
              <w:rPr>
                <w:b/>
                <w:bCs/>
                <w:i/>
                <w:iCs/>
                <w:sz w:val="16"/>
                <w:szCs w:val="16"/>
              </w:rPr>
            </w:pPr>
            <w:r w:rsidRPr="006A4846">
              <w:rPr>
                <w:b/>
                <w:bCs/>
                <w:i/>
                <w:iCs/>
                <w:sz w:val="16"/>
                <w:szCs w:val="16"/>
              </w:rPr>
              <w:t>Date</w:t>
            </w:r>
          </w:p>
        </w:tc>
      </w:tr>
      <w:tr w:rsidR="00570284" w:rsidRPr="006A4846" w14:paraId="5ABC51D0" w14:textId="77777777" w:rsidTr="00526AC6">
        <w:trPr>
          <w:trHeight w:val="88"/>
          <w:jc w:val="center"/>
        </w:trPr>
        <w:tc>
          <w:tcPr>
            <w:tcW w:w="1985" w:type="dxa"/>
            <w:gridSpan w:val="2"/>
            <w:vMerge/>
            <w:tcMar>
              <w:left w:w="28" w:type="dxa"/>
              <w:right w:w="28" w:type="dxa"/>
            </w:tcMar>
          </w:tcPr>
          <w:p w14:paraId="19450707" w14:textId="77777777" w:rsidR="00570284" w:rsidRPr="006A4846" w:rsidRDefault="00570284" w:rsidP="00526AC6">
            <w:pPr>
              <w:spacing w:before="40" w:after="40"/>
              <w:jc w:val="center"/>
              <w:rPr>
                <w:b/>
                <w:bCs/>
                <w:sz w:val="16"/>
                <w:szCs w:val="16"/>
              </w:rPr>
            </w:pPr>
          </w:p>
        </w:tc>
        <w:tc>
          <w:tcPr>
            <w:tcW w:w="5670" w:type="dxa"/>
            <w:gridSpan w:val="7"/>
            <w:vMerge/>
            <w:tcMar>
              <w:left w:w="28" w:type="dxa"/>
              <w:right w:w="28" w:type="dxa"/>
            </w:tcMar>
          </w:tcPr>
          <w:p w14:paraId="082B5390" w14:textId="77777777" w:rsidR="00570284" w:rsidRPr="006A4846" w:rsidRDefault="00570284" w:rsidP="00526AC6">
            <w:pPr>
              <w:spacing w:before="40" w:after="40"/>
              <w:jc w:val="center"/>
              <w:rPr>
                <w:b/>
                <w:bCs/>
                <w:sz w:val="16"/>
                <w:szCs w:val="16"/>
              </w:rPr>
            </w:pPr>
          </w:p>
        </w:tc>
        <w:tc>
          <w:tcPr>
            <w:tcW w:w="854" w:type="dxa"/>
            <w:tcMar>
              <w:left w:w="28" w:type="dxa"/>
              <w:right w:w="28" w:type="dxa"/>
            </w:tcMar>
          </w:tcPr>
          <w:p w14:paraId="013181C0" w14:textId="6070C824" w:rsidR="00570284" w:rsidRPr="006A4846" w:rsidRDefault="009D3632" w:rsidP="009D3632">
            <w:pPr>
              <w:spacing w:before="40" w:after="40"/>
              <w:jc w:val="center"/>
              <w:rPr>
                <w:b/>
                <w:bCs/>
                <w:sz w:val="16"/>
                <w:szCs w:val="16"/>
              </w:rPr>
            </w:pPr>
            <w:r>
              <w:rPr>
                <w:b/>
                <w:bCs/>
                <w:sz w:val="16"/>
                <w:szCs w:val="16"/>
              </w:rPr>
              <w:t xml:space="preserve">A être reçue d’ici </w:t>
            </w:r>
          </w:p>
        </w:tc>
        <w:tc>
          <w:tcPr>
            <w:tcW w:w="705" w:type="dxa"/>
            <w:tcMar>
              <w:left w:w="28" w:type="dxa"/>
              <w:right w:w="28" w:type="dxa"/>
            </w:tcMar>
          </w:tcPr>
          <w:p w14:paraId="634B4C55" w14:textId="77777777" w:rsidR="00570284" w:rsidRPr="006A4846" w:rsidRDefault="00570284" w:rsidP="00526AC6">
            <w:pPr>
              <w:spacing w:before="40" w:after="40"/>
              <w:jc w:val="center"/>
              <w:rPr>
                <w:b/>
                <w:bCs/>
                <w:sz w:val="16"/>
                <w:szCs w:val="16"/>
              </w:rPr>
            </w:pPr>
          </w:p>
        </w:tc>
      </w:tr>
      <w:tr w:rsidR="00570284" w:rsidRPr="006A4846" w14:paraId="1ADE28F6" w14:textId="77777777" w:rsidTr="00526AC6">
        <w:trPr>
          <w:trHeight w:val="302"/>
          <w:jc w:val="center"/>
        </w:trPr>
        <w:tc>
          <w:tcPr>
            <w:tcW w:w="993" w:type="dxa"/>
            <w:vMerge w:val="restart"/>
            <w:tcMar>
              <w:left w:w="28" w:type="dxa"/>
              <w:right w:w="28" w:type="dxa"/>
            </w:tcMar>
          </w:tcPr>
          <w:p w14:paraId="059B8450" w14:textId="77777777" w:rsidR="00570284" w:rsidRPr="006A4846" w:rsidRDefault="00570284" w:rsidP="00526AC6">
            <w:pPr>
              <w:spacing w:before="40" w:after="40"/>
              <w:jc w:val="center"/>
              <w:rPr>
                <w:b/>
                <w:bCs/>
                <w:sz w:val="16"/>
                <w:szCs w:val="16"/>
              </w:rPr>
            </w:pPr>
            <w:r w:rsidRPr="006A4846">
              <w:rPr>
                <w:b/>
                <w:bCs/>
                <w:sz w:val="16"/>
                <w:szCs w:val="16"/>
              </w:rPr>
              <w:t>Perspective</w:t>
            </w:r>
          </w:p>
        </w:tc>
        <w:tc>
          <w:tcPr>
            <w:tcW w:w="992" w:type="dxa"/>
            <w:vMerge w:val="restart"/>
            <w:tcMar>
              <w:left w:w="28" w:type="dxa"/>
              <w:right w:w="28" w:type="dxa"/>
            </w:tcMar>
          </w:tcPr>
          <w:p w14:paraId="3A2FAC2E" w14:textId="058B93D6" w:rsidR="00570284" w:rsidRPr="006A4846" w:rsidRDefault="00570284" w:rsidP="009D3632">
            <w:pPr>
              <w:spacing w:before="40" w:after="40"/>
              <w:jc w:val="center"/>
              <w:rPr>
                <w:b/>
                <w:bCs/>
                <w:sz w:val="16"/>
                <w:szCs w:val="16"/>
              </w:rPr>
            </w:pPr>
            <w:r w:rsidRPr="006A4846">
              <w:rPr>
                <w:b/>
                <w:bCs/>
                <w:sz w:val="16"/>
                <w:szCs w:val="16"/>
              </w:rPr>
              <w:t xml:space="preserve">Description </w:t>
            </w:r>
            <w:r w:rsidR="009D3632">
              <w:rPr>
                <w:b/>
                <w:bCs/>
                <w:sz w:val="16"/>
                <w:szCs w:val="16"/>
              </w:rPr>
              <w:t xml:space="preserve">du risque </w:t>
            </w:r>
          </w:p>
        </w:tc>
        <w:tc>
          <w:tcPr>
            <w:tcW w:w="709" w:type="dxa"/>
            <w:vMerge w:val="restart"/>
            <w:tcMar>
              <w:left w:w="28" w:type="dxa"/>
              <w:right w:w="28" w:type="dxa"/>
            </w:tcMar>
          </w:tcPr>
          <w:p w14:paraId="51ED469D" w14:textId="46A4FC4E" w:rsidR="00570284" w:rsidRPr="006A4846" w:rsidRDefault="009D3632" w:rsidP="009D3632">
            <w:pPr>
              <w:spacing w:before="40" w:after="40"/>
              <w:jc w:val="center"/>
              <w:rPr>
                <w:b/>
                <w:bCs/>
                <w:sz w:val="16"/>
                <w:szCs w:val="16"/>
              </w:rPr>
            </w:pPr>
            <w:r>
              <w:rPr>
                <w:b/>
                <w:bCs/>
                <w:sz w:val="16"/>
                <w:szCs w:val="16"/>
              </w:rPr>
              <w:t xml:space="preserve">Pilote de risque </w:t>
            </w:r>
          </w:p>
        </w:tc>
        <w:tc>
          <w:tcPr>
            <w:tcW w:w="850" w:type="dxa"/>
            <w:vMerge w:val="restart"/>
            <w:tcMar>
              <w:left w:w="28" w:type="dxa"/>
              <w:right w:w="28" w:type="dxa"/>
            </w:tcMar>
          </w:tcPr>
          <w:p w14:paraId="16BAD013" w14:textId="00FEC418" w:rsidR="00570284" w:rsidRPr="006A4846" w:rsidRDefault="009D3632" w:rsidP="00526AC6">
            <w:pPr>
              <w:spacing w:before="40" w:after="40"/>
              <w:jc w:val="center"/>
              <w:rPr>
                <w:b/>
                <w:bCs/>
                <w:sz w:val="16"/>
                <w:szCs w:val="16"/>
              </w:rPr>
            </w:pPr>
            <w:r w:rsidRPr="006A4846">
              <w:rPr>
                <w:b/>
                <w:bCs/>
                <w:sz w:val="16"/>
                <w:szCs w:val="16"/>
              </w:rPr>
              <w:t>Probabilité</w:t>
            </w:r>
          </w:p>
        </w:tc>
        <w:tc>
          <w:tcPr>
            <w:tcW w:w="709" w:type="dxa"/>
            <w:vMerge w:val="restart"/>
            <w:tcMar>
              <w:left w:w="28" w:type="dxa"/>
              <w:right w:w="28" w:type="dxa"/>
            </w:tcMar>
          </w:tcPr>
          <w:p w14:paraId="17CD36FB" w14:textId="72C4A57F" w:rsidR="00570284" w:rsidRPr="006A4846" w:rsidRDefault="009D3632" w:rsidP="009D3632">
            <w:pPr>
              <w:spacing w:before="40" w:after="40"/>
              <w:jc w:val="center"/>
              <w:rPr>
                <w:b/>
                <w:bCs/>
                <w:sz w:val="16"/>
                <w:szCs w:val="16"/>
              </w:rPr>
            </w:pPr>
            <w:r>
              <w:rPr>
                <w:b/>
                <w:bCs/>
                <w:sz w:val="16"/>
                <w:szCs w:val="16"/>
              </w:rPr>
              <w:t>Niveau d’incidence</w:t>
            </w:r>
          </w:p>
        </w:tc>
        <w:tc>
          <w:tcPr>
            <w:tcW w:w="2410" w:type="dxa"/>
            <w:gridSpan w:val="3"/>
            <w:tcMar>
              <w:left w:w="28" w:type="dxa"/>
              <w:right w:w="28" w:type="dxa"/>
            </w:tcMar>
          </w:tcPr>
          <w:p w14:paraId="36C2F900" w14:textId="61DFB326" w:rsidR="00570284" w:rsidRPr="006A4846" w:rsidRDefault="009D3632" w:rsidP="009D3632">
            <w:pPr>
              <w:spacing w:before="40" w:after="40"/>
              <w:jc w:val="center"/>
              <w:rPr>
                <w:b/>
                <w:bCs/>
                <w:sz w:val="16"/>
                <w:szCs w:val="16"/>
              </w:rPr>
            </w:pPr>
            <w:r>
              <w:rPr>
                <w:b/>
                <w:bCs/>
                <w:sz w:val="16"/>
                <w:szCs w:val="16"/>
              </w:rPr>
              <w:t xml:space="preserve">Mesures d’atténuation </w:t>
            </w:r>
          </w:p>
        </w:tc>
        <w:tc>
          <w:tcPr>
            <w:tcW w:w="992" w:type="dxa"/>
            <w:vMerge w:val="restart"/>
            <w:tcMar>
              <w:left w:w="28" w:type="dxa"/>
              <w:right w:w="28" w:type="dxa"/>
            </w:tcMar>
          </w:tcPr>
          <w:p w14:paraId="70D74937" w14:textId="06D853FC" w:rsidR="00570284" w:rsidRPr="006A4846" w:rsidRDefault="009D3632" w:rsidP="009D3632">
            <w:pPr>
              <w:spacing w:before="40" w:after="40"/>
              <w:jc w:val="center"/>
              <w:rPr>
                <w:b/>
                <w:bCs/>
                <w:sz w:val="16"/>
                <w:szCs w:val="16"/>
              </w:rPr>
            </w:pPr>
            <w:r>
              <w:rPr>
                <w:b/>
                <w:bCs/>
                <w:sz w:val="16"/>
                <w:szCs w:val="16"/>
              </w:rPr>
              <w:t xml:space="preserve">Risque résiduel </w:t>
            </w:r>
            <w:r w:rsidR="00570284" w:rsidRPr="006A4846">
              <w:rPr>
                <w:b/>
                <w:bCs/>
                <w:sz w:val="16"/>
                <w:szCs w:val="16"/>
              </w:rPr>
              <w:t xml:space="preserve"> </w:t>
            </w:r>
          </w:p>
        </w:tc>
        <w:tc>
          <w:tcPr>
            <w:tcW w:w="1559" w:type="dxa"/>
            <w:gridSpan w:val="2"/>
            <w:vMerge w:val="restart"/>
            <w:tcMar>
              <w:left w:w="28" w:type="dxa"/>
              <w:right w:w="28" w:type="dxa"/>
            </w:tcMar>
          </w:tcPr>
          <w:p w14:paraId="0E20C97B" w14:textId="562DBD34" w:rsidR="00570284" w:rsidRPr="006A4846" w:rsidRDefault="009D3632" w:rsidP="009D3632">
            <w:pPr>
              <w:spacing w:before="40" w:after="40"/>
              <w:jc w:val="center"/>
              <w:rPr>
                <w:b/>
                <w:bCs/>
                <w:sz w:val="16"/>
                <w:szCs w:val="16"/>
              </w:rPr>
            </w:pPr>
            <w:r>
              <w:rPr>
                <w:b/>
                <w:bCs/>
                <w:sz w:val="16"/>
                <w:szCs w:val="16"/>
              </w:rPr>
              <w:t>Décisions/commentaires de suivi</w:t>
            </w:r>
          </w:p>
        </w:tc>
      </w:tr>
      <w:tr w:rsidR="00570284" w:rsidRPr="006A4846" w14:paraId="3C68570C" w14:textId="77777777" w:rsidTr="00526AC6">
        <w:trPr>
          <w:trHeight w:val="301"/>
          <w:jc w:val="center"/>
        </w:trPr>
        <w:tc>
          <w:tcPr>
            <w:tcW w:w="993" w:type="dxa"/>
            <w:vMerge/>
            <w:tcMar>
              <w:left w:w="28" w:type="dxa"/>
              <w:right w:w="28" w:type="dxa"/>
            </w:tcMar>
          </w:tcPr>
          <w:p w14:paraId="57D61E76" w14:textId="77777777" w:rsidR="00570284" w:rsidRPr="006A4846" w:rsidRDefault="00570284" w:rsidP="00526AC6">
            <w:pPr>
              <w:spacing w:before="40" w:after="40"/>
              <w:jc w:val="center"/>
              <w:rPr>
                <w:sz w:val="16"/>
                <w:szCs w:val="16"/>
              </w:rPr>
            </w:pPr>
          </w:p>
        </w:tc>
        <w:tc>
          <w:tcPr>
            <w:tcW w:w="992" w:type="dxa"/>
            <w:vMerge/>
            <w:tcMar>
              <w:left w:w="28" w:type="dxa"/>
              <w:right w:w="28" w:type="dxa"/>
            </w:tcMar>
          </w:tcPr>
          <w:p w14:paraId="4C5B7E71" w14:textId="77777777" w:rsidR="00570284" w:rsidRPr="006A4846" w:rsidRDefault="00570284" w:rsidP="00526AC6">
            <w:pPr>
              <w:spacing w:before="40" w:after="40"/>
              <w:jc w:val="center"/>
              <w:rPr>
                <w:sz w:val="16"/>
                <w:szCs w:val="16"/>
              </w:rPr>
            </w:pPr>
          </w:p>
        </w:tc>
        <w:tc>
          <w:tcPr>
            <w:tcW w:w="709" w:type="dxa"/>
            <w:vMerge/>
            <w:tcMar>
              <w:left w:w="28" w:type="dxa"/>
              <w:right w:w="28" w:type="dxa"/>
            </w:tcMar>
          </w:tcPr>
          <w:p w14:paraId="6D0E8C44" w14:textId="77777777" w:rsidR="00570284" w:rsidRPr="006A4846" w:rsidRDefault="00570284" w:rsidP="00526AC6">
            <w:pPr>
              <w:spacing w:before="40" w:after="40"/>
              <w:jc w:val="center"/>
              <w:rPr>
                <w:sz w:val="16"/>
                <w:szCs w:val="16"/>
              </w:rPr>
            </w:pPr>
          </w:p>
        </w:tc>
        <w:tc>
          <w:tcPr>
            <w:tcW w:w="850" w:type="dxa"/>
            <w:vMerge/>
            <w:tcMar>
              <w:left w:w="28" w:type="dxa"/>
              <w:right w:w="28" w:type="dxa"/>
            </w:tcMar>
          </w:tcPr>
          <w:p w14:paraId="6227F706" w14:textId="77777777" w:rsidR="00570284" w:rsidRPr="006A4846" w:rsidRDefault="00570284" w:rsidP="00526AC6">
            <w:pPr>
              <w:spacing w:before="40" w:after="40"/>
              <w:jc w:val="center"/>
              <w:rPr>
                <w:sz w:val="16"/>
                <w:szCs w:val="16"/>
              </w:rPr>
            </w:pPr>
          </w:p>
        </w:tc>
        <w:tc>
          <w:tcPr>
            <w:tcW w:w="709" w:type="dxa"/>
            <w:vMerge/>
            <w:tcMar>
              <w:left w:w="28" w:type="dxa"/>
              <w:right w:w="28" w:type="dxa"/>
            </w:tcMar>
          </w:tcPr>
          <w:p w14:paraId="323C97CB" w14:textId="77777777" w:rsidR="00570284" w:rsidRPr="006A4846" w:rsidRDefault="00570284" w:rsidP="00526AC6">
            <w:pPr>
              <w:spacing w:before="40" w:after="40"/>
              <w:jc w:val="center"/>
              <w:rPr>
                <w:sz w:val="16"/>
                <w:szCs w:val="16"/>
              </w:rPr>
            </w:pPr>
          </w:p>
        </w:tc>
        <w:tc>
          <w:tcPr>
            <w:tcW w:w="851" w:type="dxa"/>
            <w:tcMar>
              <w:left w:w="28" w:type="dxa"/>
              <w:right w:w="28" w:type="dxa"/>
            </w:tcMar>
          </w:tcPr>
          <w:p w14:paraId="59980ED3" w14:textId="7D079405" w:rsidR="00570284" w:rsidRPr="006A4846" w:rsidRDefault="009D3632" w:rsidP="00526AC6">
            <w:pPr>
              <w:spacing w:before="40" w:after="40"/>
              <w:jc w:val="center"/>
              <w:rPr>
                <w:b/>
                <w:bCs/>
                <w:sz w:val="16"/>
                <w:szCs w:val="16"/>
              </w:rPr>
            </w:pPr>
            <w:r>
              <w:rPr>
                <w:b/>
                <w:bCs/>
                <w:sz w:val="16"/>
                <w:szCs w:val="16"/>
              </w:rPr>
              <w:t>Mesure</w:t>
            </w:r>
          </w:p>
        </w:tc>
        <w:tc>
          <w:tcPr>
            <w:tcW w:w="851" w:type="dxa"/>
            <w:tcMar>
              <w:left w:w="28" w:type="dxa"/>
              <w:right w:w="28" w:type="dxa"/>
            </w:tcMar>
          </w:tcPr>
          <w:p w14:paraId="397DAAD1" w14:textId="27C0D134" w:rsidR="00570284" w:rsidRPr="006A4846" w:rsidRDefault="009D3632" w:rsidP="00526AC6">
            <w:pPr>
              <w:spacing w:before="40" w:after="40"/>
              <w:jc w:val="center"/>
              <w:rPr>
                <w:b/>
                <w:bCs/>
                <w:sz w:val="16"/>
                <w:szCs w:val="16"/>
              </w:rPr>
            </w:pPr>
            <w:r w:rsidRPr="006A4846">
              <w:rPr>
                <w:b/>
                <w:bCs/>
                <w:sz w:val="16"/>
                <w:szCs w:val="16"/>
              </w:rPr>
              <w:t>Responsable</w:t>
            </w:r>
          </w:p>
        </w:tc>
        <w:tc>
          <w:tcPr>
            <w:tcW w:w="708" w:type="dxa"/>
            <w:tcMar>
              <w:left w:w="28" w:type="dxa"/>
              <w:right w:w="28" w:type="dxa"/>
            </w:tcMar>
          </w:tcPr>
          <w:p w14:paraId="250ED890" w14:textId="00C2EF58" w:rsidR="00570284" w:rsidRPr="006A4846" w:rsidRDefault="009D3632" w:rsidP="00526AC6">
            <w:pPr>
              <w:spacing w:before="40" w:after="40"/>
              <w:jc w:val="center"/>
              <w:rPr>
                <w:b/>
                <w:bCs/>
                <w:sz w:val="16"/>
                <w:szCs w:val="16"/>
              </w:rPr>
            </w:pPr>
            <w:r>
              <w:rPr>
                <w:b/>
                <w:bCs/>
                <w:sz w:val="16"/>
                <w:szCs w:val="16"/>
              </w:rPr>
              <w:t>Etat</w:t>
            </w:r>
          </w:p>
        </w:tc>
        <w:tc>
          <w:tcPr>
            <w:tcW w:w="992" w:type="dxa"/>
            <w:vMerge/>
            <w:tcMar>
              <w:left w:w="28" w:type="dxa"/>
              <w:right w:w="28" w:type="dxa"/>
            </w:tcMar>
          </w:tcPr>
          <w:p w14:paraId="4596CE79" w14:textId="77777777" w:rsidR="00570284" w:rsidRPr="006A4846" w:rsidRDefault="00570284" w:rsidP="00526AC6">
            <w:pPr>
              <w:spacing w:before="40" w:after="40"/>
              <w:jc w:val="center"/>
              <w:rPr>
                <w:sz w:val="16"/>
                <w:szCs w:val="16"/>
              </w:rPr>
            </w:pPr>
          </w:p>
        </w:tc>
        <w:tc>
          <w:tcPr>
            <w:tcW w:w="1559" w:type="dxa"/>
            <w:gridSpan w:val="2"/>
            <w:vMerge/>
            <w:tcMar>
              <w:left w:w="28" w:type="dxa"/>
              <w:right w:w="28" w:type="dxa"/>
            </w:tcMar>
          </w:tcPr>
          <w:p w14:paraId="457BE0B5" w14:textId="77777777" w:rsidR="00570284" w:rsidRPr="006A4846" w:rsidRDefault="00570284" w:rsidP="00526AC6">
            <w:pPr>
              <w:spacing w:before="40" w:after="40"/>
              <w:jc w:val="center"/>
              <w:rPr>
                <w:sz w:val="16"/>
                <w:szCs w:val="16"/>
              </w:rPr>
            </w:pPr>
          </w:p>
        </w:tc>
      </w:tr>
      <w:tr w:rsidR="00570284" w:rsidRPr="006A4846" w14:paraId="0FFE9B62" w14:textId="77777777" w:rsidTr="00526AC6">
        <w:trPr>
          <w:trHeight w:val="274"/>
          <w:jc w:val="center"/>
        </w:trPr>
        <w:tc>
          <w:tcPr>
            <w:tcW w:w="993" w:type="dxa"/>
            <w:tcMar>
              <w:left w:w="28" w:type="dxa"/>
              <w:right w:w="28" w:type="dxa"/>
            </w:tcMar>
          </w:tcPr>
          <w:p w14:paraId="09E0324B" w14:textId="73812FF5" w:rsidR="00570284" w:rsidRPr="006A4846" w:rsidRDefault="009D3632" w:rsidP="00526AC6">
            <w:pPr>
              <w:spacing w:before="40" w:after="40"/>
              <w:jc w:val="center"/>
              <w:rPr>
                <w:i/>
                <w:iCs/>
                <w:sz w:val="16"/>
                <w:szCs w:val="16"/>
              </w:rPr>
            </w:pPr>
            <w:r w:rsidRPr="006A4846">
              <w:rPr>
                <w:i/>
                <w:iCs/>
                <w:sz w:val="16"/>
                <w:szCs w:val="16"/>
              </w:rPr>
              <w:t>Exemple</w:t>
            </w:r>
            <w:r w:rsidR="00570284" w:rsidRPr="006A4846">
              <w:rPr>
                <w:i/>
                <w:iCs/>
                <w:sz w:val="16"/>
                <w:szCs w:val="16"/>
              </w:rPr>
              <w:t>:</w:t>
            </w:r>
          </w:p>
        </w:tc>
        <w:tc>
          <w:tcPr>
            <w:tcW w:w="992" w:type="dxa"/>
            <w:tcMar>
              <w:left w:w="28" w:type="dxa"/>
              <w:right w:w="28" w:type="dxa"/>
            </w:tcMar>
          </w:tcPr>
          <w:p w14:paraId="78F60CEF" w14:textId="77777777" w:rsidR="00570284" w:rsidRPr="006A4846" w:rsidRDefault="00570284" w:rsidP="00526AC6">
            <w:pPr>
              <w:spacing w:before="40" w:after="40"/>
              <w:jc w:val="center"/>
              <w:rPr>
                <w:sz w:val="16"/>
                <w:szCs w:val="16"/>
              </w:rPr>
            </w:pPr>
          </w:p>
        </w:tc>
        <w:tc>
          <w:tcPr>
            <w:tcW w:w="709" w:type="dxa"/>
            <w:tcMar>
              <w:left w:w="28" w:type="dxa"/>
              <w:right w:w="28" w:type="dxa"/>
            </w:tcMar>
          </w:tcPr>
          <w:p w14:paraId="125B14AE" w14:textId="77777777" w:rsidR="00570284" w:rsidRPr="006A4846" w:rsidRDefault="00570284" w:rsidP="00526AC6">
            <w:pPr>
              <w:spacing w:before="40" w:after="40"/>
              <w:jc w:val="center"/>
              <w:rPr>
                <w:sz w:val="16"/>
                <w:szCs w:val="16"/>
              </w:rPr>
            </w:pPr>
          </w:p>
        </w:tc>
        <w:tc>
          <w:tcPr>
            <w:tcW w:w="850" w:type="dxa"/>
            <w:tcMar>
              <w:left w:w="28" w:type="dxa"/>
              <w:right w:w="28" w:type="dxa"/>
            </w:tcMar>
          </w:tcPr>
          <w:p w14:paraId="4B350165" w14:textId="77777777" w:rsidR="00570284" w:rsidRPr="006A4846" w:rsidRDefault="00570284" w:rsidP="00526AC6">
            <w:pPr>
              <w:spacing w:before="40" w:after="40"/>
              <w:jc w:val="center"/>
              <w:rPr>
                <w:sz w:val="16"/>
                <w:szCs w:val="16"/>
              </w:rPr>
            </w:pPr>
          </w:p>
        </w:tc>
        <w:tc>
          <w:tcPr>
            <w:tcW w:w="709" w:type="dxa"/>
            <w:tcMar>
              <w:left w:w="28" w:type="dxa"/>
              <w:right w:w="28" w:type="dxa"/>
            </w:tcMar>
          </w:tcPr>
          <w:p w14:paraId="4B8363A5" w14:textId="77777777" w:rsidR="00570284" w:rsidRPr="006A4846" w:rsidRDefault="00570284" w:rsidP="00526AC6">
            <w:pPr>
              <w:spacing w:before="40" w:after="40"/>
              <w:jc w:val="center"/>
              <w:rPr>
                <w:sz w:val="16"/>
                <w:szCs w:val="16"/>
              </w:rPr>
            </w:pPr>
          </w:p>
        </w:tc>
        <w:tc>
          <w:tcPr>
            <w:tcW w:w="851" w:type="dxa"/>
            <w:tcMar>
              <w:left w:w="28" w:type="dxa"/>
              <w:right w:w="28" w:type="dxa"/>
            </w:tcMar>
          </w:tcPr>
          <w:p w14:paraId="0A92969F" w14:textId="77777777" w:rsidR="00570284" w:rsidRPr="006A4846" w:rsidRDefault="00570284" w:rsidP="00526AC6">
            <w:pPr>
              <w:spacing w:before="40" w:after="40"/>
              <w:jc w:val="center"/>
              <w:rPr>
                <w:sz w:val="16"/>
                <w:szCs w:val="16"/>
              </w:rPr>
            </w:pPr>
          </w:p>
        </w:tc>
        <w:tc>
          <w:tcPr>
            <w:tcW w:w="851" w:type="dxa"/>
            <w:tcMar>
              <w:left w:w="28" w:type="dxa"/>
              <w:right w:w="28" w:type="dxa"/>
            </w:tcMar>
          </w:tcPr>
          <w:p w14:paraId="34A917E5" w14:textId="77777777" w:rsidR="00570284" w:rsidRPr="006A4846" w:rsidRDefault="00570284" w:rsidP="00526AC6">
            <w:pPr>
              <w:spacing w:before="40" w:after="40"/>
              <w:jc w:val="center"/>
              <w:rPr>
                <w:sz w:val="16"/>
                <w:szCs w:val="16"/>
              </w:rPr>
            </w:pPr>
          </w:p>
        </w:tc>
        <w:tc>
          <w:tcPr>
            <w:tcW w:w="708" w:type="dxa"/>
            <w:tcMar>
              <w:left w:w="28" w:type="dxa"/>
              <w:right w:w="28" w:type="dxa"/>
            </w:tcMar>
          </w:tcPr>
          <w:p w14:paraId="560686A1" w14:textId="77777777" w:rsidR="00570284" w:rsidRPr="006A4846" w:rsidRDefault="00570284" w:rsidP="00526AC6">
            <w:pPr>
              <w:spacing w:before="40" w:after="40"/>
              <w:jc w:val="center"/>
              <w:rPr>
                <w:sz w:val="16"/>
                <w:szCs w:val="16"/>
              </w:rPr>
            </w:pPr>
          </w:p>
        </w:tc>
        <w:tc>
          <w:tcPr>
            <w:tcW w:w="992" w:type="dxa"/>
            <w:tcMar>
              <w:left w:w="28" w:type="dxa"/>
              <w:right w:w="28" w:type="dxa"/>
            </w:tcMar>
          </w:tcPr>
          <w:p w14:paraId="5367B18B" w14:textId="77777777" w:rsidR="00570284" w:rsidRPr="006A4846" w:rsidRDefault="00570284" w:rsidP="00526AC6">
            <w:pPr>
              <w:spacing w:before="40" w:after="40"/>
              <w:jc w:val="center"/>
              <w:rPr>
                <w:sz w:val="16"/>
                <w:szCs w:val="16"/>
              </w:rPr>
            </w:pPr>
          </w:p>
        </w:tc>
        <w:tc>
          <w:tcPr>
            <w:tcW w:w="1559" w:type="dxa"/>
            <w:gridSpan w:val="2"/>
            <w:tcMar>
              <w:left w:w="28" w:type="dxa"/>
              <w:right w:w="28" w:type="dxa"/>
            </w:tcMar>
          </w:tcPr>
          <w:p w14:paraId="4C130048" w14:textId="77777777" w:rsidR="00570284" w:rsidRPr="006A4846" w:rsidRDefault="00570284" w:rsidP="00526AC6">
            <w:pPr>
              <w:spacing w:before="40" w:after="40"/>
              <w:jc w:val="center"/>
              <w:rPr>
                <w:sz w:val="16"/>
                <w:szCs w:val="16"/>
              </w:rPr>
            </w:pPr>
          </w:p>
        </w:tc>
      </w:tr>
      <w:tr w:rsidR="00570284" w:rsidRPr="006B07D3" w14:paraId="34FA3CB9" w14:textId="77777777" w:rsidTr="00526AC6">
        <w:trPr>
          <w:trHeight w:val="274"/>
          <w:jc w:val="center"/>
        </w:trPr>
        <w:tc>
          <w:tcPr>
            <w:tcW w:w="993" w:type="dxa"/>
            <w:tcMar>
              <w:left w:w="28" w:type="dxa"/>
              <w:right w:w="28" w:type="dxa"/>
            </w:tcMar>
          </w:tcPr>
          <w:p w14:paraId="359BAE2F" w14:textId="7DA3F5F3" w:rsidR="00570284" w:rsidRPr="006A4846" w:rsidRDefault="00570284" w:rsidP="00526AC6">
            <w:pPr>
              <w:spacing w:before="40" w:after="40"/>
              <w:jc w:val="center"/>
              <w:rPr>
                <w:sz w:val="16"/>
                <w:szCs w:val="16"/>
              </w:rPr>
            </w:pPr>
            <w:r w:rsidRPr="006A4846">
              <w:rPr>
                <w:sz w:val="16"/>
                <w:szCs w:val="16"/>
              </w:rPr>
              <w:t>Financi</w:t>
            </w:r>
            <w:r w:rsidR="009D3632">
              <w:rPr>
                <w:sz w:val="16"/>
                <w:szCs w:val="16"/>
              </w:rPr>
              <w:t>ère</w:t>
            </w:r>
          </w:p>
        </w:tc>
        <w:tc>
          <w:tcPr>
            <w:tcW w:w="992" w:type="dxa"/>
            <w:tcMar>
              <w:left w:w="28" w:type="dxa"/>
              <w:right w:w="28" w:type="dxa"/>
            </w:tcMar>
          </w:tcPr>
          <w:p w14:paraId="307601AA" w14:textId="3A8C3C17" w:rsidR="00570284" w:rsidRPr="006A4846" w:rsidRDefault="009D3632" w:rsidP="009D3632">
            <w:pPr>
              <w:spacing w:before="40" w:after="40"/>
              <w:rPr>
                <w:sz w:val="16"/>
                <w:szCs w:val="16"/>
              </w:rPr>
            </w:pPr>
            <w:r>
              <w:rPr>
                <w:sz w:val="16"/>
                <w:szCs w:val="16"/>
              </w:rPr>
              <w:t xml:space="preserve">Incapacité des membres à verser les contributions mises en recouvrement  </w:t>
            </w:r>
            <w:r w:rsidR="00570284" w:rsidRPr="006A4846">
              <w:rPr>
                <w:sz w:val="16"/>
                <w:szCs w:val="16"/>
              </w:rPr>
              <w:t xml:space="preserve"> </w:t>
            </w:r>
          </w:p>
        </w:tc>
        <w:tc>
          <w:tcPr>
            <w:tcW w:w="709" w:type="dxa"/>
            <w:tcMar>
              <w:left w:w="28" w:type="dxa"/>
              <w:right w:w="28" w:type="dxa"/>
            </w:tcMar>
          </w:tcPr>
          <w:p w14:paraId="3A2AA043" w14:textId="58695463" w:rsidR="00570284" w:rsidRPr="006A4846" w:rsidRDefault="009D3632" w:rsidP="009D3632">
            <w:pPr>
              <w:spacing w:before="40" w:after="40"/>
              <w:jc w:val="center"/>
              <w:rPr>
                <w:sz w:val="16"/>
                <w:szCs w:val="16"/>
              </w:rPr>
            </w:pPr>
            <w:r>
              <w:rPr>
                <w:sz w:val="16"/>
                <w:szCs w:val="16"/>
              </w:rPr>
              <w:t xml:space="preserve">Chef de </w:t>
            </w:r>
            <w:r w:rsidR="00570284" w:rsidRPr="006A4846">
              <w:rPr>
                <w:sz w:val="16"/>
                <w:szCs w:val="16"/>
              </w:rPr>
              <w:t>FRMD</w:t>
            </w:r>
          </w:p>
        </w:tc>
        <w:tc>
          <w:tcPr>
            <w:tcW w:w="850" w:type="dxa"/>
            <w:tcMar>
              <w:left w:w="28" w:type="dxa"/>
              <w:right w:w="28" w:type="dxa"/>
            </w:tcMar>
          </w:tcPr>
          <w:p w14:paraId="10530B73" w14:textId="6DF608F3" w:rsidR="00570284" w:rsidRPr="006A4846" w:rsidRDefault="009D3632" w:rsidP="00526AC6">
            <w:pPr>
              <w:spacing w:before="40" w:after="40"/>
              <w:jc w:val="center"/>
              <w:rPr>
                <w:sz w:val="16"/>
                <w:szCs w:val="16"/>
              </w:rPr>
            </w:pPr>
            <w:r>
              <w:rPr>
                <w:sz w:val="16"/>
                <w:szCs w:val="16"/>
              </w:rPr>
              <w:t>Moyenne</w:t>
            </w:r>
          </w:p>
        </w:tc>
        <w:tc>
          <w:tcPr>
            <w:tcW w:w="709" w:type="dxa"/>
            <w:tcMar>
              <w:left w:w="28" w:type="dxa"/>
              <w:right w:w="28" w:type="dxa"/>
            </w:tcMar>
          </w:tcPr>
          <w:p w14:paraId="5CEAFDD6" w14:textId="277B3B91" w:rsidR="00570284" w:rsidRPr="006A4846" w:rsidRDefault="009D3632" w:rsidP="00526AC6">
            <w:pPr>
              <w:spacing w:before="40" w:after="40"/>
              <w:jc w:val="center"/>
              <w:rPr>
                <w:sz w:val="16"/>
                <w:szCs w:val="16"/>
              </w:rPr>
            </w:pPr>
            <w:r>
              <w:rPr>
                <w:sz w:val="16"/>
                <w:szCs w:val="16"/>
              </w:rPr>
              <w:t>Elevé</w:t>
            </w:r>
          </w:p>
        </w:tc>
        <w:tc>
          <w:tcPr>
            <w:tcW w:w="851" w:type="dxa"/>
            <w:tcMar>
              <w:left w:w="28" w:type="dxa"/>
              <w:right w:w="28" w:type="dxa"/>
            </w:tcMar>
          </w:tcPr>
          <w:p w14:paraId="3E18EA63" w14:textId="606A38AF" w:rsidR="00570284" w:rsidRPr="006A4846" w:rsidRDefault="009C01E3" w:rsidP="009C01E3">
            <w:pPr>
              <w:spacing w:before="40" w:after="40"/>
              <w:rPr>
                <w:sz w:val="16"/>
                <w:szCs w:val="16"/>
              </w:rPr>
            </w:pPr>
            <w:r>
              <w:rPr>
                <w:sz w:val="16"/>
                <w:szCs w:val="16"/>
              </w:rPr>
              <w:t xml:space="preserve">Collaboration avec les membres </w:t>
            </w:r>
            <w:r w:rsidR="00570284" w:rsidRPr="006A4846">
              <w:rPr>
                <w:sz w:val="16"/>
                <w:szCs w:val="16"/>
              </w:rPr>
              <w:t>(</w:t>
            </w:r>
            <w:r>
              <w:rPr>
                <w:sz w:val="16"/>
                <w:szCs w:val="16"/>
              </w:rPr>
              <w:t>y compris système CRM</w:t>
            </w:r>
            <w:r w:rsidR="00570284" w:rsidRPr="006A4846">
              <w:rPr>
                <w:sz w:val="16"/>
                <w:szCs w:val="16"/>
              </w:rPr>
              <w:t>)</w:t>
            </w:r>
          </w:p>
        </w:tc>
        <w:tc>
          <w:tcPr>
            <w:tcW w:w="851" w:type="dxa"/>
            <w:tcMar>
              <w:left w:w="28" w:type="dxa"/>
              <w:right w:w="28" w:type="dxa"/>
            </w:tcMar>
          </w:tcPr>
          <w:p w14:paraId="5CE4A42A" w14:textId="77777777" w:rsidR="00570284" w:rsidRPr="006A4846" w:rsidRDefault="00570284" w:rsidP="00526AC6">
            <w:pPr>
              <w:spacing w:before="40" w:after="40"/>
              <w:jc w:val="center"/>
              <w:rPr>
                <w:sz w:val="16"/>
                <w:szCs w:val="16"/>
              </w:rPr>
            </w:pPr>
            <w:r w:rsidRPr="006A4846">
              <w:rPr>
                <w:sz w:val="16"/>
                <w:szCs w:val="16"/>
              </w:rPr>
              <w:t>FRMD &amp; SPM (PRM)</w:t>
            </w:r>
          </w:p>
        </w:tc>
        <w:tc>
          <w:tcPr>
            <w:tcW w:w="708" w:type="dxa"/>
            <w:tcMar>
              <w:left w:w="28" w:type="dxa"/>
              <w:right w:w="28" w:type="dxa"/>
            </w:tcMar>
          </w:tcPr>
          <w:p w14:paraId="4A7AD50B" w14:textId="2C996AC6" w:rsidR="00570284" w:rsidRPr="006A4846" w:rsidRDefault="009C01E3" w:rsidP="00526AC6">
            <w:pPr>
              <w:spacing w:before="40" w:after="40"/>
              <w:jc w:val="center"/>
              <w:rPr>
                <w:sz w:val="16"/>
                <w:szCs w:val="16"/>
              </w:rPr>
            </w:pPr>
            <w:r>
              <w:rPr>
                <w:sz w:val="16"/>
                <w:szCs w:val="16"/>
              </w:rPr>
              <w:t>En cours</w:t>
            </w:r>
          </w:p>
        </w:tc>
        <w:tc>
          <w:tcPr>
            <w:tcW w:w="992" w:type="dxa"/>
            <w:tcMar>
              <w:left w:w="28" w:type="dxa"/>
              <w:right w:w="28" w:type="dxa"/>
            </w:tcMar>
          </w:tcPr>
          <w:p w14:paraId="654BF583" w14:textId="10BF6FA4" w:rsidR="00570284" w:rsidRPr="006A4846" w:rsidRDefault="009C01E3" w:rsidP="009C01E3">
            <w:pPr>
              <w:spacing w:before="40" w:after="40"/>
              <w:rPr>
                <w:sz w:val="16"/>
                <w:szCs w:val="16"/>
              </w:rPr>
            </w:pPr>
            <w:r>
              <w:rPr>
                <w:sz w:val="16"/>
                <w:szCs w:val="16"/>
              </w:rPr>
              <w:t>Après contrôles, le risque subsiste, une gestion active est nécessaire</w:t>
            </w:r>
          </w:p>
        </w:tc>
        <w:tc>
          <w:tcPr>
            <w:tcW w:w="1559" w:type="dxa"/>
            <w:gridSpan w:val="2"/>
            <w:tcMar>
              <w:left w:w="28" w:type="dxa"/>
              <w:right w:w="28" w:type="dxa"/>
            </w:tcMar>
          </w:tcPr>
          <w:p w14:paraId="2E169FB9" w14:textId="369EDCBE" w:rsidR="00570284" w:rsidRPr="006A4846" w:rsidRDefault="009C01E3" w:rsidP="009C01E3">
            <w:pPr>
              <w:spacing w:before="40" w:after="40"/>
              <w:rPr>
                <w:sz w:val="16"/>
                <w:szCs w:val="16"/>
              </w:rPr>
            </w:pPr>
            <w:r>
              <w:rPr>
                <w:sz w:val="16"/>
                <w:szCs w:val="16"/>
              </w:rPr>
              <w:t xml:space="preserve">Système </w:t>
            </w:r>
            <w:r w:rsidR="00570284" w:rsidRPr="006A4846">
              <w:rPr>
                <w:sz w:val="16"/>
                <w:szCs w:val="16"/>
              </w:rPr>
              <w:t xml:space="preserve">CRM </w:t>
            </w:r>
            <w:r>
              <w:rPr>
                <w:sz w:val="16"/>
                <w:szCs w:val="16"/>
              </w:rPr>
              <w:t>pour obtenir plus de renseignements sur la collaboration avec les membres et mieux gérer la relation</w:t>
            </w:r>
          </w:p>
        </w:tc>
      </w:tr>
    </w:tbl>
    <w:p w14:paraId="7EF847BD" w14:textId="53C13636" w:rsidR="00570284" w:rsidRPr="006A4846" w:rsidRDefault="00570284" w:rsidP="00751A18">
      <w:pPr>
        <w:pStyle w:val="Heading1"/>
      </w:pPr>
      <w:r w:rsidRPr="006A4846">
        <w:t>ANNEX</w:t>
      </w:r>
      <w:r w:rsidR="009C01E3">
        <w:t>E</w:t>
      </w:r>
      <w:r w:rsidRPr="006A4846">
        <w:t xml:space="preserve"> 2 - </w:t>
      </w:r>
      <w:r w:rsidR="009C01E3" w:rsidRPr="00751A18">
        <w:t>Glossaire</w:t>
      </w:r>
      <w:r w:rsidRPr="006A4846">
        <w:rPr>
          <w:rStyle w:val="FootnoteReference"/>
          <w:rFonts w:asciiTheme="minorHAnsi" w:hAnsiTheme="minorHAnsi"/>
          <w:szCs w:val="26"/>
        </w:rPr>
        <w:footnoteReference w:id="1"/>
      </w:r>
    </w:p>
    <w:p w14:paraId="15E52941" w14:textId="28A06F50" w:rsidR="00570284" w:rsidRPr="006A4846" w:rsidRDefault="001D6A28" w:rsidP="00751A18">
      <w:r w:rsidRPr="001D6A28">
        <w:rPr>
          <w:bCs/>
        </w:rPr>
        <w:t>La</w:t>
      </w:r>
      <w:r>
        <w:rPr>
          <w:b/>
          <w:bCs/>
        </w:rPr>
        <w:t xml:space="preserve"> </w:t>
      </w:r>
      <w:r w:rsidR="005E487D">
        <w:rPr>
          <w:b/>
          <w:bCs/>
        </w:rPr>
        <w:t>g</w:t>
      </w:r>
      <w:r>
        <w:rPr>
          <w:b/>
          <w:bCs/>
        </w:rPr>
        <w:t xml:space="preserve">estion des risques </w:t>
      </w:r>
      <w:r w:rsidR="008A18F5">
        <w:t>se réfère à un ensemble coordonné d’activités et de méthodes mises en œuvre pour diriger une organisation et maîtriser les nombreux risques qui peuvent compromettre sa capacité d’atteindre ses objectifs</w:t>
      </w:r>
      <w:r w:rsidR="00570284" w:rsidRPr="006A4846">
        <w:t>.</w:t>
      </w:r>
    </w:p>
    <w:p w14:paraId="136C6561" w14:textId="270A9B2E" w:rsidR="00570284" w:rsidRPr="006A4846" w:rsidRDefault="008A18F5" w:rsidP="00751A18">
      <w:r w:rsidRPr="008A18F5">
        <w:rPr>
          <w:bCs/>
        </w:rPr>
        <w:t>Le</w:t>
      </w:r>
      <w:r>
        <w:rPr>
          <w:b/>
          <w:bCs/>
        </w:rPr>
        <w:t xml:space="preserve"> risque </w:t>
      </w:r>
      <w:r>
        <w:t>est « l’effet de l’incertitude sur les objectifs »</w:t>
      </w:r>
      <w:r w:rsidR="00570284" w:rsidRPr="006A4846">
        <w:t xml:space="preserve"> </w:t>
      </w:r>
      <w:r>
        <w:t>et un effet est un écart positif ou négatif par rapport à ce qui est attendu</w:t>
      </w:r>
      <w:r w:rsidR="00570284" w:rsidRPr="006A4846">
        <w:t>.</w:t>
      </w:r>
    </w:p>
    <w:p w14:paraId="4079E7A5" w14:textId="4CF9A25B" w:rsidR="00570284" w:rsidRPr="006A4846" w:rsidRDefault="008A18F5" w:rsidP="00751A18">
      <w:r w:rsidRPr="008A18F5">
        <w:rPr>
          <w:bCs/>
        </w:rPr>
        <w:t>L’</w:t>
      </w:r>
      <w:r>
        <w:rPr>
          <w:b/>
          <w:bCs/>
        </w:rPr>
        <w:t xml:space="preserve">incidence </w:t>
      </w:r>
      <w:r>
        <w:t>ou</w:t>
      </w:r>
      <w:r w:rsidR="00570284" w:rsidRPr="006A4846">
        <w:t xml:space="preserve"> </w:t>
      </w:r>
      <w:r w:rsidRPr="006A4846">
        <w:t>conséquence</w:t>
      </w:r>
      <w:r w:rsidR="00570284" w:rsidRPr="006A4846">
        <w:t xml:space="preserve"> </w:t>
      </w:r>
      <w:r>
        <w:t>est le résultat d’un événement et a un effet sur les objectifs.</w:t>
      </w:r>
    </w:p>
    <w:p w14:paraId="1FB881A1" w14:textId="0AF4EDB5" w:rsidR="00570284" w:rsidRPr="006A4846" w:rsidRDefault="00476FBA" w:rsidP="00751A18">
      <w:r w:rsidRPr="00476FBA">
        <w:rPr>
          <w:bCs/>
        </w:rPr>
        <w:t>La</w:t>
      </w:r>
      <w:r>
        <w:rPr>
          <w:b/>
          <w:bCs/>
        </w:rPr>
        <w:t xml:space="preserve"> probabilité</w:t>
      </w:r>
      <w:r w:rsidR="00570284" w:rsidRPr="006A4846">
        <w:rPr>
          <w:b/>
          <w:bCs/>
        </w:rPr>
        <w:t xml:space="preserve"> </w:t>
      </w:r>
      <w:r>
        <w:t>est la possibilité que quelque chose puisse arriver. La probabilité peut être définie, déterminée ou mesurée objectivement ou subjectivement et peut être exprimée qualitativement ou quantitativement</w:t>
      </w:r>
      <w:r w:rsidR="00570284" w:rsidRPr="006A4846">
        <w:t>.</w:t>
      </w:r>
    </w:p>
    <w:p w14:paraId="0451CB6B" w14:textId="1D4A3CBC" w:rsidR="00570284" w:rsidRPr="006A4846" w:rsidRDefault="00476FBA" w:rsidP="00751A18">
      <w:pPr>
        <w:rPr>
          <w:b/>
          <w:bCs/>
        </w:rPr>
      </w:pPr>
      <w:r w:rsidRPr="00476FBA">
        <w:rPr>
          <w:bCs/>
        </w:rPr>
        <w:t>La</w:t>
      </w:r>
      <w:r>
        <w:rPr>
          <w:b/>
          <w:bCs/>
        </w:rPr>
        <w:t xml:space="preserve"> propension au risque</w:t>
      </w:r>
      <w:r w:rsidR="00570284" w:rsidRPr="006A4846">
        <w:t xml:space="preserve"> </w:t>
      </w:r>
      <w:r>
        <w:t>est le degré et le type de risque qu’une organisation est disposée à prendre ou à conserver</w:t>
      </w:r>
      <w:r w:rsidR="00570284" w:rsidRPr="006A4846">
        <w:t>.</w:t>
      </w:r>
      <w:r w:rsidR="00570284" w:rsidRPr="006A4846">
        <w:rPr>
          <w:b/>
          <w:bCs/>
        </w:rPr>
        <w:t xml:space="preserve"> </w:t>
      </w:r>
    </w:p>
    <w:p w14:paraId="50F577C0" w14:textId="062A926A" w:rsidR="00570284" w:rsidRPr="006A4846" w:rsidRDefault="00476FBA" w:rsidP="00751A18">
      <w:r w:rsidRPr="00476FBA">
        <w:rPr>
          <w:bCs/>
        </w:rPr>
        <w:t>L’</w:t>
      </w:r>
      <w:r>
        <w:rPr>
          <w:b/>
          <w:bCs/>
        </w:rPr>
        <w:t xml:space="preserve">intervention en cas de risque </w:t>
      </w:r>
      <w:r>
        <w:t>se réfère aux décisions prises pour faire face aux risques qui ont été identifiés. L’organisation peut réagir au risque soit en l’acceptant, en l’atténuant ou en le transférant.</w:t>
      </w:r>
    </w:p>
    <w:p w14:paraId="73FFDD35" w14:textId="36289914" w:rsidR="00570284" w:rsidRPr="006A4846" w:rsidRDefault="00476FBA" w:rsidP="00751A18">
      <w:r w:rsidRPr="00476FBA">
        <w:rPr>
          <w:bCs/>
        </w:rPr>
        <w:t>Le</w:t>
      </w:r>
      <w:r>
        <w:rPr>
          <w:b/>
          <w:bCs/>
        </w:rPr>
        <w:t xml:space="preserve"> registre des risques </w:t>
      </w:r>
      <w:r>
        <w:t xml:space="preserve">est </w:t>
      </w:r>
      <w:r w:rsidR="00EF18AC">
        <w:t>un journal des risques identifiés qui présente la description du risque, le pilote de risque, la probabilité et l’incidence du risque, les mesures d’atténuation et les décisions de suivi</w:t>
      </w:r>
      <w:r w:rsidR="00570284" w:rsidRPr="006A4846">
        <w:t>.</w:t>
      </w:r>
    </w:p>
    <w:p w14:paraId="39D64000" w14:textId="4EFCCC1D" w:rsidR="00570284" w:rsidRPr="006A4846" w:rsidRDefault="00EF18AC" w:rsidP="00B94CF0">
      <w:pPr>
        <w:tabs>
          <w:tab w:val="clear" w:pos="567"/>
          <w:tab w:val="clear" w:pos="1134"/>
          <w:tab w:val="clear" w:pos="1701"/>
          <w:tab w:val="clear" w:pos="2268"/>
          <w:tab w:val="clear" w:pos="2835"/>
        </w:tabs>
        <w:snapToGrid w:val="0"/>
        <w:spacing w:after="120"/>
        <w:jc w:val="both"/>
      </w:pPr>
      <w:r w:rsidRPr="00EF18AC">
        <w:rPr>
          <w:bCs/>
        </w:rPr>
        <w:t>Le</w:t>
      </w:r>
      <w:r>
        <w:rPr>
          <w:b/>
          <w:bCs/>
        </w:rPr>
        <w:t xml:space="preserve"> risque résiduel</w:t>
      </w:r>
      <w:r w:rsidR="00570284" w:rsidRPr="006A4846">
        <w:t xml:space="preserve"> </w:t>
      </w:r>
      <w:r>
        <w:t>est le niveau de risque qui subsiste après examen de toutes les pratiques et contrôles existants visant à l’atténuation. Le risque résiduel donne des orientations quant au niveau requis d’attention de la part de la direction</w:t>
      </w:r>
      <w:r w:rsidR="00570284" w:rsidRPr="006A4846">
        <w:t>.</w:t>
      </w:r>
    </w:p>
    <w:p w14:paraId="6B6222AE" w14:textId="77777777" w:rsidR="00264425" w:rsidRPr="006A4846" w:rsidRDefault="00570284" w:rsidP="00570284">
      <w:pPr>
        <w:snapToGrid w:val="0"/>
        <w:spacing w:before="840"/>
        <w:jc w:val="center"/>
      </w:pPr>
      <w:r w:rsidRPr="006A4846">
        <w:t>________________</w:t>
      </w:r>
    </w:p>
    <w:sectPr w:rsidR="00264425" w:rsidRPr="006A4846"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BD8F2" w14:textId="77777777" w:rsidR="006C1509" w:rsidRDefault="006C1509">
      <w:r>
        <w:separator/>
      </w:r>
    </w:p>
  </w:endnote>
  <w:endnote w:type="continuationSeparator" w:id="0">
    <w:p w14:paraId="70CD818E" w14:textId="77777777" w:rsidR="006C1509" w:rsidRDefault="006C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7C15" w14:textId="4BC4CE9F" w:rsidR="00526AC6" w:rsidRPr="006B07D3" w:rsidRDefault="006B07D3" w:rsidP="006B07D3">
    <w:pPr>
      <w:pStyle w:val="Footer"/>
    </w:pPr>
    <w:fldSimple w:instr=" FILENAME \p  \* MERGEFORMAT ">
      <w:r>
        <w:t>P:\FRA\SG\CONSEIL\C17\000\074F.docx</w:t>
      </w:r>
    </w:fldSimple>
    <w:r>
      <w:t xml:space="preserve"> (415688)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3963D" w14:textId="77777777" w:rsidR="00526AC6" w:rsidRDefault="00526AC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C8EBC" w14:textId="77777777" w:rsidR="006C1509" w:rsidRDefault="006C1509">
      <w:r>
        <w:t>____________________</w:t>
      </w:r>
    </w:p>
  </w:footnote>
  <w:footnote w:type="continuationSeparator" w:id="0">
    <w:p w14:paraId="63711579" w14:textId="77777777" w:rsidR="006C1509" w:rsidRDefault="006C1509">
      <w:r>
        <w:continuationSeparator/>
      </w:r>
    </w:p>
  </w:footnote>
  <w:footnote w:id="1">
    <w:p w14:paraId="11B0349E" w14:textId="77B36705" w:rsidR="00526AC6" w:rsidRPr="004960EB" w:rsidRDefault="00526AC6" w:rsidP="00751A18">
      <w:pPr>
        <w:pStyle w:val="FootnoteText"/>
        <w:rPr>
          <w:lang w:val="fr-CH"/>
        </w:rPr>
      </w:pPr>
      <w:r>
        <w:rPr>
          <w:rStyle w:val="FootnoteReference"/>
        </w:rPr>
        <w:footnoteRef/>
      </w:r>
      <w:r w:rsidR="00751A18">
        <w:rPr>
          <w:lang w:val="fr-CH"/>
        </w:rPr>
        <w:tab/>
      </w:r>
      <w:r w:rsidR="00EF18AC" w:rsidRPr="004960EB">
        <w:rPr>
          <w:sz w:val="20"/>
          <w:lang w:val="fr-CH"/>
        </w:rPr>
        <w:t xml:space="preserve">Ces définitions se fondent sur le Risk Management Dictionary </w:t>
      </w:r>
      <w:r w:rsidRPr="004960EB">
        <w:rPr>
          <w:sz w:val="20"/>
          <w:lang w:val="fr-CH"/>
        </w:rPr>
        <w:t>ISO 31000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47AE6" w14:textId="77777777" w:rsidR="00526AC6" w:rsidRDefault="00526AC6" w:rsidP="00CE433C">
    <w:pPr>
      <w:pStyle w:val="Header"/>
    </w:pPr>
    <w:r>
      <w:fldChar w:fldCharType="begin"/>
    </w:r>
    <w:r>
      <w:instrText>PAGE</w:instrText>
    </w:r>
    <w:r>
      <w:fldChar w:fldCharType="separate"/>
    </w:r>
    <w:r w:rsidR="008B003C">
      <w:rPr>
        <w:noProof/>
      </w:rPr>
      <w:t>7</w:t>
    </w:r>
    <w:r>
      <w:rPr>
        <w:noProof/>
      </w:rPr>
      <w:fldChar w:fldCharType="end"/>
    </w:r>
  </w:p>
  <w:p w14:paraId="044B7E75" w14:textId="72AE1FCC" w:rsidR="00526AC6" w:rsidRDefault="00526AC6" w:rsidP="006B07D3">
    <w:pPr>
      <w:pStyle w:val="Header"/>
    </w:pPr>
    <w:r>
      <w:t>C17/74-</w:t>
    </w:r>
    <w:r w:rsidR="006B07D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F17B5"/>
    <w:multiLevelType w:val="hybridMultilevel"/>
    <w:tmpl w:val="815AD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B122F"/>
    <w:multiLevelType w:val="hybridMultilevel"/>
    <w:tmpl w:val="33C45834"/>
    <w:lvl w:ilvl="0" w:tplc="A1CA3D96">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DC"/>
    <w:rsid w:val="0000071A"/>
    <w:rsid w:val="000210D4"/>
    <w:rsid w:val="00063016"/>
    <w:rsid w:val="00066795"/>
    <w:rsid w:val="0007244D"/>
    <w:rsid w:val="00076966"/>
    <w:rsid w:val="00076AF6"/>
    <w:rsid w:val="00085CF2"/>
    <w:rsid w:val="00093DD4"/>
    <w:rsid w:val="000B1705"/>
    <w:rsid w:val="000D75B2"/>
    <w:rsid w:val="000E35AD"/>
    <w:rsid w:val="000F7147"/>
    <w:rsid w:val="001121F5"/>
    <w:rsid w:val="00133A85"/>
    <w:rsid w:val="001400DC"/>
    <w:rsid w:val="00140CE1"/>
    <w:rsid w:val="0017539C"/>
    <w:rsid w:val="001758A8"/>
    <w:rsid w:val="00175AC2"/>
    <w:rsid w:val="0017609F"/>
    <w:rsid w:val="001A1A5E"/>
    <w:rsid w:val="001C628E"/>
    <w:rsid w:val="001D6A28"/>
    <w:rsid w:val="001E0F7B"/>
    <w:rsid w:val="002119FD"/>
    <w:rsid w:val="002130E0"/>
    <w:rsid w:val="00215D8C"/>
    <w:rsid w:val="00246B9B"/>
    <w:rsid w:val="00264425"/>
    <w:rsid w:val="00265875"/>
    <w:rsid w:val="0027303B"/>
    <w:rsid w:val="0028109B"/>
    <w:rsid w:val="002B1F58"/>
    <w:rsid w:val="002C1C7A"/>
    <w:rsid w:val="002D240A"/>
    <w:rsid w:val="002F21AE"/>
    <w:rsid w:val="0030160F"/>
    <w:rsid w:val="00322D0D"/>
    <w:rsid w:val="00333D36"/>
    <w:rsid w:val="00344097"/>
    <w:rsid w:val="00354FEC"/>
    <w:rsid w:val="00387BAD"/>
    <w:rsid w:val="003942D4"/>
    <w:rsid w:val="003958A8"/>
    <w:rsid w:val="003C2533"/>
    <w:rsid w:val="003D63E1"/>
    <w:rsid w:val="0040435A"/>
    <w:rsid w:val="00415344"/>
    <w:rsid w:val="00416A24"/>
    <w:rsid w:val="004205F7"/>
    <w:rsid w:val="00431D9E"/>
    <w:rsid w:val="00433CE8"/>
    <w:rsid w:val="00434A5C"/>
    <w:rsid w:val="00451F60"/>
    <w:rsid w:val="004544D9"/>
    <w:rsid w:val="00476FBA"/>
    <w:rsid w:val="00490E72"/>
    <w:rsid w:val="00491157"/>
    <w:rsid w:val="004921C8"/>
    <w:rsid w:val="004960EB"/>
    <w:rsid w:val="004D1851"/>
    <w:rsid w:val="004D599D"/>
    <w:rsid w:val="004E2EA5"/>
    <w:rsid w:val="004E34D4"/>
    <w:rsid w:val="004E3AEB"/>
    <w:rsid w:val="00500342"/>
    <w:rsid w:val="0050223C"/>
    <w:rsid w:val="005243FF"/>
    <w:rsid w:val="00526AC6"/>
    <w:rsid w:val="005300E2"/>
    <w:rsid w:val="00543A9D"/>
    <w:rsid w:val="00563183"/>
    <w:rsid w:val="00564FBC"/>
    <w:rsid w:val="00570284"/>
    <w:rsid w:val="00582442"/>
    <w:rsid w:val="005A2D1E"/>
    <w:rsid w:val="005C6160"/>
    <w:rsid w:val="005D2473"/>
    <w:rsid w:val="005E487D"/>
    <w:rsid w:val="005F0B71"/>
    <w:rsid w:val="00612A5C"/>
    <w:rsid w:val="00613567"/>
    <w:rsid w:val="0062251D"/>
    <w:rsid w:val="0064737F"/>
    <w:rsid w:val="006535F1"/>
    <w:rsid w:val="0065557D"/>
    <w:rsid w:val="006609A1"/>
    <w:rsid w:val="00662984"/>
    <w:rsid w:val="006716BB"/>
    <w:rsid w:val="006728FB"/>
    <w:rsid w:val="006A4846"/>
    <w:rsid w:val="006B07D3"/>
    <w:rsid w:val="006B6680"/>
    <w:rsid w:val="006B6DCC"/>
    <w:rsid w:val="006C1509"/>
    <w:rsid w:val="006C2166"/>
    <w:rsid w:val="00702BF9"/>
    <w:rsid w:val="00702DEF"/>
    <w:rsid w:val="00706861"/>
    <w:rsid w:val="00746299"/>
    <w:rsid w:val="0075051B"/>
    <w:rsid w:val="00751A18"/>
    <w:rsid w:val="007709E2"/>
    <w:rsid w:val="00794D34"/>
    <w:rsid w:val="007E4EF1"/>
    <w:rsid w:val="007E6B87"/>
    <w:rsid w:val="00802007"/>
    <w:rsid w:val="008076DF"/>
    <w:rsid w:val="00813E5E"/>
    <w:rsid w:val="0083581B"/>
    <w:rsid w:val="00835ABB"/>
    <w:rsid w:val="00862316"/>
    <w:rsid w:val="00864AFF"/>
    <w:rsid w:val="008727E1"/>
    <w:rsid w:val="00894023"/>
    <w:rsid w:val="008A18F5"/>
    <w:rsid w:val="008A60C7"/>
    <w:rsid w:val="008B003C"/>
    <w:rsid w:val="008B4A6A"/>
    <w:rsid w:val="008C7E27"/>
    <w:rsid w:val="008D12C2"/>
    <w:rsid w:val="00910177"/>
    <w:rsid w:val="009173EF"/>
    <w:rsid w:val="009204AB"/>
    <w:rsid w:val="009321C0"/>
    <w:rsid w:val="00932906"/>
    <w:rsid w:val="00961B0B"/>
    <w:rsid w:val="009B12BC"/>
    <w:rsid w:val="009B38C3"/>
    <w:rsid w:val="009C01E3"/>
    <w:rsid w:val="009D1D00"/>
    <w:rsid w:val="009D3632"/>
    <w:rsid w:val="009D6F72"/>
    <w:rsid w:val="009E17BD"/>
    <w:rsid w:val="009E366C"/>
    <w:rsid w:val="00A04CEC"/>
    <w:rsid w:val="00A27BB3"/>
    <w:rsid w:val="00A27F92"/>
    <w:rsid w:val="00A32257"/>
    <w:rsid w:val="00A366DC"/>
    <w:rsid w:val="00A36D20"/>
    <w:rsid w:val="00A55622"/>
    <w:rsid w:val="00A83502"/>
    <w:rsid w:val="00A91AA5"/>
    <w:rsid w:val="00AD15B3"/>
    <w:rsid w:val="00AD1C0C"/>
    <w:rsid w:val="00AF6E49"/>
    <w:rsid w:val="00B04A67"/>
    <w:rsid w:val="00B0583C"/>
    <w:rsid w:val="00B13C55"/>
    <w:rsid w:val="00B40A81"/>
    <w:rsid w:val="00B44910"/>
    <w:rsid w:val="00B5259D"/>
    <w:rsid w:val="00B5471D"/>
    <w:rsid w:val="00B60A50"/>
    <w:rsid w:val="00B72267"/>
    <w:rsid w:val="00B76EB6"/>
    <w:rsid w:val="00B7737B"/>
    <w:rsid w:val="00B824C8"/>
    <w:rsid w:val="00B94CF0"/>
    <w:rsid w:val="00BB26AA"/>
    <w:rsid w:val="00BB3200"/>
    <w:rsid w:val="00BC251A"/>
    <w:rsid w:val="00BD032B"/>
    <w:rsid w:val="00BE2640"/>
    <w:rsid w:val="00BF06A8"/>
    <w:rsid w:val="00C01189"/>
    <w:rsid w:val="00C25AFB"/>
    <w:rsid w:val="00C3696A"/>
    <w:rsid w:val="00C374DE"/>
    <w:rsid w:val="00C441A6"/>
    <w:rsid w:val="00C451AF"/>
    <w:rsid w:val="00C47AD4"/>
    <w:rsid w:val="00C52D81"/>
    <w:rsid w:val="00C55198"/>
    <w:rsid w:val="00C8015A"/>
    <w:rsid w:val="00C802B8"/>
    <w:rsid w:val="00C9070C"/>
    <w:rsid w:val="00CA3EE8"/>
    <w:rsid w:val="00CA6393"/>
    <w:rsid w:val="00CA69C0"/>
    <w:rsid w:val="00CB18FF"/>
    <w:rsid w:val="00CC62FE"/>
    <w:rsid w:val="00CD0C08"/>
    <w:rsid w:val="00CE03FB"/>
    <w:rsid w:val="00CE433C"/>
    <w:rsid w:val="00CF33F3"/>
    <w:rsid w:val="00D06183"/>
    <w:rsid w:val="00D22C42"/>
    <w:rsid w:val="00D4528F"/>
    <w:rsid w:val="00D54057"/>
    <w:rsid w:val="00D65041"/>
    <w:rsid w:val="00D857E3"/>
    <w:rsid w:val="00DB384B"/>
    <w:rsid w:val="00E10E80"/>
    <w:rsid w:val="00E124F0"/>
    <w:rsid w:val="00E2624F"/>
    <w:rsid w:val="00E2634B"/>
    <w:rsid w:val="00E264B3"/>
    <w:rsid w:val="00E60F04"/>
    <w:rsid w:val="00E854E4"/>
    <w:rsid w:val="00E92B74"/>
    <w:rsid w:val="00EB0D6F"/>
    <w:rsid w:val="00EB2232"/>
    <w:rsid w:val="00EB440F"/>
    <w:rsid w:val="00EC5337"/>
    <w:rsid w:val="00ED2D17"/>
    <w:rsid w:val="00ED7697"/>
    <w:rsid w:val="00EE2FE4"/>
    <w:rsid w:val="00EF18AC"/>
    <w:rsid w:val="00EF1E1E"/>
    <w:rsid w:val="00F034CB"/>
    <w:rsid w:val="00F04E92"/>
    <w:rsid w:val="00F2150A"/>
    <w:rsid w:val="00F231D8"/>
    <w:rsid w:val="00F40A30"/>
    <w:rsid w:val="00F46C5F"/>
    <w:rsid w:val="00F80E7D"/>
    <w:rsid w:val="00F94A63"/>
    <w:rsid w:val="00F963E3"/>
    <w:rsid w:val="00FA1C28"/>
    <w:rsid w:val="00FA56ED"/>
    <w:rsid w:val="00FB7596"/>
    <w:rsid w:val="00FC7FD5"/>
    <w:rsid w:val="00FE4077"/>
    <w:rsid w:val="00FE5F62"/>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DCC68A"/>
  <w15:docId w15:val="{E548721C-CA0B-4681-A164-DE0E0DA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D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6B07D3"/>
    <w:pPr>
      <w:keepNext/>
      <w:keepLines/>
      <w:spacing w:before="480"/>
      <w:ind w:left="567" w:hanging="567"/>
      <w:outlineLvl w:val="0"/>
    </w:pPr>
    <w:rPr>
      <w:b/>
      <w:sz w:val="28"/>
    </w:rPr>
  </w:style>
  <w:style w:type="paragraph" w:styleId="Heading2">
    <w:name w:val="heading 2"/>
    <w:basedOn w:val="Heading1"/>
    <w:next w:val="Normal"/>
    <w:qFormat/>
    <w:rsid w:val="006B07D3"/>
    <w:pPr>
      <w:spacing w:before="320"/>
      <w:outlineLvl w:val="1"/>
    </w:pPr>
    <w:rPr>
      <w:sz w:val="24"/>
    </w:rPr>
  </w:style>
  <w:style w:type="paragraph" w:styleId="Heading3">
    <w:name w:val="heading 3"/>
    <w:basedOn w:val="Heading1"/>
    <w:next w:val="Normal"/>
    <w:qFormat/>
    <w:rsid w:val="006B07D3"/>
    <w:pPr>
      <w:spacing w:before="200"/>
      <w:outlineLvl w:val="2"/>
    </w:pPr>
    <w:rPr>
      <w:sz w:val="24"/>
    </w:rPr>
  </w:style>
  <w:style w:type="paragraph" w:styleId="Heading4">
    <w:name w:val="heading 4"/>
    <w:basedOn w:val="Heading3"/>
    <w:next w:val="Normal"/>
    <w:qFormat/>
    <w:rsid w:val="006B07D3"/>
    <w:pPr>
      <w:ind w:left="1134" w:hanging="1134"/>
      <w:outlineLvl w:val="3"/>
    </w:pPr>
  </w:style>
  <w:style w:type="paragraph" w:styleId="Heading5">
    <w:name w:val="heading 5"/>
    <w:basedOn w:val="Heading4"/>
    <w:next w:val="Normal"/>
    <w:qFormat/>
    <w:rsid w:val="006B07D3"/>
    <w:pPr>
      <w:outlineLvl w:val="4"/>
    </w:pPr>
  </w:style>
  <w:style w:type="paragraph" w:styleId="Heading6">
    <w:name w:val="heading 6"/>
    <w:basedOn w:val="Heading4"/>
    <w:next w:val="Normal"/>
    <w:qFormat/>
    <w:rsid w:val="006B07D3"/>
    <w:pPr>
      <w:outlineLvl w:val="5"/>
    </w:pPr>
  </w:style>
  <w:style w:type="paragraph" w:styleId="Heading7">
    <w:name w:val="heading 7"/>
    <w:basedOn w:val="Heading4"/>
    <w:next w:val="Normal"/>
    <w:qFormat/>
    <w:rsid w:val="006B07D3"/>
    <w:pPr>
      <w:ind w:left="1701" w:hanging="1701"/>
      <w:outlineLvl w:val="6"/>
    </w:pPr>
  </w:style>
  <w:style w:type="paragraph" w:styleId="Heading8">
    <w:name w:val="heading 8"/>
    <w:basedOn w:val="Heading4"/>
    <w:next w:val="Normal"/>
    <w:qFormat/>
    <w:rsid w:val="006B07D3"/>
    <w:pPr>
      <w:ind w:left="1701" w:hanging="1701"/>
      <w:outlineLvl w:val="7"/>
    </w:pPr>
  </w:style>
  <w:style w:type="paragraph" w:styleId="Heading9">
    <w:name w:val="heading 9"/>
    <w:basedOn w:val="Heading4"/>
    <w:next w:val="Normal"/>
    <w:qFormat/>
    <w:rsid w:val="006B07D3"/>
    <w:pPr>
      <w:ind w:left="1701" w:hanging="1701"/>
      <w:outlineLvl w:val="8"/>
    </w:pPr>
  </w:style>
  <w:style w:type="character" w:default="1" w:styleId="DefaultParagraphFont">
    <w:name w:val="Default Paragraph Font"/>
    <w:uiPriority w:val="1"/>
    <w:semiHidden/>
    <w:unhideWhenUsed/>
    <w:rsid w:val="006B07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07D3"/>
  </w:style>
  <w:style w:type="paragraph" w:styleId="TOC8">
    <w:name w:val="toc 8"/>
    <w:basedOn w:val="Normal"/>
    <w:next w:val="Normal"/>
    <w:rsid w:val="006B07D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B07D3"/>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6B07D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6B07D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6B07D3"/>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6B07D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B07D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6B07D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B07D3"/>
    <w:pPr>
      <w:ind w:left="1698"/>
    </w:pPr>
  </w:style>
  <w:style w:type="paragraph" w:styleId="Index6">
    <w:name w:val="index 6"/>
    <w:basedOn w:val="Normal"/>
    <w:next w:val="Normal"/>
    <w:rsid w:val="006B07D3"/>
    <w:pPr>
      <w:ind w:left="1415"/>
    </w:pPr>
  </w:style>
  <w:style w:type="paragraph" w:styleId="Index5">
    <w:name w:val="index 5"/>
    <w:basedOn w:val="Normal"/>
    <w:next w:val="Normal"/>
    <w:rsid w:val="006B07D3"/>
    <w:pPr>
      <w:ind w:left="1132"/>
    </w:pPr>
  </w:style>
  <w:style w:type="paragraph" w:styleId="Index4">
    <w:name w:val="index 4"/>
    <w:basedOn w:val="Normal"/>
    <w:next w:val="Normal"/>
    <w:rsid w:val="006B07D3"/>
    <w:pPr>
      <w:ind w:left="849"/>
    </w:pPr>
  </w:style>
  <w:style w:type="paragraph" w:styleId="Index3">
    <w:name w:val="index 3"/>
    <w:basedOn w:val="Normal"/>
    <w:next w:val="Normal"/>
    <w:rsid w:val="006B07D3"/>
    <w:pPr>
      <w:ind w:left="566"/>
    </w:pPr>
  </w:style>
  <w:style w:type="paragraph" w:styleId="Index2">
    <w:name w:val="index 2"/>
    <w:basedOn w:val="Normal"/>
    <w:next w:val="Normal"/>
    <w:rsid w:val="006B07D3"/>
    <w:pPr>
      <w:ind w:left="283"/>
    </w:pPr>
  </w:style>
  <w:style w:type="paragraph" w:styleId="Index1">
    <w:name w:val="index 1"/>
    <w:basedOn w:val="Normal"/>
    <w:next w:val="Normal"/>
    <w:rsid w:val="006B07D3"/>
  </w:style>
  <w:style w:type="character" w:styleId="LineNumber">
    <w:name w:val="line number"/>
    <w:basedOn w:val="DefaultParagraphFont"/>
    <w:rsid w:val="006B07D3"/>
  </w:style>
  <w:style w:type="paragraph" w:styleId="IndexHeading">
    <w:name w:val="index heading"/>
    <w:basedOn w:val="Normal"/>
    <w:next w:val="Index1"/>
    <w:rsid w:val="006B07D3"/>
  </w:style>
  <w:style w:type="paragraph" w:styleId="Footer">
    <w:name w:val="footer"/>
    <w:basedOn w:val="Normal"/>
    <w:rsid w:val="006B07D3"/>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6B07D3"/>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6B07D3"/>
    <w:rPr>
      <w:rFonts w:ascii="Calibri" w:hAnsi="Calibri"/>
      <w:position w:val="6"/>
      <w:sz w:val="16"/>
    </w:rPr>
  </w:style>
  <w:style w:type="paragraph" w:styleId="FootnoteText">
    <w:name w:val="footnote text"/>
    <w:basedOn w:val="Normal"/>
    <w:link w:val="FootnoteTextChar"/>
    <w:rsid w:val="006B07D3"/>
    <w:pPr>
      <w:keepLines/>
      <w:tabs>
        <w:tab w:val="left" w:pos="256"/>
      </w:tabs>
      <w:ind w:left="256" w:hanging="256"/>
    </w:pPr>
  </w:style>
  <w:style w:type="paragraph" w:styleId="NormalIndent">
    <w:name w:val="Normal Indent"/>
    <w:basedOn w:val="Normal"/>
    <w:rsid w:val="006B07D3"/>
    <w:pPr>
      <w:ind w:left="567"/>
    </w:pPr>
  </w:style>
  <w:style w:type="paragraph" w:customStyle="1" w:styleId="enumlev1">
    <w:name w:val="enumlev1"/>
    <w:basedOn w:val="Normal"/>
    <w:rsid w:val="006B07D3"/>
    <w:pPr>
      <w:spacing w:before="86"/>
      <w:ind w:left="567" w:hanging="567"/>
    </w:pPr>
  </w:style>
  <w:style w:type="paragraph" w:customStyle="1" w:styleId="enumlev2">
    <w:name w:val="enumlev2"/>
    <w:basedOn w:val="enumlev1"/>
    <w:rsid w:val="006B07D3"/>
    <w:pPr>
      <w:ind w:left="1134"/>
    </w:pPr>
  </w:style>
  <w:style w:type="paragraph" w:customStyle="1" w:styleId="enumlev3">
    <w:name w:val="enumlev3"/>
    <w:basedOn w:val="enumlev2"/>
    <w:rsid w:val="006B07D3"/>
    <w:pPr>
      <w:ind w:left="1701"/>
    </w:pPr>
  </w:style>
  <w:style w:type="paragraph" w:customStyle="1" w:styleId="Normalaftertitle">
    <w:name w:val="Normal after title"/>
    <w:basedOn w:val="Normal"/>
    <w:next w:val="Normal"/>
    <w:rsid w:val="006B07D3"/>
    <w:pPr>
      <w:spacing w:before="240"/>
    </w:pPr>
  </w:style>
  <w:style w:type="paragraph" w:customStyle="1" w:styleId="Equation">
    <w:name w:val="Equation"/>
    <w:basedOn w:val="Normal"/>
    <w:rsid w:val="006B07D3"/>
    <w:pPr>
      <w:tabs>
        <w:tab w:val="center" w:pos="4820"/>
        <w:tab w:val="right" w:pos="9639"/>
      </w:tabs>
    </w:pPr>
  </w:style>
  <w:style w:type="paragraph" w:customStyle="1" w:styleId="Head">
    <w:name w:val="Head"/>
    <w:basedOn w:val="Normal"/>
    <w:rsid w:val="006B07D3"/>
    <w:pPr>
      <w:tabs>
        <w:tab w:val="left" w:pos="6663"/>
      </w:tabs>
      <w:overflowPunct/>
      <w:autoSpaceDE/>
      <w:autoSpaceDN/>
      <w:adjustRightInd/>
      <w:spacing w:before="0"/>
      <w:textAlignment w:val="auto"/>
    </w:pPr>
  </w:style>
  <w:style w:type="paragraph" w:customStyle="1" w:styleId="toc0">
    <w:name w:val="toc 0"/>
    <w:basedOn w:val="Normal"/>
    <w:next w:val="TOC1"/>
    <w:rsid w:val="006B07D3"/>
    <w:pPr>
      <w:tabs>
        <w:tab w:val="clear" w:pos="567"/>
        <w:tab w:val="clear" w:pos="1134"/>
        <w:tab w:val="clear" w:pos="1701"/>
        <w:tab w:val="clear" w:pos="2268"/>
        <w:tab w:val="clear" w:pos="2835"/>
        <w:tab w:val="right" w:pos="9781"/>
      </w:tabs>
    </w:pPr>
    <w:rPr>
      <w:b/>
    </w:rPr>
  </w:style>
  <w:style w:type="paragraph" w:styleId="List">
    <w:name w:val="List"/>
    <w:basedOn w:val="Normal"/>
    <w:rsid w:val="006B07D3"/>
    <w:pPr>
      <w:tabs>
        <w:tab w:val="left" w:pos="2127"/>
      </w:tabs>
      <w:ind w:left="2127" w:hanging="2127"/>
    </w:pPr>
  </w:style>
  <w:style w:type="paragraph" w:customStyle="1" w:styleId="Part">
    <w:name w:val="Part"/>
    <w:basedOn w:val="Normal"/>
    <w:rsid w:val="006B07D3"/>
    <w:pPr>
      <w:tabs>
        <w:tab w:val="left" w:pos="1276"/>
      </w:tabs>
      <w:spacing w:before="199"/>
      <w:ind w:left="1701" w:hanging="1701"/>
    </w:pPr>
    <w:rPr>
      <w:caps/>
    </w:rPr>
  </w:style>
  <w:style w:type="paragraph" w:customStyle="1" w:styleId="Source">
    <w:name w:val="Source"/>
    <w:basedOn w:val="Normal"/>
    <w:next w:val="Title1"/>
    <w:rsid w:val="006B07D3"/>
    <w:pPr>
      <w:spacing w:before="840"/>
      <w:jc w:val="center"/>
    </w:pPr>
    <w:rPr>
      <w:b/>
      <w:sz w:val="28"/>
    </w:rPr>
  </w:style>
  <w:style w:type="paragraph" w:customStyle="1" w:styleId="meeting">
    <w:name w:val="meeting"/>
    <w:basedOn w:val="Head"/>
    <w:next w:val="Head"/>
    <w:rsid w:val="006B07D3"/>
    <w:pPr>
      <w:tabs>
        <w:tab w:val="left" w:pos="7371"/>
      </w:tabs>
      <w:spacing w:after="567"/>
    </w:pPr>
  </w:style>
  <w:style w:type="paragraph" w:customStyle="1" w:styleId="Subject">
    <w:name w:val="Subject"/>
    <w:basedOn w:val="Normal"/>
    <w:next w:val="Source"/>
    <w:rsid w:val="006B07D3"/>
    <w:pPr>
      <w:tabs>
        <w:tab w:val="left" w:pos="709"/>
      </w:tabs>
      <w:spacing w:before="0"/>
      <w:ind w:left="709" w:hanging="709"/>
    </w:pPr>
  </w:style>
  <w:style w:type="paragraph" w:customStyle="1" w:styleId="Object">
    <w:name w:val="Object"/>
    <w:basedOn w:val="Subject"/>
    <w:next w:val="Subject"/>
    <w:rsid w:val="006B07D3"/>
  </w:style>
  <w:style w:type="paragraph" w:customStyle="1" w:styleId="Data">
    <w:name w:val="Data"/>
    <w:basedOn w:val="Subject"/>
    <w:next w:val="Subject"/>
    <w:rsid w:val="006B07D3"/>
  </w:style>
  <w:style w:type="paragraph" w:customStyle="1" w:styleId="Reasons">
    <w:name w:val="Reasons"/>
    <w:basedOn w:val="Normal"/>
    <w:rsid w:val="006B07D3"/>
  </w:style>
  <w:style w:type="character" w:styleId="Hyperlink">
    <w:name w:val="Hyperlink"/>
    <w:basedOn w:val="DefaultParagraphFont"/>
    <w:rsid w:val="006B07D3"/>
    <w:rPr>
      <w:color w:val="0000FF"/>
      <w:u w:val="single"/>
    </w:rPr>
  </w:style>
  <w:style w:type="paragraph" w:customStyle="1" w:styleId="FirstFooter">
    <w:name w:val="FirstFooter"/>
    <w:basedOn w:val="Footer"/>
    <w:rsid w:val="006B07D3"/>
    <w:rPr>
      <w:caps w:val="0"/>
    </w:rPr>
  </w:style>
  <w:style w:type="paragraph" w:customStyle="1" w:styleId="Note">
    <w:name w:val="Note"/>
    <w:basedOn w:val="Normal"/>
    <w:rsid w:val="006B07D3"/>
    <w:pPr>
      <w:spacing w:before="80"/>
    </w:pPr>
  </w:style>
  <w:style w:type="paragraph" w:styleId="TOC9">
    <w:name w:val="toc 9"/>
    <w:basedOn w:val="Normal"/>
    <w:next w:val="Normal"/>
    <w:rsid w:val="006B07D3"/>
    <w:pPr>
      <w:tabs>
        <w:tab w:val="clear" w:pos="567"/>
        <w:tab w:val="clear" w:pos="1134"/>
        <w:tab w:val="clear" w:pos="1701"/>
        <w:tab w:val="clear" w:pos="2268"/>
        <w:tab w:val="clear" w:pos="2835"/>
        <w:tab w:val="right" w:leader="dot" w:pos="9645"/>
      </w:tabs>
      <w:ind w:left="1920"/>
    </w:pPr>
  </w:style>
  <w:style w:type="paragraph" w:customStyle="1" w:styleId="Headingb">
    <w:name w:val="Heading_b"/>
    <w:basedOn w:val="Heading3"/>
    <w:next w:val="Normal"/>
    <w:rsid w:val="006B07D3"/>
    <w:pPr>
      <w:spacing w:before="160"/>
      <w:outlineLvl w:val="0"/>
    </w:pPr>
  </w:style>
  <w:style w:type="character" w:styleId="FollowedHyperlink">
    <w:name w:val="FollowedHyperlink"/>
    <w:basedOn w:val="DefaultParagraphFont"/>
    <w:rsid w:val="006B07D3"/>
    <w:rPr>
      <w:color w:val="800080"/>
      <w:u w:val="single"/>
    </w:rPr>
  </w:style>
  <w:style w:type="paragraph" w:customStyle="1" w:styleId="Title1">
    <w:name w:val="Title 1"/>
    <w:basedOn w:val="Source"/>
    <w:next w:val="Title2"/>
    <w:rsid w:val="006B07D3"/>
    <w:pPr>
      <w:spacing w:before="240"/>
    </w:pPr>
    <w:rPr>
      <w:b w:val="0"/>
      <w:caps/>
    </w:rPr>
  </w:style>
  <w:style w:type="paragraph" w:customStyle="1" w:styleId="Title2">
    <w:name w:val="Title 2"/>
    <w:basedOn w:val="Source"/>
    <w:next w:val="Title3"/>
    <w:rsid w:val="006B07D3"/>
    <w:pPr>
      <w:spacing w:before="240"/>
    </w:pPr>
    <w:rPr>
      <w:b w:val="0"/>
      <w:caps/>
    </w:rPr>
  </w:style>
  <w:style w:type="paragraph" w:customStyle="1" w:styleId="Title3">
    <w:name w:val="Title 3"/>
    <w:basedOn w:val="Title2"/>
    <w:next w:val="Normalaftertitle"/>
    <w:rsid w:val="006B07D3"/>
    <w:rPr>
      <w:caps w:val="0"/>
    </w:rPr>
  </w:style>
  <w:style w:type="paragraph" w:customStyle="1" w:styleId="Title4">
    <w:name w:val="Title 4"/>
    <w:basedOn w:val="Title3"/>
    <w:next w:val="Heading1"/>
    <w:rsid w:val="006B07D3"/>
    <w:rPr>
      <w:b/>
    </w:rPr>
  </w:style>
  <w:style w:type="paragraph" w:customStyle="1" w:styleId="dnum">
    <w:name w:val="dnum"/>
    <w:basedOn w:val="Normal"/>
    <w:rsid w:val="006B07D3"/>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B07D3"/>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B07D3"/>
    <w:pPr>
      <w:framePr w:hSpace="181" w:wrap="notBeside" w:vAnchor="page" w:hAnchor="margin" w:x="1" w:y="852"/>
      <w:shd w:val="solid" w:color="FFFFFF" w:fill="FFFFFF"/>
      <w:tabs>
        <w:tab w:val="left" w:pos="1871"/>
      </w:tabs>
      <w:spacing w:before="0"/>
    </w:pPr>
    <w:rPr>
      <w:b/>
      <w:bCs/>
    </w:rPr>
  </w:style>
  <w:style w:type="paragraph" w:customStyle="1" w:styleId="AnnexNo">
    <w:name w:val="Annex_No"/>
    <w:basedOn w:val="Normal"/>
    <w:next w:val="Annexref"/>
    <w:rsid w:val="006B07D3"/>
    <w:pPr>
      <w:spacing w:before="720"/>
      <w:jc w:val="center"/>
    </w:pPr>
    <w:rPr>
      <w:caps/>
      <w:sz w:val="28"/>
    </w:rPr>
  </w:style>
  <w:style w:type="paragraph" w:customStyle="1" w:styleId="Annextitle">
    <w:name w:val="Annex_title"/>
    <w:basedOn w:val="Normal"/>
    <w:next w:val="Normal"/>
    <w:rsid w:val="006B07D3"/>
    <w:pPr>
      <w:spacing w:before="240" w:after="240"/>
      <w:jc w:val="center"/>
    </w:pPr>
    <w:rPr>
      <w:b/>
      <w:sz w:val="28"/>
    </w:rPr>
  </w:style>
  <w:style w:type="paragraph" w:customStyle="1" w:styleId="Annexref">
    <w:name w:val="Annex_ref"/>
    <w:basedOn w:val="Normal"/>
    <w:next w:val="Annextitle"/>
    <w:rsid w:val="006B07D3"/>
    <w:pPr>
      <w:jc w:val="center"/>
    </w:pPr>
    <w:rPr>
      <w:sz w:val="28"/>
    </w:rPr>
  </w:style>
  <w:style w:type="paragraph" w:customStyle="1" w:styleId="AppendixNo">
    <w:name w:val="Appendix_No"/>
    <w:basedOn w:val="AnnexNo"/>
    <w:next w:val="Appendixref"/>
    <w:rsid w:val="006B07D3"/>
  </w:style>
  <w:style w:type="paragraph" w:customStyle="1" w:styleId="Appendixtitle">
    <w:name w:val="Appendix_title"/>
    <w:basedOn w:val="Annextitle"/>
    <w:next w:val="Normal"/>
    <w:rsid w:val="006B07D3"/>
  </w:style>
  <w:style w:type="paragraph" w:customStyle="1" w:styleId="Appendixref">
    <w:name w:val="Appendix_ref"/>
    <w:basedOn w:val="Annexref"/>
    <w:next w:val="Appendixtitle"/>
    <w:rsid w:val="006B07D3"/>
  </w:style>
  <w:style w:type="paragraph" w:customStyle="1" w:styleId="Call">
    <w:name w:val="Call"/>
    <w:basedOn w:val="Normal"/>
    <w:next w:val="Normal"/>
    <w:rsid w:val="006B07D3"/>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Indent"/>
    <w:rsid w:val="006B07D3"/>
    <w:pPr>
      <w:tabs>
        <w:tab w:val="right" w:pos="1531"/>
      </w:tabs>
      <w:spacing w:before="80"/>
      <w:ind w:left="1701" w:hanging="1701"/>
    </w:pPr>
  </w:style>
  <w:style w:type="paragraph" w:customStyle="1" w:styleId="Figure">
    <w:name w:val="Figure"/>
    <w:basedOn w:val="Normal"/>
    <w:next w:val="Figuretitle"/>
    <w:rsid w:val="006B07D3"/>
    <w:pPr>
      <w:keepNext/>
      <w:keepLines/>
      <w:spacing w:after="120"/>
      <w:jc w:val="center"/>
    </w:pPr>
  </w:style>
  <w:style w:type="paragraph" w:customStyle="1" w:styleId="Figuretitle">
    <w:name w:val="Figure_title"/>
    <w:basedOn w:val="Tabletitle"/>
    <w:next w:val="Normalaftertitle"/>
    <w:rsid w:val="006B07D3"/>
    <w:pPr>
      <w:spacing w:before="240" w:after="480"/>
    </w:pPr>
  </w:style>
  <w:style w:type="paragraph" w:customStyle="1" w:styleId="Tabletitle">
    <w:name w:val="Table_title"/>
    <w:basedOn w:val="TableNo"/>
    <w:next w:val="Tabletext"/>
    <w:rsid w:val="006B07D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6B07D3"/>
    <w:pPr>
      <w:keepNext/>
      <w:spacing w:before="560" w:after="120"/>
      <w:jc w:val="center"/>
    </w:pPr>
    <w:rPr>
      <w:caps/>
    </w:rPr>
  </w:style>
  <w:style w:type="paragraph" w:customStyle="1" w:styleId="Tabletext">
    <w:name w:val="Table_text"/>
    <w:basedOn w:val="Normal"/>
    <w:rsid w:val="006B07D3"/>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B07D3"/>
    <w:pPr>
      <w:keepNext/>
      <w:keepLines/>
      <w:spacing w:before="20" w:after="20"/>
    </w:pPr>
    <w:rPr>
      <w:sz w:val="18"/>
    </w:rPr>
  </w:style>
  <w:style w:type="paragraph" w:customStyle="1" w:styleId="FigureNo">
    <w:name w:val="Figure_No"/>
    <w:basedOn w:val="Normal"/>
    <w:next w:val="Figuretitle"/>
    <w:rsid w:val="006B07D3"/>
    <w:pPr>
      <w:keepNext/>
      <w:keepLines/>
      <w:spacing w:before="240" w:after="120"/>
      <w:jc w:val="center"/>
    </w:pPr>
    <w:rPr>
      <w:caps/>
    </w:rPr>
  </w:style>
  <w:style w:type="paragraph" w:customStyle="1" w:styleId="Figurewithouttitle">
    <w:name w:val="Figure_without_title"/>
    <w:basedOn w:val="Figure"/>
    <w:next w:val="Normalaftertitle"/>
    <w:rsid w:val="006B07D3"/>
    <w:pPr>
      <w:keepNext w:val="0"/>
      <w:spacing w:after="240"/>
    </w:pPr>
  </w:style>
  <w:style w:type="paragraph" w:customStyle="1" w:styleId="Headingi">
    <w:name w:val="Heading_i"/>
    <w:basedOn w:val="Heading3"/>
    <w:next w:val="Normal"/>
    <w:rsid w:val="006B07D3"/>
    <w:pPr>
      <w:spacing w:before="160"/>
      <w:outlineLvl w:val="0"/>
    </w:pPr>
    <w:rPr>
      <w:b w:val="0"/>
      <w:i/>
    </w:rPr>
  </w:style>
  <w:style w:type="character" w:styleId="PageNumber">
    <w:name w:val="page number"/>
    <w:basedOn w:val="DefaultParagraphFont"/>
    <w:rsid w:val="006B07D3"/>
    <w:rPr>
      <w:rFonts w:ascii="Calibri" w:hAnsi="Calibri"/>
    </w:rPr>
  </w:style>
  <w:style w:type="paragraph" w:customStyle="1" w:styleId="PartNo">
    <w:name w:val="Part_No"/>
    <w:basedOn w:val="AnnexNo"/>
    <w:next w:val="Parttitle"/>
    <w:rsid w:val="006B07D3"/>
  </w:style>
  <w:style w:type="paragraph" w:customStyle="1" w:styleId="Parttitle">
    <w:name w:val="Part_title"/>
    <w:basedOn w:val="Annextitle"/>
    <w:next w:val="Partref"/>
    <w:rsid w:val="006B07D3"/>
  </w:style>
  <w:style w:type="paragraph" w:customStyle="1" w:styleId="Partref">
    <w:name w:val="Part_ref"/>
    <w:basedOn w:val="Annexref"/>
    <w:next w:val="Normalaftertitle"/>
    <w:rsid w:val="006B07D3"/>
  </w:style>
  <w:style w:type="paragraph" w:customStyle="1" w:styleId="RecNo">
    <w:name w:val="Rec_No"/>
    <w:basedOn w:val="Normal"/>
    <w:next w:val="Rectitle"/>
    <w:rsid w:val="006B07D3"/>
    <w:pPr>
      <w:spacing w:before="720"/>
      <w:jc w:val="center"/>
    </w:pPr>
    <w:rPr>
      <w:caps/>
      <w:sz w:val="28"/>
    </w:rPr>
  </w:style>
  <w:style w:type="paragraph" w:customStyle="1" w:styleId="Rectitle">
    <w:name w:val="Rec_title"/>
    <w:basedOn w:val="Normal"/>
    <w:next w:val="Heading1"/>
    <w:rsid w:val="006B07D3"/>
    <w:pPr>
      <w:spacing w:before="240"/>
      <w:jc w:val="center"/>
    </w:pPr>
    <w:rPr>
      <w:b/>
      <w:sz w:val="28"/>
    </w:rPr>
  </w:style>
  <w:style w:type="paragraph" w:customStyle="1" w:styleId="Recref">
    <w:name w:val="Rec_ref"/>
    <w:basedOn w:val="Rectitle"/>
    <w:next w:val="Recdate"/>
    <w:rsid w:val="006B07D3"/>
    <w:pPr>
      <w:spacing w:before="120"/>
    </w:pPr>
    <w:rPr>
      <w:rFonts w:ascii="Times New Roman" w:hAnsi="Times New Roman"/>
      <w:b w:val="0"/>
      <w:sz w:val="24"/>
    </w:rPr>
  </w:style>
  <w:style w:type="paragraph" w:customStyle="1" w:styleId="Recdate">
    <w:name w:val="Rec_date"/>
    <w:basedOn w:val="Recref"/>
    <w:next w:val="Normalaftertitle"/>
    <w:rsid w:val="006B07D3"/>
    <w:pPr>
      <w:jc w:val="right"/>
    </w:pPr>
    <w:rPr>
      <w:sz w:val="22"/>
    </w:rPr>
  </w:style>
  <w:style w:type="paragraph" w:customStyle="1" w:styleId="Questiondate">
    <w:name w:val="Question_date"/>
    <w:basedOn w:val="Recdate"/>
    <w:next w:val="Normalaftertitle"/>
    <w:rsid w:val="006B07D3"/>
  </w:style>
  <w:style w:type="paragraph" w:customStyle="1" w:styleId="QuestionNo">
    <w:name w:val="Question_No"/>
    <w:basedOn w:val="RecNo"/>
    <w:next w:val="Questiontitle"/>
    <w:rsid w:val="006B07D3"/>
  </w:style>
  <w:style w:type="paragraph" w:customStyle="1" w:styleId="Questionref">
    <w:name w:val="Question_ref"/>
    <w:basedOn w:val="Recref"/>
    <w:next w:val="Questiondate"/>
    <w:rsid w:val="006B07D3"/>
  </w:style>
  <w:style w:type="paragraph" w:customStyle="1" w:styleId="Questiontitle">
    <w:name w:val="Question_title"/>
    <w:basedOn w:val="Rectitle"/>
    <w:next w:val="Questionref"/>
    <w:rsid w:val="006B07D3"/>
  </w:style>
  <w:style w:type="paragraph" w:customStyle="1" w:styleId="Reftext">
    <w:name w:val="Ref_text"/>
    <w:basedOn w:val="Normal"/>
    <w:rsid w:val="006B07D3"/>
    <w:pPr>
      <w:ind w:left="567" w:hanging="567"/>
    </w:pPr>
  </w:style>
  <w:style w:type="paragraph" w:customStyle="1" w:styleId="Reftitle">
    <w:name w:val="Ref_title"/>
    <w:basedOn w:val="Normal"/>
    <w:next w:val="Reftext"/>
    <w:rsid w:val="006B07D3"/>
    <w:pPr>
      <w:spacing w:before="480"/>
      <w:jc w:val="center"/>
    </w:pPr>
    <w:rPr>
      <w:caps/>
      <w:sz w:val="28"/>
    </w:rPr>
  </w:style>
  <w:style w:type="paragraph" w:customStyle="1" w:styleId="Repdate">
    <w:name w:val="Rep_date"/>
    <w:basedOn w:val="Recdate"/>
    <w:next w:val="Normalaftertitle"/>
    <w:rsid w:val="006B07D3"/>
  </w:style>
  <w:style w:type="paragraph" w:customStyle="1" w:styleId="RepNo">
    <w:name w:val="Rep_No"/>
    <w:basedOn w:val="RecNo"/>
    <w:next w:val="Reptitle"/>
    <w:rsid w:val="006B07D3"/>
  </w:style>
  <w:style w:type="paragraph" w:customStyle="1" w:styleId="Reptitle">
    <w:name w:val="Rep_title"/>
    <w:basedOn w:val="Rectitle"/>
    <w:next w:val="Repref"/>
    <w:rsid w:val="006B07D3"/>
  </w:style>
  <w:style w:type="paragraph" w:customStyle="1" w:styleId="Repref">
    <w:name w:val="Rep_ref"/>
    <w:basedOn w:val="Recref"/>
    <w:next w:val="Repdate"/>
    <w:rsid w:val="006B07D3"/>
  </w:style>
  <w:style w:type="paragraph" w:customStyle="1" w:styleId="Resdate">
    <w:name w:val="Res_date"/>
    <w:basedOn w:val="Recdate"/>
    <w:next w:val="Normalaftertitle"/>
    <w:rsid w:val="006B07D3"/>
  </w:style>
  <w:style w:type="paragraph" w:customStyle="1" w:styleId="ResNo">
    <w:name w:val="Res_No"/>
    <w:basedOn w:val="AnnexNo"/>
    <w:next w:val="Restitle"/>
    <w:rsid w:val="006B07D3"/>
  </w:style>
  <w:style w:type="paragraph" w:customStyle="1" w:styleId="Restitle">
    <w:name w:val="Res_title"/>
    <w:basedOn w:val="Annextitle"/>
    <w:next w:val="Normal"/>
    <w:rsid w:val="006B07D3"/>
  </w:style>
  <w:style w:type="paragraph" w:customStyle="1" w:styleId="Resref">
    <w:name w:val="Res_ref"/>
    <w:basedOn w:val="Recref"/>
    <w:next w:val="Resdate"/>
    <w:rsid w:val="006B07D3"/>
  </w:style>
  <w:style w:type="paragraph" w:customStyle="1" w:styleId="SectionNo">
    <w:name w:val="Section_No"/>
    <w:basedOn w:val="AnnexNo"/>
    <w:next w:val="Sectiontitle"/>
    <w:rsid w:val="006B07D3"/>
  </w:style>
  <w:style w:type="paragraph" w:customStyle="1" w:styleId="Sectiontitle">
    <w:name w:val="Section_title"/>
    <w:basedOn w:val="Normal"/>
    <w:next w:val="Normalaftertitle"/>
    <w:rsid w:val="006B07D3"/>
    <w:rPr>
      <w:sz w:val="28"/>
    </w:rPr>
  </w:style>
  <w:style w:type="paragraph" w:customStyle="1" w:styleId="SpecialFooter">
    <w:name w:val="Special Footer"/>
    <w:basedOn w:val="Footer"/>
    <w:rsid w:val="006B07D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6B07D3"/>
    <w:pPr>
      <w:spacing w:before="120" w:after="120"/>
      <w:jc w:val="center"/>
    </w:pPr>
    <w:rPr>
      <w:b/>
    </w:rPr>
  </w:style>
  <w:style w:type="paragraph" w:customStyle="1" w:styleId="Tablelegend">
    <w:name w:val="Table_legend"/>
    <w:basedOn w:val="Tabletext"/>
    <w:rsid w:val="006B07D3"/>
    <w:pPr>
      <w:spacing w:before="120"/>
    </w:pPr>
  </w:style>
  <w:style w:type="paragraph" w:customStyle="1" w:styleId="Tableref">
    <w:name w:val="Table_ref"/>
    <w:basedOn w:val="Normal"/>
    <w:next w:val="Tabletitle"/>
    <w:rsid w:val="006B07D3"/>
    <w:pPr>
      <w:keepNext/>
      <w:spacing w:before="567"/>
      <w:jc w:val="center"/>
    </w:pPr>
  </w:style>
  <w:style w:type="paragraph" w:customStyle="1" w:styleId="Artheading">
    <w:name w:val="Art_heading"/>
    <w:basedOn w:val="Normal"/>
    <w:next w:val="Normalaftertitle"/>
    <w:rsid w:val="006B07D3"/>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6B07D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B07D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6B07D3"/>
  </w:style>
  <w:style w:type="paragraph" w:customStyle="1" w:styleId="Chaptitle">
    <w:name w:val="Chap_title"/>
    <w:basedOn w:val="Arttitle"/>
    <w:next w:val="Normal"/>
    <w:rsid w:val="006B07D3"/>
  </w:style>
  <w:style w:type="paragraph" w:customStyle="1" w:styleId="Table">
    <w:name w:val="Table_#"/>
    <w:basedOn w:val="Normal"/>
    <w:next w:val="Normal"/>
    <w:rsid w:val="006B07D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39"/>
    <w:rsid w:val="00570284"/>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284"/>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heme="minorHAnsi" w:eastAsia="SimSun" w:hAnsiTheme="minorHAnsi"/>
      <w:szCs w:val="24"/>
      <w:lang w:val="en-AU" w:eastAsia="en-AU"/>
    </w:rPr>
  </w:style>
  <w:style w:type="character" w:customStyle="1" w:styleId="FootnoteTextChar">
    <w:name w:val="Footnote Text Char"/>
    <w:basedOn w:val="DefaultParagraphFont"/>
    <w:link w:val="FootnoteText"/>
    <w:locked/>
    <w:rsid w:val="00570284"/>
    <w:rPr>
      <w:rFonts w:ascii="Calibri" w:hAnsi="Calibri"/>
      <w:sz w:val="24"/>
      <w:lang w:val="fr-FR" w:eastAsia="en-US"/>
    </w:rPr>
  </w:style>
  <w:style w:type="table" w:customStyle="1" w:styleId="ListTable3-Accent51">
    <w:name w:val="List Table 3 - Accent 51"/>
    <w:basedOn w:val="TableNormal"/>
    <w:uiPriority w:val="48"/>
    <w:rsid w:val="00570284"/>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alloonText">
    <w:name w:val="Balloon Text"/>
    <w:basedOn w:val="Normal"/>
    <w:link w:val="BalloonTextChar"/>
    <w:semiHidden/>
    <w:unhideWhenUsed/>
    <w:rsid w:val="00B94C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4CF0"/>
    <w:rPr>
      <w:rFonts w:ascii="Segoe UI" w:hAnsi="Segoe UI" w:cs="Segoe UI"/>
      <w:sz w:val="18"/>
      <w:szCs w:val="18"/>
      <w:lang w:val="en-GB" w:eastAsia="en-US"/>
    </w:rPr>
  </w:style>
  <w:style w:type="paragraph" w:customStyle="1" w:styleId="firstfooter0">
    <w:name w:val="firstfooter"/>
    <w:basedOn w:val="Normal"/>
    <w:rsid w:val="006B07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5136">
      <w:bodyDiv w:val="1"/>
      <w:marLeft w:val="0"/>
      <w:marRight w:val="0"/>
      <w:marTop w:val="0"/>
      <w:marBottom w:val="0"/>
      <w:divBdr>
        <w:top w:val="none" w:sz="0" w:space="0" w:color="auto"/>
        <w:left w:val="none" w:sz="0" w:space="0" w:color="auto"/>
        <w:bottom w:val="none" w:sz="0" w:space="0" w:color="auto"/>
        <w:right w:val="none" w:sz="0" w:space="0" w:color="auto"/>
      </w:divBdr>
    </w:div>
    <w:div w:id="384988011">
      <w:bodyDiv w:val="1"/>
      <w:marLeft w:val="0"/>
      <w:marRight w:val="0"/>
      <w:marTop w:val="0"/>
      <w:marBottom w:val="0"/>
      <w:divBdr>
        <w:top w:val="none" w:sz="0" w:space="0" w:color="auto"/>
        <w:left w:val="none" w:sz="0" w:space="0" w:color="auto"/>
        <w:bottom w:val="none" w:sz="0" w:space="0" w:color="auto"/>
        <w:right w:val="none" w:sz="0" w:space="0" w:color="auto"/>
      </w:divBdr>
    </w:div>
    <w:div w:id="589394030">
      <w:bodyDiv w:val="1"/>
      <w:marLeft w:val="0"/>
      <w:marRight w:val="0"/>
      <w:marTop w:val="0"/>
      <w:marBottom w:val="0"/>
      <w:divBdr>
        <w:top w:val="none" w:sz="0" w:space="0" w:color="auto"/>
        <w:left w:val="none" w:sz="0" w:space="0" w:color="auto"/>
        <w:bottom w:val="none" w:sz="0" w:space="0" w:color="auto"/>
        <w:right w:val="none" w:sz="0" w:space="0" w:color="auto"/>
      </w:divBdr>
    </w:div>
    <w:div w:id="948194508">
      <w:bodyDiv w:val="1"/>
      <w:marLeft w:val="0"/>
      <w:marRight w:val="0"/>
      <w:marTop w:val="0"/>
      <w:marBottom w:val="0"/>
      <w:divBdr>
        <w:top w:val="none" w:sz="0" w:space="0" w:color="auto"/>
        <w:left w:val="none" w:sz="0" w:space="0" w:color="auto"/>
        <w:bottom w:val="none" w:sz="0" w:space="0" w:color="auto"/>
        <w:right w:val="none" w:sz="0" w:space="0" w:color="auto"/>
      </w:divBdr>
    </w:div>
    <w:div w:id="1051269172">
      <w:bodyDiv w:val="1"/>
      <w:marLeft w:val="0"/>
      <w:marRight w:val="0"/>
      <w:marTop w:val="0"/>
      <w:marBottom w:val="0"/>
      <w:divBdr>
        <w:top w:val="none" w:sz="0" w:space="0" w:color="auto"/>
        <w:left w:val="none" w:sz="0" w:space="0" w:color="auto"/>
        <w:bottom w:val="none" w:sz="0" w:space="0" w:color="auto"/>
        <w:right w:val="none" w:sz="0" w:space="0" w:color="auto"/>
      </w:divBdr>
    </w:div>
    <w:div w:id="1097097855">
      <w:bodyDiv w:val="1"/>
      <w:marLeft w:val="0"/>
      <w:marRight w:val="0"/>
      <w:marTop w:val="0"/>
      <w:marBottom w:val="0"/>
      <w:divBdr>
        <w:top w:val="none" w:sz="0" w:space="0" w:color="auto"/>
        <w:left w:val="none" w:sz="0" w:space="0" w:color="auto"/>
        <w:bottom w:val="none" w:sz="0" w:space="0" w:color="auto"/>
        <w:right w:val="none" w:sz="0" w:space="0" w:color="auto"/>
      </w:divBdr>
    </w:div>
    <w:div w:id="1356924790">
      <w:bodyDiv w:val="1"/>
      <w:marLeft w:val="0"/>
      <w:marRight w:val="0"/>
      <w:marTop w:val="0"/>
      <w:marBottom w:val="0"/>
      <w:divBdr>
        <w:top w:val="none" w:sz="0" w:space="0" w:color="auto"/>
        <w:left w:val="none" w:sz="0" w:space="0" w:color="auto"/>
        <w:bottom w:val="none" w:sz="0" w:space="0" w:color="auto"/>
        <w:right w:val="none" w:sz="0" w:space="0" w:color="auto"/>
      </w:divBdr>
    </w:div>
    <w:div w:id="1468670527">
      <w:bodyDiv w:val="1"/>
      <w:marLeft w:val="0"/>
      <w:marRight w:val="0"/>
      <w:marTop w:val="0"/>
      <w:marBottom w:val="0"/>
      <w:divBdr>
        <w:top w:val="none" w:sz="0" w:space="0" w:color="auto"/>
        <w:left w:val="none" w:sz="0" w:space="0" w:color="auto"/>
        <w:bottom w:val="none" w:sz="0" w:space="0" w:color="auto"/>
        <w:right w:val="none" w:sz="0" w:space="0" w:color="auto"/>
      </w:divBdr>
    </w:div>
    <w:div w:id="2061201880">
      <w:bodyDiv w:val="1"/>
      <w:marLeft w:val="0"/>
      <w:marRight w:val="0"/>
      <w:marTop w:val="0"/>
      <w:marBottom w:val="0"/>
      <w:divBdr>
        <w:top w:val="none" w:sz="0" w:space="0" w:color="auto"/>
        <w:left w:val="none" w:sz="0" w:space="0" w:color="auto"/>
        <w:bottom w:val="none" w:sz="0" w:space="0" w:color="auto"/>
        <w:right w:val="none" w:sz="0" w:space="0" w:color="auto"/>
      </w:divBdr>
    </w:div>
    <w:div w:id="212796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73/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jiu.org/en/reports-notes/JIU%20Products/JIU_REP_2016_1_Englis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dms_pub/itu-s/opb/conf/S-CONF-ACTF-2014-MSW-F.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itu.int/dms_pub/itu-s/opb/conf/S-CONF-ACTF-2014-MSW-E.docx" TargetMode="External"/><Relationship Id="rId4" Type="http://schemas.openxmlformats.org/officeDocument/2006/relationships/settings" Target="settings.xml"/><Relationship Id="rId9" Type="http://schemas.openxmlformats.org/officeDocument/2006/relationships/hyperlink" Target="http://web.itu.int/dms_pub/itu-s/opb/conf/S-CONF-ACTF-2014-MSW-F.doc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027A-5104-4DCA-9AFB-61DA7A28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228</TotalTime>
  <Pages>7</Pages>
  <Words>2231</Words>
  <Characters>12797</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14999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Vaggelis Igglesis</dc:creator>
  <cp:keywords>C2017, C17</cp:keywords>
  <dc:description/>
  <cp:lastModifiedBy>Jones, Jacqueline</cp:lastModifiedBy>
  <cp:revision>47</cp:revision>
  <cp:lastPrinted>2000-07-18T13:30:00Z</cp:lastPrinted>
  <dcterms:created xsi:type="dcterms:W3CDTF">2017-04-28T09:45:00Z</dcterms:created>
  <dcterms:modified xsi:type="dcterms:W3CDTF">2017-05-04T09:15:00Z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