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325A1" w:rsidRPr="0084136A" w14:paraId="419FBAE3" w14:textId="77777777">
        <w:trPr>
          <w:cantSplit/>
        </w:trPr>
        <w:tc>
          <w:tcPr>
            <w:tcW w:w="6911" w:type="dxa"/>
          </w:tcPr>
          <w:p w14:paraId="306C32A6" w14:textId="090AF69F" w:rsidR="003325A1" w:rsidRPr="0084136A" w:rsidRDefault="003325A1" w:rsidP="0084136A">
            <w:pPr>
              <w:spacing w:before="360" w:after="48" w:line="240" w:lineRule="atLeast"/>
              <w:rPr>
                <w:position w:val="6"/>
              </w:rPr>
            </w:pPr>
            <w:bookmarkStart w:id="0" w:name="dc06"/>
            <w:bookmarkEnd w:id="0"/>
            <w:r w:rsidRPr="0084136A">
              <w:rPr>
                <w:b/>
                <w:bCs/>
                <w:position w:val="6"/>
                <w:sz w:val="30"/>
                <w:szCs w:val="30"/>
              </w:rPr>
              <w:t>C</w:t>
            </w:r>
            <w:r w:rsidR="0084136A">
              <w:rPr>
                <w:b/>
                <w:bCs/>
                <w:position w:val="6"/>
                <w:sz w:val="30"/>
                <w:szCs w:val="30"/>
              </w:rPr>
              <w:t>onseil</w:t>
            </w:r>
            <w:r w:rsidRPr="0084136A">
              <w:rPr>
                <w:b/>
                <w:bCs/>
                <w:position w:val="6"/>
                <w:sz w:val="30"/>
                <w:szCs w:val="30"/>
              </w:rPr>
              <w:t xml:space="preserve"> 2017</w:t>
            </w:r>
            <w:r w:rsidRPr="0084136A">
              <w:rPr>
                <w:rFonts w:cs="Times"/>
                <w:b/>
                <w:position w:val="6"/>
                <w:sz w:val="26"/>
                <w:szCs w:val="26"/>
              </w:rPr>
              <w:br/>
            </w:r>
            <w:r w:rsidR="0084136A">
              <w:rPr>
                <w:b/>
                <w:bCs/>
                <w:position w:val="6"/>
                <w:szCs w:val="24"/>
              </w:rPr>
              <w:t>Genève</w:t>
            </w:r>
            <w:r w:rsidRPr="0084136A">
              <w:rPr>
                <w:b/>
                <w:bCs/>
                <w:position w:val="6"/>
                <w:szCs w:val="24"/>
              </w:rPr>
              <w:t xml:space="preserve">, 15-25 </w:t>
            </w:r>
            <w:r w:rsidR="0084136A">
              <w:rPr>
                <w:b/>
                <w:bCs/>
                <w:position w:val="6"/>
                <w:szCs w:val="24"/>
              </w:rPr>
              <w:t>mai</w:t>
            </w:r>
            <w:r w:rsidRPr="0084136A">
              <w:rPr>
                <w:b/>
                <w:bCs/>
                <w:position w:val="6"/>
                <w:szCs w:val="24"/>
              </w:rPr>
              <w:t xml:space="preserve"> 2017</w:t>
            </w:r>
          </w:p>
        </w:tc>
        <w:tc>
          <w:tcPr>
            <w:tcW w:w="3120" w:type="dxa"/>
          </w:tcPr>
          <w:p w14:paraId="41DFCBF1" w14:textId="77777777" w:rsidR="003325A1" w:rsidRPr="0084136A" w:rsidRDefault="003325A1" w:rsidP="003325A1">
            <w:pPr>
              <w:spacing w:before="0" w:line="240" w:lineRule="atLeast"/>
              <w:jc w:val="right"/>
            </w:pPr>
            <w:bookmarkStart w:id="1" w:name="ditulogo"/>
            <w:bookmarkEnd w:id="1"/>
            <w:r w:rsidRPr="0084136A">
              <w:rPr>
                <w:rFonts w:ascii="Verdana" w:hAnsi="Verdana"/>
                <w:noProof/>
                <w:color w:val="FFFFFF"/>
                <w:sz w:val="26"/>
                <w:szCs w:val="26"/>
                <w:lang w:eastAsia="zh-CN"/>
              </w:rPr>
              <w:drawing>
                <wp:inline distT="0" distB="0" distL="0" distR="0" wp14:anchorId="0C251BB7" wp14:editId="06A4FA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3325A1" w:rsidRPr="0084136A" w14:paraId="2F18B7B8" w14:textId="77777777">
        <w:trPr>
          <w:cantSplit/>
        </w:trPr>
        <w:tc>
          <w:tcPr>
            <w:tcW w:w="6911" w:type="dxa"/>
            <w:tcBorders>
              <w:bottom w:val="single" w:sz="12" w:space="0" w:color="auto"/>
            </w:tcBorders>
          </w:tcPr>
          <w:p w14:paraId="27D1643E" w14:textId="77777777" w:rsidR="003325A1" w:rsidRPr="0084136A" w:rsidRDefault="003325A1">
            <w:pPr>
              <w:spacing w:before="0" w:after="48" w:line="240" w:lineRule="atLeast"/>
              <w:rPr>
                <w:b/>
                <w:smallCaps/>
                <w:szCs w:val="24"/>
              </w:rPr>
            </w:pPr>
          </w:p>
        </w:tc>
        <w:tc>
          <w:tcPr>
            <w:tcW w:w="3120" w:type="dxa"/>
            <w:tcBorders>
              <w:bottom w:val="single" w:sz="12" w:space="0" w:color="auto"/>
            </w:tcBorders>
          </w:tcPr>
          <w:p w14:paraId="26FF66D5" w14:textId="77777777" w:rsidR="003325A1" w:rsidRPr="0084136A" w:rsidRDefault="003325A1">
            <w:pPr>
              <w:spacing w:before="0" w:line="240" w:lineRule="atLeast"/>
              <w:rPr>
                <w:szCs w:val="24"/>
              </w:rPr>
            </w:pPr>
          </w:p>
        </w:tc>
      </w:tr>
      <w:tr w:rsidR="003325A1" w:rsidRPr="0084136A" w14:paraId="236E2148" w14:textId="77777777">
        <w:trPr>
          <w:cantSplit/>
        </w:trPr>
        <w:tc>
          <w:tcPr>
            <w:tcW w:w="6911" w:type="dxa"/>
            <w:tcBorders>
              <w:top w:val="single" w:sz="12" w:space="0" w:color="auto"/>
            </w:tcBorders>
          </w:tcPr>
          <w:p w14:paraId="624CEC7A" w14:textId="77777777" w:rsidR="003325A1" w:rsidRPr="0084136A" w:rsidRDefault="003325A1">
            <w:pPr>
              <w:spacing w:before="0" w:after="48" w:line="240" w:lineRule="atLeast"/>
              <w:rPr>
                <w:b/>
                <w:smallCaps/>
                <w:szCs w:val="24"/>
              </w:rPr>
            </w:pPr>
          </w:p>
        </w:tc>
        <w:tc>
          <w:tcPr>
            <w:tcW w:w="3120" w:type="dxa"/>
            <w:tcBorders>
              <w:top w:val="single" w:sz="12" w:space="0" w:color="auto"/>
            </w:tcBorders>
          </w:tcPr>
          <w:p w14:paraId="3C18EDF8" w14:textId="77777777" w:rsidR="003325A1" w:rsidRPr="0084136A" w:rsidRDefault="003325A1">
            <w:pPr>
              <w:spacing w:before="0" w:line="240" w:lineRule="atLeast"/>
              <w:rPr>
                <w:szCs w:val="24"/>
              </w:rPr>
            </w:pPr>
          </w:p>
        </w:tc>
      </w:tr>
      <w:tr w:rsidR="003325A1" w:rsidRPr="0084136A" w14:paraId="5A35B007" w14:textId="77777777">
        <w:trPr>
          <w:cantSplit/>
          <w:trHeight w:val="23"/>
        </w:trPr>
        <w:tc>
          <w:tcPr>
            <w:tcW w:w="6911" w:type="dxa"/>
            <w:vMerge w:val="restart"/>
          </w:tcPr>
          <w:p w14:paraId="52FF86FF" w14:textId="4CB0F560" w:rsidR="003325A1" w:rsidRPr="0084136A" w:rsidRDefault="0084136A" w:rsidP="00E13BC3">
            <w:pPr>
              <w:tabs>
                <w:tab w:val="left" w:pos="851"/>
              </w:tabs>
              <w:spacing w:before="0" w:line="240" w:lineRule="atLeast"/>
              <w:rPr>
                <w:b/>
              </w:rPr>
            </w:pPr>
            <w:bookmarkStart w:id="2" w:name="dmeeting" w:colFirst="0" w:colLast="0"/>
            <w:bookmarkStart w:id="3" w:name="dnum" w:colFirst="1" w:colLast="1"/>
            <w:r>
              <w:rPr>
                <w:b/>
              </w:rPr>
              <w:t xml:space="preserve">Point de l’ordre du jour </w:t>
            </w:r>
            <w:r w:rsidR="003325A1" w:rsidRPr="0084136A">
              <w:rPr>
                <w:b/>
              </w:rPr>
              <w:t xml:space="preserve">: </w:t>
            </w:r>
            <w:r w:rsidR="00E13BC3" w:rsidRPr="0084136A">
              <w:rPr>
                <w:b/>
              </w:rPr>
              <w:t>ADM 9</w:t>
            </w:r>
            <w:r w:rsidR="003325A1" w:rsidRPr="0084136A">
              <w:rPr>
                <w:b/>
              </w:rPr>
              <w:t xml:space="preserve"> </w:t>
            </w:r>
          </w:p>
        </w:tc>
        <w:tc>
          <w:tcPr>
            <w:tcW w:w="3120" w:type="dxa"/>
          </w:tcPr>
          <w:p w14:paraId="2FEAB530" w14:textId="25C94706" w:rsidR="003325A1" w:rsidRPr="0084136A" w:rsidRDefault="003325A1" w:rsidP="003325A1">
            <w:pPr>
              <w:tabs>
                <w:tab w:val="left" w:pos="851"/>
              </w:tabs>
              <w:spacing w:before="0" w:line="240" w:lineRule="atLeast"/>
              <w:rPr>
                <w:b/>
              </w:rPr>
            </w:pPr>
            <w:r w:rsidRPr="0084136A">
              <w:rPr>
                <w:b/>
              </w:rPr>
              <w:t>Document C17/73-</w:t>
            </w:r>
            <w:r w:rsidR="0084136A">
              <w:rPr>
                <w:b/>
              </w:rPr>
              <w:t>F</w:t>
            </w:r>
          </w:p>
        </w:tc>
      </w:tr>
      <w:tr w:rsidR="003325A1" w:rsidRPr="0084136A" w14:paraId="77F4948A" w14:textId="77777777">
        <w:trPr>
          <w:cantSplit/>
          <w:trHeight w:val="23"/>
        </w:trPr>
        <w:tc>
          <w:tcPr>
            <w:tcW w:w="6911" w:type="dxa"/>
            <w:vMerge/>
          </w:tcPr>
          <w:p w14:paraId="58AEE238" w14:textId="77777777" w:rsidR="003325A1" w:rsidRPr="0084136A" w:rsidRDefault="003325A1">
            <w:pPr>
              <w:tabs>
                <w:tab w:val="left" w:pos="851"/>
              </w:tabs>
              <w:spacing w:line="240" w:lineRule="atLeast"/>
              <w:rPr>
                <w:b/>
              </w:rPr>
            </w:pPr>
            <w:bookmarkStart w:id="4" w:name="ddate" w:colFirst="1" w:colLast="1"/>
            <w:bookmarkEnd w:id="2"/>
            <w:bookmarkEnd w:id="3"/>
          </w:p>
        </w:tc>
        <w:tc>
          <w:tcPr>
            <w:tcW w:w="3120" w:type="dxa"/>
          </w:tcPr>
          <w:p w14:paraId="48296AD7" w14:textId="3650B861" w:rsidR="003325A1" w:rsidRPr="0084136A" w:rsidRDefault="003325A1" w:rsidP="0084136A">
            <w:pPr>
              <w:tabs>
                <w:tab w:val="left" w:pos="993"/>
              </w:tabs>
              <w:spacing w:before="0"/>
              <w:rPr>
                <w:b/>
              </w:rPr>
            </w:pPr>
            <w:r w:rsidRPr="0084136A">
              <w:rPr>
                <w:b/>
              </w:rPr>
              <w:t xml:space="preserve">31 </w:t>
            </w:r>
            <w:r w:rsidR="0084136A">
              <w:rPr>
                <w:b/>
              </w:rPr>
              <w:t>mars</w:t>
            </w:r>
            <w:r w:rsidRPr="0084136A">
              <w:rPr>
                <w:b/>
              </w:rPr>
              <w:t xml:space="preserve"> 2017</w:t>
            </w:r>
          </w:p>
        </w:tc>
      </w:tr>
      <w:tr w:rsidR="003325A1" w:rsidRPr="0084136A" w14:paraId="246770C4" w14:textId="77777777">
        <w:trPr>
          <w:cantSplit/>
          <w:trHeight w:val="23"/>
        </w:trPr>
        <w:tc>
          <w:tcPr>
            <w:tcW w:w="6911" w:type="dxa"/>
            <w:vMerge/>
          </w:tcPr>
          <w:p w14:paraId="7CF37B8C" w14:textId="77777777" w:rsidR="003325A1" w:rsidRPr="0084136A" w:rsidRDefault="003325A1">
            <w:pPr>
              <w:tabs>
                <w:tab w:val="left" w:pos="851"/>
              </w:tabs>
              <w:spacing w:line="240" w:lineRule="atLeast"/>
              <w:rPr>
                <w:b/>
              </w:rPr>
            </w:pPr>
            <w:bookmarkStart w:id="5" w:name="dorlang" w:colFirst="1" w:colLast="1"/>
            <w:bookmarkEnd w:id="4"/>
          </w:p>
        </w:tc>
        <w:tc>
          <w:tcPr>
            <w:tcW w:w="3120" w:type="dxa"/>
          </w:tcPr>
          <w:p w14:paraId="23D7AF29" w14:textId="33177F46" w:rsidR="003325A1" w:rsidRPr="0084136A" w:rsidRDefault="003325A1" w:rsidP="0084136A">
            <w:pPr>
              <w:tabs>
                <w:tab w:val="left" w:pos="993"/>
              </w:tabs>
              <w:spacing w:before="0"/>
              <w:rPr>
                <w:b/>
              </w:rPr>
            </w:pPr>
            <w:r w:rsidRPr="0084136A">
              <w:rPr>
                <w:b/>
              </w:rPr>
              <w:t>Original</w:t>
            </w:r>
            <w:r w:rsidR="0084136A">
              <w:rPr>
                <w:b/>
              </w:rPr>
              <w:t xml:space="preserve"> </w:t>
            </w:r>
            <w:r w:rsidRPr="0084136A">
              <w:rPr>
                <w:b/>
              </w:rPr>
              <w:t xml:space="preserve">: </w:t>
            </w:r>
            <w:r w:rsidR="0084136A">
              <w:rPr>
                <w:b/>
              </w:rPr>
              <w:t>anglais</w:t>
            </w:r>
          </w:p>
        </w:tc>
      </w:tr>
      <w:tr w:rsidR="003325A1" w:rsidRPr="0084136A" w14:paraId="3FFBC597" w14:textId="77777777">
        <w:trPr>
          <w:cantSplit/>
        </w:trPr>
        <w:tc>
          <w:tcPr>
            <w:tcW w:w="10031" w:type="dxa"/>
            <w:gridSpan w:val="2"/>
          </w:tcPr>
          <w:p w14:paraId="2F5DE3E0" w14:textId="7133D983" w:rsidR="003325A1" w:rsidRPr="0084136A" w:rsidRDefault="0084136A" w:rsidP="0084136A">
            <w:pPr>
              <w:pStyle w:val="Source"/>
            </w:pPr>
            <w:bookmarkStart w:id="6" w:name="dsource" w:colFirst="0" w:colLast="0"/>
            <w:bookmarkEnd w:id="5"/>
            <w:r>
              <w:t>Rapport du Secrétaire général</w:t>
            </w:r>
          </w:p>
        </w:tc>
      </w:tr>
      <w:tr w:rsidR="003325A1" w:rsidRPr="0084136A" w14:paraId="5592C2D3" w14:textId="77777777">
        <w:trPr>
          <w:cantSplit/>
        </w:trPr>
        <w:tc>
          <w:tcPr>
            <w:tcW w:w="10031" w:type="dxa"/>
            <w:gridSpan w:val="2"/>
          </w:tcPr>
          <w:p w14:paraId="38D81B0E" w14:textId="7C1B20C8" w:rsidR="003325A1" w:rsidRPr="0084136A" w:rsidRDefault="0084136A" w:rsidP="0084136A">
            <w:pPr>
              <w:pStyle w:val="Title1"/>
            </w:pPr>
            <w:bookmarkStart w:id="7" w:name="dtitle1" w:colFirst="0" w:colLast="0"/>
            <w:bookmarkEnd w:id="6"/>
            <w:r w:rsidRPr="0084136A">
              <w:rPr>
                <w:bCs/>
              </w:rPr>
              <w:t>projet de déclaration de l'UIT relative à la propension au risque</w:t>
            </w:r>
          </w:p>
        </w:tc>
      </w:tr>
      <w:bookmarkEnd w:id="7"/>
    </w:tbl>
    <w:p w14:paraId="7A48F137" w14:textId="77777777" w:rsidR="003325A1" w:rsidRPr="0084136A" w:rsidRDefault="003325A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325A1" w:rsidRPr="0084136A" w14:paraId="7518A50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B5ABFA4" w14:textId="2DE464EC" w:rsidR="003325A1" w:rsidRPr="0084136A" w:rsidRDefault="0084136A">
            <w:pPr>
              <w:pStyle w:val="Headingb"/>
            </w:pPr>
            <w:r>
              <w:t>Résumé</w:t>
            </w:r>
          </w:p>
          <w:p w14:paraId="4376EFBD" w14:textId="62D63DB6" w:rsidR="00D41097" w:rsidRPr="0084136A" w:rsidRDefault="0084136A" w:rsidP="009F5868">
            <w:pPr>
              <w:jc w:val="both"/>
            </w:pPr>
            <w:r>
              <w:t>Conformément aux Résolutions 151, 71</w:t>
            </w:r>
            <w:r w:rsidR="00D41097" w:rsidRPr="0084136A">
              <w:t xml:space="preserve"> </w:t>
            </w:r>
            <w:r>
              <w:t>et</w:t>
            </w:r>
            <w:r w:rsidR="00D41097" w:rsidRPr="0084136A">
              <w:t xml:space="preserve"> 72</w:t>
            </w:r>
            <w:r>
              <w:t xml:space="preserve"> de la Conférence de plénipotentiaires et aux recommandations du </w:t>
            </w:r>
            <w:r w:rsidR="003971CA">
              <w:t>Comité consultatif indépendant pour les questions de gestion (CCIG) et du Corps commun d’inspection des Nations Unies (CCI), l’UIT met en œuvre un cadre de gestion systématique des risques</w:t>
            </w:r>
            <w:r w:rsidR="00D41097" w:rsidRPr="0084136A">
              <w:t xml:space="preserve"> </w:t>
            </w:r>
            <w:r w:rsidR="00696A7D">
              <w:t xml:space="preserve">pour améliorer de façon continue ses pratiques de gestion </w:t>
            </w:r>
            <w:r w:rsidR="002D7D65">
              <w:t xml:space="preserve">vers une efficacité, une transparence et </w:t>
            </w:r>
            <w:r w:rsidR="00997F88">
              <w:t>une responsabilisation</w:t>
            </w:r>
            <w:r w:rsidR="002D7D65">
              <w:t xml:space="preserve"> plus grandes. </w:t>
            </w:r>
          </w:p>
          <w:p w14:paraId="44D7F47C" w14:textId="2BDF3EDB" w:rsidR="003325A1" w:rsidRPr="0084136A" w:rsidRDefault="00C61F0B" w:rsidP="009F5868">
            <w:pPr>
              <w:jc w:val="both"/>
            </w:pPr>
            <w:r>
              <w:t xml:space="preserve">Le présent document </w:t>
            </w:r>
            <w:r w:rsidR="00182ECC">
              <w:t xml:space="preserve">donne un aperçu du projet de déclaration de l’UIT relative à la propension au risque qui complète le projet de politique de l’UIT en matière de gestion des risques présenté dans le document </w:t>
            </w:r>
            <w:r w:rsidR="00D41097" w:rsidRPr="0084136A">
              <w:t>C17/74.</w:t>
            </w:r>
          </w:p>
          <w:p w14:paraId="2BCB162F" w14:textId="60F4759F" w:rsidR="003325A1" w:rsidRPr="0084136A" w:rsidRDefault="00080035" w:rsidP="009F5868">
            <w:pPr>
              <w:pStyle w:val="Headingb"/>
              <w:jc w:val="both"/>
            </w:pPr>
            <w:r>
              <w:t xml:space="preserve">Suite à donner </w:t>
            </w:r>
          </w:p>
          <w:p w14:paraId="291EDA73" w14:textId="0D9ABC64" w:rsidR="003325A1" w:rsidRPr="0084136A" w:rsidRDefault="00080035" w:rsidP="009F5868">
            <w:pPr>
              <w:snapToGrid w:val="0"/>
              <w:spacing w:after="120"/>
              <w:jc w:val="both"/>
              <w:rPr>
                <w:szCs w:val="24"/>
              </w:rPr>
            </w:pPr>
            <w:r w:rsidRPr="00034383">
              <w:t xml:space="preserve">Le Conseil est invité à </w:t>
            </w:r>
            <w:r w:rsidRPr="00080035">
              <w:rPr>
                <w:b/>
              </w:rPr>
              <w:t>examiner</w:t>
            </w:r>
            <w:r w:rsidRPr="00034383">
              <w:t xml:space="preserve"> et à </w:t>
            </w:r>
            <w:r w:rsidRPr="00080035">
              <w:rPr>
                <w:b/>
              </w:rPr>
              <w:t>approuver</w:t>
            </w:r>
            <w:r w:rsidRPr="00034383">
              <w:t xml:space="preserve"> le projet </w:t>
            </w:r>
            <w:r>
              <w:t xml:space="preserve">de </w:t>
            </w:r>
            <w:r w:rsidRPr="00034383">
              <w:t xml:space="preserve">déclaration </w:t>
            </w:r>
            <w:r>
              <w:t xml:space="preserve">de l’UIT </w:t>
            </w:r>
            <w:r w:rsidRPr="00034383">
              <w:t>relative à la propension au risque</w:t>
            </w:r>
            <w:r w:rsidR="00D41097" w:rsidRPr="0084136A">
              <w:rPr>
                <w:szCs w:val="24"/>
              </w:rPr>
              <w:t>.</w:t>
            </w:r>
          </w:p>
          <w:p w14:paraId="1FAF2B4C" w14:textId="77777777" w:rsidR="003325A1" w:rsidRPr="0084136A" w:rsidRDefault="003325A1">
            <w:pPr>
              <w:pStyle w:val="Table"/>
              <w:keepNext w:val="0"/>
              <w:spacing w:before="0" w:after="0"/>
              <w:rPr>
                <w:rFonts w:ascii="Calibri" w:hAnsi="Calibri"/>
                <w:caps w:val="0"/>
                <w:sz w:val="22"/>
                <w:lang w:val="fr-FR"/>
              </w:rPr>
            </w:pPr>
            <w:r w:rsidRPr="0084136A">
              <w:rPr>
                <w:rFonts w:ascii="Calibri" w:hAnsi="Calibri"/>
                <w:caps w:val="0"/>
                <w:sz w:val="22"/>
                <w:lang w:val="fr-FR"/>
              </w:rPr>
              <w:t>____________</w:t>
            </w:r>
          </w:p>
          <w:p w14:paraId="1E1CBAF5" w14:textId="3E196F8B" w:rsidR="003325A1" w:rsidRPr="0084136A" w:rsidRDefault="00080035">
            <w:pPr>
              <w:pStyle w:val="Headingb"/>
            </w:pPr>
            <w:r w:rsidRPr="0084136A">
              <w:t>Références</w:t>
            </w:r>
          </w:p>
          <w:p w14:paraId="4F3D1342" w14:textId="24DEBA45" w:rsidR="003325A1" w:rsidRPr="0084136A" w:rsidRDefault="00080035" w:rsidP="00997F88">
            <w:pPr>
              <w:jc w:val="both"/>
              <w:rPr>
                <w:i/>
                <w:iCs/>
              </w:rPr>
            </w:pPr>
            <w:r w:rsidRPr="0084136A">
              <w:rPr>
                <w:bCs/>
                <w:i/>
                <w:iCs/>
                <w:szCs w:val="24"/>
              </w:rPr>
              <w:t>Résolutions</w:t>
            </w:r>
            <w:r w:rsidR="00997F88">
              <w:rPr>
                <w:bCs/>
                <w:i/>
                <w:iCs/>
                <w:szCs w:val="24"/>
              </w:rPr>
              <w:t xml:space="preserve"> </w:t>
            </w:r>
            <w:r>
              <w:rPr>
                <w:bCs/>
                <w:i/>
                <w:iCs/>
                <w:szCs w:val="24"/>
              </w:rPr>
              <w:t>de la Conférence de plénipotentiaires</w:t>
            </w:r>
            <w:r w:rsidR="00D41097" w:rsidRPr="0084136A">
              <w:rPr>
                <w:bCs/>
                <w:i/>
                <w:iCs/>
                <w:szCs w:val="24"/>
              </w:rPr>
              <w:t xml:space="preserve"> </w:t>
            </w:r>
            <w:hyperlink r:id="rId9" w:history="1">
              <w:r w:rsidR="00D41097" w:rsidRPr="0084136A">
                <w:rPr>
                  <w:rStyle w:val="Hyperlink"/>
                  <w:bCs/>
                  <w:i/>
                  <w:iCs/>
                  <w:szCs w:val="24"/>
                </w:rPr>
                <w:t>71</w:t>
              </w:r>
            </w:hyperlink>
            <w:r w:rsidR="009F5868" w:rsidRPr="0084136A">
              <w:rPr>
                <w:rStyle w:val="Hyperlink"/>
                <w:bCs/>
                <w:i/>
                <w:iCs/>
                <w:szCs w:val="24"/>
              </w:rPr>
              <w:t xml:space="preserve"> </w:t>
            </w:r>
            <w:r w:rsidR="00997F88">
              <w:rPr>
                <w:bCs/>
                <w:i/>
                <w:iCs/>
                <w:szCs w:val="24"/>
              </w:rPr>
              <w:t>(Ré</w:t>
            </w:r>
            <w:r w:rsidR="00D41097" w:rsidRPr="0084136A">
              <w:rPr>
                <w:bCs/>
                <w:i/>
                <w:iCs/>
                <w:szCs w:val="24"/>
              </w:rPr>
              <w:t xml:space="preserve">v. Busan, 2014), </w:t>
            </w:r>
            <w:hyperlink r:id="rId10" w:history="1">
              <w:r w:rsidR="00D41097" w:rsidRPr="0084136A">
                <w:rPr>
                  <w:rStyle w:val="Hyperlink"/>
                  <w:bCs/>
                  <w:i/>
                  <w:iCs/>
                  <w:szCs w:val="24"/>
                </w:rPr>
                <w:t>7</w:t>
              </w:r>
              <w:r w:rsidR="00D41097" w:rsidRPr="0084136A">
                <w:rPr>
                  <w:rStyle w:val="Hyperlink"/>
                  <w:bCs/>
                  <w:i/>
                  <w:iCs/>
                  <w:szCs w:val="24"/>
                </w:rPr>
                <w:t>2</w:t>
              </w:r>
            </w:hyperlink>
            <w:r w:rsidR="00997F88">
              <w:rPr>
                <w:bCs/>
                <w:i/>
                <w:iCs/>
                <w:szCs w:val="24"/>
              </w:rPr>
              <w:t xml:space="preserve"> (Ré</w:t>
            </w:r>
            <w:r w:rsidR="00D41097" w:rsidRPr="0084136A">
              <w:rPr>
                <w:bCs/>
                <w:i/>
                <w:iCs/>
                <w:szCs w:val="24"/>
              </w:rPr>
              <w:t>v. Busan, 2014)</w:t>
            </w:r>
            <w:r w:rsidR="009F5868" w:rsidRPr="0084136A">
              <w:rPr>
                <w:bCs/>
                <w:i/>
                <w:iCs/>
                <w:szCs w:val="24"/>
              </w:rPr>
              <w:t>,</w:t>
            </w:r>
            <w:r w:rsidR="00D41097" w:rsidRPr="0084136A">
              <w:rPr>
                <w:bCs/>
                <w:i/>
                <w:iCs/>
                <w:szCs w:val="24"/>
              </w:rPr>
              <w:t xml:space="preserve"> </w:t>
            </w:r>
            <w:r w:rsidR="00997F88">
              <w:rPr>
                <w:bCs/>
                <w:i/>
                <w:iCs/>
                <w:szCs w:val="24"/>
              </w:rPr>
              <w:t>et</w:t>
            </w:r>
            <w:r w:rsidR="00D41097" w:rsidRPr="0084136A">
              <w:rPr>
                <w:bCs/>
                <w:i/>
                <w:iCs/>
                <w:szCs w:val="24"/>
              </w:rPr>
              <w:t xml:space="preserve"> </w:t>
            </w:r>
            <w:hyperlink r:id="rId11" w:history="1">
              <w:r w:rsidR="00D41097" w:rsidRPr="0084136A">
                <w:rPr>
                  <w:rStyle w:val="Hyperlink"/>
                  <w:bCs/>
                  <w:i/>
                  <w:iCs/>
                  <w:szCs w:val="24"/>
                </w:rPr>
                <w:t>1</w:t>
              </w:r>
              <w:r w:rsidR="00D41097" w:rsidRPr="0084136A">
                <w:rPr>
                  <w:rStyle w:val="Hyperlink"/>
                  <w:bCs/>
                  <w:i/>
                  <w:iCs/>
                  <w:szCs w:val="24"/>
                </w:rPr>
                <w:t>5</w:t>
              </w:r>
              <w:r w:rsidR="00D41097" w:rsidRPr="0084136A">
                <w:rPr>
                  <w:rStyle w:val="Hyperlink"/>
                  <w:bCs/>
                  <w:i/>
                  <w:iCs/>
                  <w:szCs w:val="24"/>
                </w:rPr>
                <w:t>1</w:t>
              </w:r>
            </w:hyperlink>
            <w:r w:rsidR="00D41097" w:rsidRPr="0084136A">
              <w:rPr>
                <w:bCs/>
                <w:i/>
                <w:iCs/>
                <w:szCs w:val="24"/>
              </w:rPr>
              <w:t xml:space="preserve"> (R</w:t>
            </w:r>
            <w:r w:rsidR="00997F88">
              <w:rPr>
                <w:bCs/>
                <w:i/>
                <w:iCs/>
                <w:szCs w:val="24"/>
              </w:rPr>
              <w:t>é</w:t>
            </w:r>
            <w:r w:rsidR="00D41097" w:rsidRPr="0084136A">
              <w:rPr>
                <w:bCs/>
                <w:i/>
                <w:iCs/>
                <w:szCs w:val="24"/>
              </w:rPr>
              <w:t xml:space="preserve">v. Busan, 2014); </w:t>
            </w:r>
            <w:r w:rsidR="00997F88" w:rsidRPr="00997F88">
              <w:rPr>
                <w:bCs/>
                <w:i/>
                <w:iCs/>
                <w:szCs w:val="24"/>
              </w:rPr>
              <w:t xml:space="preserve">Examen de la gestion et de l'administration de l'UIT </w:t>
            </w:r>
            <w:r w:rsidR="00997F88">
              <w:rPr>
                <w:bCs/>
                <w:i/>
                <w:iCs/>
                <w:szCs w:val="24"/>
              </w:rPr>
              <w:t xml:space="preserve">par le CCI </w:t>
            </w:r>
            <w:r w:rsidR="00D41097" w:rsidRPr="0084136A">
              <w:rPr>
                <w:bCs/>
                <w:i/>
                <w:iCs/>
                <w:szCs w:val="24"/>
              </w:rPr>
              <w:t>(</w:t>
            </w:r>
            <w:hyperlink r:id="rId12" w:history="1">
              <w:r w:rsidR="00D41097" w:rsidRPr="0084136A">
                <w:rPr>
                  <w:rStyle w:val="Hyperlink"/>
                  <w:bCs/>
                  <w:i/>
                  <w:iCs/>
                  <w:szCs w:val="24"/>
                </w:rPr>
                <w:t>JIU/2</w:t>
              </w:r>
              <w:r w:rsidR="00D41097" w:rsidRPr="0084136A">
                <w:rPr>
                  <w:rStyle w:val="Hyperlink"/>
                  <w:bCs/>
                  <w:i/>
                  <w:iCs/>
                  <w:szCs w:val="24"/>
                </w:rPr>
                <w:t>0</w:t>
              </w:r>
              <w:r w:rsidR="00D41097" w:rsidRPr="0084136A">
                <w:rPr>
                  <w:rStyle w:val="Hyperlink"/>
                  <w:bCs/>
                  <w:i/>
                  <w:iCs/>
                  <w:szCs w:val="24"/>
                </w:rPr>
                <w:t>16/1</w:t>
              </w:r>
            </w:hyperlink>
            <w:r w:rsidR="00D41097" w:rsidRPr="0084136A">
              <w:rPr>
                <w:bCs/>
                <w:i/>
                <w:iCs/>
                <w:szCs w:val="24"/>
              </w:rPr>
              <w:t xml:space="preserve">); </w:t>
            </w:r>
            <w:hyperlink r:id="rId13" w:history="1">
              <w:r w:rsidR="00D41097" w:rsidRPr="0084136A">
                <w:rPr>
                  <w:rStyle w:val="Hyperlink"/>
                  <w:bCs/>
                  <w:i/>
                  <w:iCs/>
                  <w:szCs w:val="24"/>
                </w:rPr>
                <w:t>C17</w:t>
              </w:r>
              <w:r w:rsidR="00D41097" w:rsidRPr="0084136A">
                <w:rPr>
                  <w:rStyle w:val="Hyperlink"/>
                  <w:bCs/>
                  <w:i/>
                  <w:iCs/>
                  <w:szCs w:val="24"/>
                </w:rPr>
                <w:t>/</w:t>
              </w:r>
              <w:r w:rsidR="00D41097" w:rsidRPr="0084136A">
                <w:rPr>
                  <w:rStyle w:val="Hyperlink"/>
                  <w:bCs/>
                  <w:i/>
                  <w:iCs/>
                  <w:szCs w:val="24"/>
                </w:rPr>
                <w:t>74</w:t>
              </w:r>
            </w:hyperlink>
          </w:p>
        </w:tc>
      </w:tr>
    </w:tbl>
    <w:p w14:paraId="4D805736" w14:textId="4CB3BE52" w:rsidR="00D41097" w:rsidRPr="0084136A" w:rsidRDefault="00EE0335" w:rsidP="00EE0335">
      <w:pPr>
        <w:pStyle w:val="Heading1"/>
        <w:rPr>
          <w:lang w:eastAsia="en-AU"/>
        </w:rPr>
      </w:pPr>
      <w:bookmarkStart w:id="8" w:name="dstart"/>
      <w:bookmarkStart w:id="9" w:name="dbreak"/>
      <w:bookmarkEnd w:id="8"/>
      <w:bookmarkEnd w:id="9"/>
      <w:r>
        <w:t>1</w:t>
      </w:r>
      <w:r>
        <w:tab/>
      </w:r>
      <w:r w:rsidR="00D41097" w:rsidRPr="00EE0335">
        <w:t>Introduction</w:t>
      </w:r>
    </w:p>
    <w:p w14:paraId="4F9E7FB8" w14:textId="697BD1AF" w:rsidR="00D41097" w:rsidRPr="0084136A" w:rsidRDefault="00621C4C" w:rsidP="00EE0335">
      <w:r>
        <w:t>Le présent document illustre le degré et le type de risques que l’UIT est prête à assumer pour la réalisation de ses buts et objectifs</w:t>
      </w:r>
      <w:r w:rsidR="00795CF8">
        <w:t xml:space="preserve"> et détaille à la fois la propension et l</w:t>
      </w:r>
      <w:r w:rsidR="00F03487">
        <w:t>a tolérance au risque</w:t>
      </w:r>
      <w:r w:rsidR="00795CF8">
        <w:t xml:space="preserve"> de l’organisation</w:t>
      </w:r>
      <w:r w:rsidR="00D41097" w:rsidRPr="0084136A">
        <w:t>.</w:t>
      </w:r>
    </w:p>
    <w:p w14:paraId="0E968C2A" w14:textId="5A8A734C" w:rsidR="00D41097" w:rsidRPr="0084136A" w:rsidRDefault="00795CF8" w:rsidP="00EE0335">
      <w:r>
        <w:t xml:space="preserve">Cette déclaration tient compte du fait que les activités menées par l’organisation présentent des niveaux de risque variables. Il importe de souligner que des activités présentant des risques plus élevés ne seront entreprises que si les avantages sont supérieurs aux coûts et n’accroissent pas les </w:t>
      </w:r>
      <w:r>
        <w:lastRenderedPageBreak/>
        <w:t>risques à un niveau inacceptable qui pourrait menacer la réalisation des buts et objectifs stratégiques de l’organisation</w:t>
      </w:r>
      <w:r w:rsidR="00D41097" w:rsidRPr="0084136A">
        <w:t>.</w:t>
      </w:r>
    </w:p>
    <w:p w14:paraId="408BE453" w14:textId="5DC3AE7B" w:rsidR="00D41097" w:rsidRPr="0084136A" w:rsidRDefault="000742F8" w:rsidP="00EE0335">
      <w:r>
        <w:t xml:space="preserve">La déclaration relative à la propension au risque ci-dessous a été élaborée conformément à la politique de l’UIT en matière de gestion des risques qui sous-tend le cadre stratégique de l’UIT adopté par les Etats membres dans la Résolution </w:t>
      </w:r>
      <w:r w:rsidR="00D41097" w:rsidRPr="0084136A">
        <w:t>71 (Annex</w:t>
      </w:r>
      <w:r w:rsidR="000A435C">
        <w:t>e 2, Ré</w:t>
      </w:r>
      <w:r w:rsidR="00D41097" w:rsidRPr="0084136A">
        <w:t>v. Busan</w:t>
      </w:r>
      <w:r w:rsidR="009F5868" w:rsidRPr="0084136A">
        <w:t>,</w:t>
      </w:r>
      <w:r w:rsidR="00D41097" w:rsidRPr="0084136A">
        <w:t xml:space="preserve"> 2014).</w:t>
      </w:r>
    </w:p>
    <w:p w14:paraId="51C31F6A" w14:textId="726AA495" w:rsidR="00D41097" w:rsidRPr="0084136A" w:rsidRDefault="001D235C" w:rsidP="00EE0335">
      <w:r w:rsidRPr="001D235C">
        <w:t>Pour la période 2016-2019, l'UIT mettra tout en oeuvre pour mener à bien sa mission en poursuivant les quatre buts suivants</w:t>
      </w:r>
      <w:r>
        <w:t> :</w:t>
      </w:r>
    </w:p>
    <w:p w14:paraId="474FB30E" w14:textId="7F83FD39" w:rsidR="00873D26" w:rsidRPr="00873D26" w:rsidRDefault="00EE0335" w:rsidP="00EE0335">
      <w:pPr>
        <w:pStyle w:val="enumlev1"/>
      </w:pPr>
      <w:r>
        <w:t>–</w:t>
      </w:r>
      <w:r w:rsidR="00D41097" w:rsidRPr="0084136A">
        <w:tab/>
      </w:r>
      <w:r w:rsidR="00873D26" w:rsidRPr="00873D26">
        <w:t>But 1: Croissance – Permettre et encourager l'accès aux télécommunications/TIC et leur utilisation accrue</w:t>
      </w:r>
      <w:r w:rsidR="00873D26">
        <w:t> ;</w:t>
      </w:r>
    </w:p>
    <w:p w14:paraId="426EABD0" w14:textId="49C7A277" w:rsidR="00873D26" w:rsidRPr="00873D26" w:rsidRDefault="00EE0335" w:rsidP="00EE0335">
      <w:pPr>
        <w:pStyle w:val="enumlev1"/>
      </w:pPr>
      <w:r>
        <w:t>–</w:t>
      </w:r>
      <w:r>
        <w:tab/>
      </w:r>
      <w:r w:rsidR="00873D26" w:rsidRPr="00873D26">
        <w:t>But 2: Inclusion – Réduire la fracture numérique et mettre le large bande à la portée de tous</w:t>
      </w:r>
      <w:r w:rsidR="00873D26">
        <w:t> ;</w:t>
      </w:r>
    </w:p>
    <w:p w14:paraId="74C7671F" w14:textId="755425C3" w:rsidR="00873D26" w:rsidRPr="00873D26" w:rsidRDefault="00EE0335" w:rsidP="00EE0335">
      <w:pPr>
        <w:pStyle w:val="enumlev1"/>
      </w:pPr>
      <w:r>
        <w:t>–</w:t>
      </w:r>
      <w:r>
        <w:tab/>
      </w:r>
      <w:r w:rsidR="00873D26" w:rsidRPr="00873D26">
        <w:t>But 3: Durabilité – Gérer les problèmes résultant du développement des télécommunications/TIC</w:t>
      </w:r>
      <w:r w:rsidR="00873D26">
        <w:t> ;</w:t>
      </w:r>
    </w:p>
    <w:p w14:paraId="05BFFCC2" w14:textId="5C34F028" w:rsidR="00873D26" w:rsidRPr="00873D26" w:rsidRDefault="00EE0335" w:rsidP="00EE0335">
      <w:pPr>
        <w:pStyle w:val="enumlev1"/>
      </w:pPr>
      <w:r>
        <w:t>–</w:t>
      </w:r>
      <w:r>
        <w:tab/>
      </w:r>
      <w:r w:rsidR="00873D26" w:rsidRPr="00873D26">
        <w:t>But 4: Innovation et partenariats – Jouer un rôle de premier plan dans l'évolution de l'environnement des télécommunications/TIC, mieux contribuer à cette évolution et s'y adapter</w:t>
      </w:r>
      <w:r w:rsidR="00873D26">
        <w:t>.</w:t>
      </w:r>
    </w:p>
    <w:p w14:paraId="19403861" w14:textId="7691414D" w:rsidR="00D41097" w:rsidRPr="0084136A" w:rsidRDefault="00104F03" w:rsidP="00EE0335">
      <w:r>
        <w:t>L'UIT met</w:t>
      </w:r>
      <w:r w:rsidRPr="00104F03">
        <w:t xml:space="preserve"> en œuvre les buts stratégiques de l'Union moyennant la réalisation d'un certain nombre d'obje</w:t>
      </w:r>
      <w:r>
        <w:t>ctifs au cours de cette période</w:t>
      </w:r>
      <w:r w:rsidR="00C0311A">
        <w:t xml:space="preserve">. </w:t>
      </w:r>
      <w:r w:rsidR="00C0311A" w:rsidRPr="00C0311A">
        <w:t>Chaque Secteur contribuera à atteindre les buts fondamentaux de l'Union dans le domaine de compétence qui est le sien, par la mise en œuvre des objectifs qui lui sont propres et des objectifs intersectoriels fondamentaux.</w:t>
      </w:r>
    </w:p>
    <w:p w14:paraId="1BFC60F2" w14:textId="0F3FA670" w:rsidR="0093278C" w:rsidRPr="0093278C" w:rsidRDefault="0093278C" w:rsidP="00EE0335">
      <w:r>
        <w:t>L’i</w:t>
      </w:r>
      <w:r w:rsidRPr="0093278C">
        <w:t xml:space="preserve">dentification, </w:t>
      </w:r>
      <w:r>
        <w:t>l’</w:t>
      </w:r>
      <w:r w:rsidRPr="0093278C">
        <w:t xml:space="preserve">évaluation et </w:t>
      </w:r>
      <w:r>
        <w:t>l’</w:t>
      </w:r>
      <w:r w:rsidRPr="0093278C">
        <w:t>atténuation des risques</w:t>
      </w:r>
      <w:r>
        <w:t xml:space="preserve"> est </w:t>
      </w:r>
      <w:r w:rsidRPr="0093278C">
        <w:t>un processus intégré visant à gérer les aléas pouvant avoir une incidence sur la réalisation des objectifs et des buts et qui permet ainsi la prise de décisions en connaissance de cause.</w:t>
      </w:r>
    </w:p>
    <w:p w14:paraId="045FBAA8" w14:textId="06645E80" w:rsidR="00D41097" w:rsidRPr="0084136A" w:rsidRDefault="00EE0335" w:rsidP="00EE0335">
      <w:pPr>
        <w:pStyle w:val="Heading1"/>
        <w:rPr>
          <w:lang w:eastAsia="en-AU"/>
        </w:rPr>
      </w:pPr>
      <w:r>
        <w:rPr>
          <w:lang w:eastAsia="en-AU"/>
        </w:rPr>
        <w:t>2</w:t>
      </w:r>
      <w:r>
        <w:rPr>
          <w:lang w:eastAsia="en-AU"/>
        </w:rPr>
        <w:tab/>
      </w:r>
      <w:r w:rsidR="00C470D0">
        <w:rPr>
          <w:lang w:eastAsia="en-AU"/>
        </w:rPr>
        <w:t xml:space="preserve">Propension au </w:t>
      </w:r>
      <w:r w:rsidR="00C470D0" w:rsidRPr="00EE0335">
        <w:t>risque</w:t>
      </w:r>
    </w:p>
    <w:p w14:paraId="67886937" w14:textId="4434ABC1" w:rsidR="00D41097" w:rsidRPr="0084136A" w:rsidRDefault="00BF3EF7" w:rsidP="00EE0335">
      <w:r>
        <w:t>La méthode retenue par l’Union pour faire face aux principaux risques opérationnels et stratégiques est décrite ci-dessous. Cette liste ne présente pas tous les domaines d’action de l’UIT. Elle n’est pas non plus une liste exhaustive des risques potentiels. Elle vise plutôt à donner une indication de la volonté à accepter le risque dans des domaines fondamentaux</w:t>
      </w:r>
      <w:r w:rsidR="00D41097" w:rsidRPr="0084136A">
        <w:t>.</w:t>
      </w:r>
    </w:p>
    <w:p w14:paraId="773946EF" w14:textId="52C3DB47" w:rsidR="00D41097" w:rsidRPr="0084136A" w:rsidRDefault="00EE0335" w:rsidP="00EE0335">
      <w:pPr>
        <w:pStyle w:val="enumlev1"/>
      </w:pPr>
      <w:r>
        <w:t>–</w:t>
      </w:r>
      <w:r>
        <w:tab/>
      </w:r>
      <w:r w:rsidR="00BF3EF7">
        <w:t>Concernant la réalisation des buts et objectifs stratégiques :</w:t>
      </w:r>
    </w:p>
    <w:p w14:paraId="6B632480" w14:textId="6C40AB86" w:rsidR="00D41097" w:rsidRPr="0084136A" w:rsidRDefault="00EE0335" w:rsidP="00EE0335">
      <w:pPr>
        <w:pStyle w:val="enumlev2"/>
      </w:pPr>
      <w:r>
        <w:t>•</w:t>
      </w:r>
      <w:r>
        <w:tab/>
      </w:r>
      <w:r w:rsidR="00BF3EF7">
        <w:t xml:space="preserve">Faible propension au risque pour des menaces à la réalisation efficiente et efficace des buts et objectifs stratégiques de l’organisation ; et </w:t>
      </w:r>
    </w:p>
    <w:p w14:paraId="557C2F12" w14:textId="6AA43CAB" w:rsidR="00D41097" w:rsidRPr="0084136A" w:rsidRDefault="00EE0335" w:rsidP="00EE0335">
      <w:pPr>
        <w:pStyle w:val="enumlev2"/>
      </w:pPr>
      <w:r>
        <w:tab/>
        <w:t>•</w:t>
      </w:r>
      <w:r>
        <w:tab/>
      </w:r>
      <w:r w:rsidR="00BF3EF7">
        <w:t>Propension élevée au risque dans le domaine de l’innovation et du progrès technique.</w:t>
      </w:r>
    </w:p>
    <w:p w14:paraId="1826A706" w14:textId="6E4C756F" w:rsidR="00D41097" w:rsidRPr="0084136A" w:rsidRDefault="00EE0335" w:rsidP="00EE0335">
      <w:pPr>
        <w:pStyle w:val="enumlev1"/>
      </w:pPr>
      <w:r>
        <w:t>–</w:t>
      </w:r>
      <w:r>
        <w:tab/>
      </w:r>
      <w:r w:rsidR="00BF3EF7">
        <w:t>Concernant les services fournis </w:t>
      </w:r>
      <w:r w:rsidR="00D41097" w:rsidRPr="0084136A">
        <w:t>:</w:t>
      </w:r>
    </w:p>
    <w:p w14:paraId="1DE250B9" w14:textId="2DA27A1C" w:rsidR="00D41097" w:rsidRPr="0084136A" w:rsidRDefault="00EE0335" w:rsidP="00EE0335">
      <w:pPr>
        <w:pStyle w:val="enumlev2"/>
      </w:pPr>
      <w:r>
        <w:t>•</w:t>
      </w:r>
      <w:r>
        <w:tab/>
      </w:r>
      <w:r w:rsidR="00BF3EF7">
        <w:t xml:space="preserve">Faible propension au risque dans le domaine de la qualité des services fournis aux </w:t>
      </w:r>
      <w:r w:rsidR="009D7A10">
        <w:t>mandants de l’organisation</w:t>
      </w:r>
      <w:r w:rsidR="00D41097" w:rsidRPr="0084136A">
        <w:t>.</w:t>
      </w:r>
    </w:p>
    <w:p w14:paraId="0E3F7DE3" w14:textId="429139F7" w:rsidR="00D41097" w:rsidRPr="0084136A" w:rsidRDefault="00EE0335" w:rsidP="00EE0335">
      <w:pPr>
        <w:pStyle w:val="enumlev1"/>
      </w:pPr>
      <w:r>
        <w:t>–</w:t>
      </w:r>
      <w:r>
        <w:tab/>
      </w:r>
      <w:r w:rsidR="009D7A10">
        <w:t>Concernant la gestion et les contrôles internes :</w:t>
      </w:r>
    </w:p>
    <w:p w14:paraId="34CD152E" w14:textId="664B0FA6" w:rsidR="00D41097" w:rsidRPr="0084136A" w:rsidRDefault="00EE0335" w:rsidP="00EE0335">
      <w:pPr>
        <w:pStyle w:val="enumlev2"/>
      </w:pPr>
      <w:r>
        <w:t>•</w:t>
      </w:r>
      <w:r>
        <w:tab/>
      </w:r>
      <w:r w:rsidR="009D7A10">
        <w:t xml:space="preserve">Aucune propension (c’est-à-dire tolérance zéro) dans les domaines de la fraude, de la corruption, des actes illicites et des comportements répréhensibles ; </w:t>
      </w:r>
    </w:p>
    <w:p w14:paraId="3AB24387" w14:textId="7E30CCED" w:rsidR="00D41097" w:rsidRPr="0084136A" w:rsidRDefault="00EE0335" w:rsidP="00EE0335">
      <w:pPr>
        <w:pStyle w:val="enumlev2"/>
      </w:pPr>
      <w:r>
        <w:t>•</w:t>
      </w:r>
      <w:r>
        <w:tab/>
      </w:r>
      <w:r w:rsidR="009D7A10">
        <w:t>Faible propension aux risques dans les domaines de la sûreté, de la sécurité et de la conformité ;</w:t>
      </w:r>
    </w:p>
    <w:p w14:paraId="63D56643" w14:textId="005043B9" w:rsidR="00D41097" w:rsidRPr="0084136A" w:rsidRDefault="00EE0335" w:rsidP="00EE0335">
      <w:pPr>
        <w:pStyle w:val="enumlev2"/>
      </w:pPr>
      <w:r>
        <w:lastRenderedPageBreak/>
        <w:t>•</w:t>
      </w:r>
      <w:r>
        <w:tab/>
      </w:r>
      <w:r w:rsidR="009D7A10">
        <w:t xml:space="preserve">Très faible propension au risque dans les domaines des violations graves de la sécurité, de l’accès non autorisé à des </w:t>
      </w:r>
      <w:r w:rsidR="0092665A">
        <w:t>dossiers confidentiels ou de la perte de ces dossiers (par exemple bases de données de fichiers de fréquences)</w:t>
      </w:r>
      <w:r w:rsidR="00D41097" w:rsidRPr="0084136A">
        <w:t>.</w:t>
      </w:r>
    </w:p>
    <w:p w14:paraId="0CC0F87A" w14:textId="77037A9D" w:rsidR="00D41097" w:rsidRPr="0084136A" w:rsidRDefault="00EE0335" w:rsidP="00EE0335">
      <w:pPr>
        <w:pStyle w:val="enumlev1"/>
      </w:pPr>
      <w:r>
        <w:t>–</w:t>
      </w:r>
      <w:r>
        <w:tab/>
      </w:r>
      <w:r w:rsidR="008B48FC">
        <w:t xml:space="preserve">Concernant </w:t>
      </w:r>
      <w:r w:rsidR="009E2173">
        <w:t>l’effet sur la réputation </w:t>
      </w:r>
      <w:r w:rsidR="00D41097" w:rsidRPr="0084136A">
        <w:t>:</w:t>
      </w:r>
    </w:p>
    <w:p w14:paraId="62091585" w14:textId="6C572926" w:rsidR="00D41097" w:rsidRPr="0084136A" w:rsidRDefault="00EE0335" w:rsidP="00EE0335">
      <w:pPr>
        <w:pStyle w:val="enumlev2"/>
      </w:pPr>
      <w:r>
        <w:t>•</w:t>
      </w:r>
      <w:r>
        <w:tab/>
      </w:r>
      <w:r w:rsidR="009E2173">
        <w:t xml:space="preserve">Faible propension aux risques qui </w:t>
      </w:r>
      <w:r w:rsidR="00FB19CB">
        <w:t xml:space="preserve">auraient des conséquences très </w:t>
      </w:r>
      <w:r w:rsidR="000D4F16">
        <w:t>préjudiciables</w:t>
      </w:r>
      <w:r w:rsidR="00FB19CB">
        <w:t xml:space="preserve"> </w:t>
      </w:r>
      <w:r w:rsidR="009E2173">
        <w:t>à la réputation de l’</w:t>
      </w:r>
      <w:r w:rsidR="00FB19CB">
        <w:t>UIT</w:t>
      </w:r>
      <w:r w:rsidR="00D41097" w:rsidRPr="0084136A">
        <w:t>.</w:t>
      </w:r>
    </w:p>
    <w:p w14:paraId="118B67CF" w14:textId="66D28758" w:rsidR="00D41097" w:rsidRPr="0084136A" w:rsidRDefault="00EE0335" w:rsidP="00EE0335">
      <w:pPr>
        <w:pStyle w:val="Heading1"/>
        <w:rPr>
          <w:lang w:eastAsia="en-AU"/>
        </w:rPr>
      </w:pPr>
      <w:r>
        <w:t>3</w:t>
      </w:r>
      <w:r>
        <w:tab/>
      </w:r>
      <w:r w:rsidR="00FB19CB" w:rsidRPr="00EE0335">
        <w:t>Examen</w:t>
      </w:r>
      <w:bookmarkStart w:id="10" w:name="_GoBack"/>
      <w:bookmarkEnd w:id="10"/>
    </w:p>
    <w:p w14:paraId="2C1A3788" w14:textId="0E52E120" w:rsidR="00D41097" w:rsidRPr="0084136A" w:rsidRDefault="00FB19CB" w:rsidP="00EE0335">
      <w:r>
        <w:t>La présente déclaration est élaborée en tenant compte du fait que la propension au risque évoluera en permanence. Il importe que la déclaration relative à la propension au risque soit structurée de façon à permettre une réaction rapide à tout changement. Le processus de suivi et d’examen devrait tendre à créer une culture de sensibilisation au risque.</w:t>
      </w:r>
    </w:p>
    <w:p w14:paraId="04D13341" w14:textId="6D9E683E" w:rsidR="00D41097" w:rsidRDefault="00FB19CB" w:rsidP="00EE0335">
      <w:r>
        <w:t>La déclaration relative à la propension au risque est examinée annuellement ou chaque fois que des changements importants surviennent</w:t>
      </w:r>
      <w:r w:rsidR="00D41097" w:rsidRPr="0084136A">
        <w:t>.</w:t>
      </w:r>
    </w:p>
    <w:p w14:paraId="1829180C" w14:textId="77777777" w:rsidR="00EE0335" w:rsidRDefault="00EE0335" w:rsidP="0032202E">
      <w:pPr>
        <w:pStyle w:val="Reasons"/>
      </w:pPr>
    </w:p>
    <w:p w14:paraId="7B8C319D" w14:textId="77777777" w:rsidR="00EE0335" w:rsidRDefault="00EE0335">
      <w:pPr>
        <w:jc w:val="center"/>
      </w:pPr>
      <w:r>
        <w:t>______________</w:t>
      </w:r>
    </w:p>
    <w:p w14:paraId="37B0E40A" w14:textId="77777777" w:rsidR="00EE0335" w:rsidRPr="0084136A" w:rsidRDefault="00EE0335" w:rsidP="009F5868">
      <w:pPr>
        <w:tabs>
          <w:tab w:val="clear" w:pos="567"/>
          <w:tab w:val="clear" w:pos="1134"/>
          <w:tab w:val="clear" w:pos="1701"/>
          <w:tab w:val="clear" w:pos="2268"/>
          <w:tab w:val="clear" w:pos="2835"/>
        </w:tabs>
        <w:snapToGrid w:val="0"/>
        <w:spacing w:after="120"/>
        <w:jc w:val="both"/>
      </w:pPr>
    </w:p>
    <w:sectPr w:rsidR="00EE0335" w:rsidRPr="0084136A"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14C8A" w14:textId="77777777" w:rsidR="00CB5B8B" w:rsidRDefault="00CB5B8B">
      <w:r>
        <w:separator/>
      </w:r>
    </w:p>
  </w:endnote>
  <w:endnote w:type="continuationSeparator" w:id="0">
    <w:p w14:paraId="664B5141" w14:textId="77777777" w:rsidR="00CB5B8B" w:rsidRDefault="00CB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26F90" w14:textId="034E8F12" w:rsidR="00CB18FF" w:rsidRPr="00EE0335" w:rsidRDefault="00EE0335" w:rsidP="00EE0335">
    <w:pPr>
      <w:pStyle w:val="Footer"/>
    </w:pPr>
    <w:fldSimple w:instr=" FILENAME \p  \* MERGEFORMAT ">
      <w:r>
        <w:t>P:\FRA\SG\CONSEIL\C17\000\073F.docx</w:t>
      </w:r>
    </w:fldSimple>
    <w:r>
      <w:t xml:space="preserve"> (415687)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33098"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4802B" w14:textId="77777777" w:rsidR="00CB5B8B" w:rsidRDefault="00CB5B8B">
      <w:r>
        <w:t>____________________</w:t>
      </w:r>
    </w:p>
  </w:footnote>
  <w:footnote w:type="continuationSeparator" w:id="0">
    <w:p w14:paraId="473C237E" w14:textId="77777777" w:rsidR="00CB5B8B" w:rsidRDefault="00CB5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AF09A" w14:textId="77777777" w:rsidR="00322D0D" w:rsidRDefault="006535F1" w:rsidP="00CE433C">
    <w:pPr>
      <w:pStyle w:val="Header"/>
    </w:pPr>
    <w:r>
      <w:fldChar w:fldCharType="begin"/>
    </w:r>
    <w:r>
      <w:instrText>PAGE</w:instrText>
    </w:r>
    <w:r>
      <w:fldChar w:fldCharType="separate"/>
    </w:r>
    <w:r w:rsidR="00EE0335">
      <w:rPr>
        <w:noProof/>
      </w:rPr>
      <w:t>3</w:t>
    </w:r>
    <w:r>
      <w:rPr>
        <w:noProof/>
      </w:rPr>
      <w:fldChar w:fldCharType="end"/>
    </w:r>
  </w:p>
  <w:p w14:paraId="389CFC4B" w14:textId="4D5BACC3" w:rsidR="00322D0D" w:rsidRDefault="003325A1" w:rsidP="00EE0335">
    <w:pPr>
      <w:pStyle w:val="Header"/>
    </w:pPr>
    <w:r>
      <w:t>C17/73-</w:t>
    </w:r>
    <w:r w:rsidR="00EE0335">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61244C"/>
    <w:multiLevelType w:val="hybridMultilevel"/>
    <w:tmpl w:val="4C26E0C0"/>
    <w:lvl w:ilvl="0" w:tplc="11289C50">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5A4B53"/>
    <w:multiLevelType w:val="hybridMultilevel"/>
    <w:tmpl w:val="799E47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A1"/>
    <w:rsid w:val="000210D4"/>
    <w:rsid w:val="00063016"/>
    <w:rsid w:val="00066795"/>
    <w:rsid w:val="000742F8"/>
    <w:rsid w:val="00076AF6"/>
    <w:rsid w:val="00080035"/>
    <w:rsid w:val="00085CF2"/>
    <w:rsid w:val="000A435C"/>
    <w:rsid w:val="000B1705"/>
    <w:rsid w:val="000D4F16"/>
    <w:rsid w:val="000D75B2"/>
    <w:rsid w:val="00104F03"/>
    <w:rsid w:val="001121F5"/>
    <w:rsid w:val="001400DC"/>
    <w:rsid w:val="00140CE1"/>
    <w:rsid w:val="001463AC"/>
    <w:rsid w:val="0017539C"/>
    <w:rsid w:val="00175AC2"/>
    <w:rsid w:val="0017609F"/>
    <w:rsid w:val="00182ECC"/>
    <w:rsid w:val="001C628E"/>
    <w:rsid w:val="001D235C"/>
    <w:rsid w:val="001E0F7B"/>
    <w:rsid w:val="002119FD"/>
    <w:rsid w:val="002130E0"/>
    <w:rsid w:val="00264425"/>
    <w:rsid w:val="00265875"/>
    <w:rsid w:val="0027303B"/>
    <w:rsid w:val="0028109B"/>
    <w:rsid w:val="00297537"/>
    <w:rsid w:val="002B1F58"/>
    <w:rsid w:val="002C1C7A"/>
    <w:rsid w:val="002D7D65"/>
    <w:rsid w:val="0030160F"/>
    <w:rsid w:val="00322D0D"/>
    <w:rsid w:val="003325A1"/>
    <w:rsid w:val="003942D4"/>
    <w:rsid w:val="003958A8"/>
    <w:rsid w:val="003971CA"/>
    <w:rsid w:val="003C2533"/>
    <w:rsid w:val="003D1EAE"/>
    <w:rsid w:val="0040435A"/>
    <w:rsid w:val="00416A24"/>
    <w:rsid w:val="00431D9E"/>
    <w:rsid w:val="00433CE8"/>
    <w:rsid w:val="00434A5C"/>
    <w:rsid w:val="00451B09"/>
    <w:rsid w:val="004544D9"/>
    <w:rsid w:val="00490E72"/>
    <w:rsid w:val="00491157"/>
    <w:rsid w:val="004921C8"/>
    <w:rsid w:val="004D1851"/>
    <w:rsid w:val="004D599D"/>
    <w:rsid w:val="004E2EA5"/>
    <w:rsid w:val="004E3AEB"/>
    <w:rsid w:val="0050223C"/>
    <w:rsid w:val="005243FF"/>
    <w:rsid w:val="00564FBC"/>
    <w:rsid w:val="00582442"/>
    <w:rsid w:val="00621C4C"/>
    <w:rsid w:val="0064737F"/>
    <w:rsid w:val="006535F1"/>
    <w:rsid w:val="0065557D"/>
    <w:rsid w:val="00662984"/>
    <w:rsid w:val="006716BB"/>
    <w:rsid w:val="00696A7D"/>
    <w:rsid w:val="006B6680"/>
    <w:rsid w:val="006B6DCC"/>
    <w:rsid w:val="00702DEF"/>
    <w:rsid w:val="00706861"/>
    <w:rsid w:val="0075051B"/>
    <w:rsid w:val="0077418B"/>
    <w:rsid w:val="00794D34"/>
    <w:rsid w:val="00795CF8"/>
    <w:rsid w:val="00813E5E"/>
    <w:rsid w:val="0083581B"/>
    <w:rsid w:val="0084136A"/>
    <w:rsid w:val="00864AFF"/>
    <w:rsid w:val="00873D26"/>
    <w:rsid w:val="008B48FC"/>
    <w:rsid w:val="008B4A6A"/>
    <w:rsid w:val="008C7E27"/>
    <w:rsid w:val="009173EF"/>
    <w:rsid w:val="0092665A"/>
    <w:rsid w:val="0093278C"/>
    <w:rsid w:val="00932906"/>
    <w:rsid w:val="00961B0B"/>
    <w:rsid w:val="00964F3C"/>
    <w:rsid w:val="00997F88"/>
    <w:rsid w:val="009B38C3"/>
    <w:rsid w:val="009C0744"/>
    <w:rsid w:val="009D7A10"/>
    <w:rsid w:val="009E17BD"/>
    <w:rsid w:val="009E2173"/>
    <w:rsid w:val="009F5868"/>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BF3EF7"/>
    <w:rsid w:val="00C01189"/>
    <w:rsid w:val="00C0311A"/>
    <w:rsid w:val="00C172C8"/>
    <w:rsid w:val="00C374DE"/>
    <w:rsid w:val="00C470D0"/>
    <w:rsid w:val="00C47AD4"/>
    <w:rsid w:val="00C52D81"/>
    <w:rsid w:val="00C55198"/>
    <w:rsid w:val="00C61F0B"/>
    <w:rsid w:val="00CA6393"/>
    <w:rsid w:val="00CB18FF"/>
    <w:rsid w:val="00CB5B8B"/>
    <w:rsid w:val="00CD0C08"/>
    <w:rsid w:val="00CE03FB"/>
    <w:rsid w:val="00CE433C"/>
    <w:rsid w:val="00CF33F3"/>
    <w:rsid w:val="00D06183"/>
    <w:rsid w:val="00D22C42"/>
    <w:rsid w:val="00D41097"/>
    <w:rsid w:val="00D65041"/>
    <w:rsid w:val="00DB384B"/>
    <w:rsid w:val="00DF3D80"/>
    <w:rsid w:val="00E10E80"/>
    <w:rsid w:val="00E124F0"/>
    <w:rsid w:val="00E13BC3"/>
    <w:rsid w:val="00E60F04"/>
    <w:rsid w:val="00E854E4"/>
    <w:rsid w:val="00EB0D6F"/>
    <w:rsid w:val="00EB2232"/>
    <w:rsid w:val="00EC5337"/>
    <w:rsid w:val="00EE0335"/>
    <w:rsid w:val="00F03487"/>
    <w:rsid w:val="00F2150A"/>
    <w:rsid w:val="00F231D8"/>
    <w:rsid w:val="00F46C5F"/>
    <w:rsid w:val="00F94A63"/>
    <w:rsid w:val="00FA1C28"/>
    <w:rsid w:val="00FB19CB"/>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93FFD3"/>
  <w15:docId w15:val="{77A94597-CFB7-4EAD-A379-327D342E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33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EE0335"/>
    <w:pPr>
      <w:keepNext/>
      <w:keepLines/>
      <w:spacing w:before="480"/>
      <w:ind w:left="567" w:hanging="567"/>
      <w:outlineLvl w:val="0"/>
    </w:pPr>
    <w:rPr>
      <w:b/>
      <w:sz w:val="28"/>
    </w:rPr>
  </w:style>
  <w:style w:type="paragraph" w:styleId="Heading2">
    <w:name w:val="heading 2"/>
    <w:basedOn w:val="Heading1"/>
    <w:next w:val="Normal"/>
    <w:qFormat/>
    <w:rsid w:val="00EE0335"/>
    <w:pPr>
      <w:spacing w:before="320"/>
      <w:outlineLvl w:val="1"/>
    </w:pPr>
    <w:rPr>
      <w:sz w:val="24"/>
    </w:rPr>
  </w:style>
  <w:style w:type="paragraph" w:styleId="Heading3">
    <w:name w:val="heading 3"/>
    <w:basedOn w:val="Heading1"/>
    <w:next w:val="Normal"/>
    <w:qFormat/>
    <w:rsid w:val="00EE0335"/>
    <w:pPr>
      <w:spacing w:before="200"/>
      <w:outlineLvl w:val="2"/>
    </w:pPr>
    <w:rPr>
      <w:sz w:val="24"/>
    </w:rPr>
  </w:style>
  <w:style w:type="paragraph" w:styleId="Heading4">
    <w:name w:val="heading 4"/>
    <w:basedOn w:val="Heading3"/>
    <w:next w:val="Normal"/>
    <w:qFormat/>
    <w:rsid w:val="00EE0335"/>
    <w:pPr>
      <w:ind w:left="1134" w:hanging="1134"/>
      <w:outlineLvl w:val="3"/>
    </w:pPr>
  </w:style>
  <w:style w:type="paragraph" w:styleId="Heading5">
    <w:name w:val="heading 5"/>
    <w:basedOn w:val="Heading4"/>
    <w:next w:val="Normal"/>
    <w:qFormat/>
    <w:rsid w:val="00EE0335"/>
    <w:pPr>
      <w:outlineLvl w:val="4"/>
    </w:pPr>
  </w:style>
  <w:style w:type="paragraph" w:styleId="Heading6">
    <w:name w:val="heading 6"/>
    <w:basedOn w:val="Heading4"/>
    <w:next w:val="Normal"/>
    <w:qFormat/>
    <w:rsid w:val="00EE0335"/>
    <w:pPr>
      <w:outlineLvl w:val="5"/>
    </w:pPr>
  </w:style>
  <w:style w:type="paragraph" w:styleId="Heading7">
    <w:name w:val="heading 7"/>
    <w:basedOn w:val="Heading4"/>
    <w:next w:val="Normal"/>
    <w:qFormat/>
    <w:rsid w:val="00EE0335"/>
    <w:pPr>
      <w:ind w:left="1701" w:hanging="1701"/>
      <w:outlineLvl w:val="6"/>
    </w:pPr>
  </w:style>
  <w:style w:type="paragraph" w:styleId="Heading8">
    <w:name w:val="heading 8"/>
    <w:basedOn w:val="Heading4"/>
    <w:next w:val="Normal"/>
    <w:qFormat/>
    <w:rsid w:val="00EE0335"/>
    <w:pPr>
      <w:ind w:left="1701" w:hanging="1701"/>
      <w:outlineLvl w:val="7"/>
    </w:pPr>
  </w:style>
  <w:style w:type="paragraph" w:styleId="Heading9">
    <w:name w:val="heading 9"/>
    <w:basedOn w:val="Heading4"/>
    <w:next w:val="Normal"/>
    <w:qFormat/>
    <w:rsid w:val="00EE0335"/>
    <w:pPr>
      <w:ind w:left="1701" w:hanging="1701"/>
      <w:outlineLvl w:val="8"/>
    </w:pPr>
  </w:style>
  <w:style w:type="character" w:default="1" w:styleId="DefaultParagraphFont">
    <w:name w:val="Default Paragraph Font"/>
    <w:uiPriority w:val="1"/>
    <w:semiHidden/>
    <w:unhideWhenUsed/>
    <w:rsid w:val="00EE03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0335"/>
  </w:style>
  <w:style w:type="paragraph" w:styleId="TOC8">
    <w:name w:val="toc 8"/>
    <w:basedOn w:val="Normal"/>
    <w:next w:val="Normal"/>
    <w:rsid w:val="00EE033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EE033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EE033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EE033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EE033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EE033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EE033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EE033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EE0335"/>
    <w:pPr>
      <w:ind w:left="1698"/>
    </w:pPr>
  </w:style>
  <w:style w:type="paragraph" w:styleId="Index6">
    <w:name w:val="index 6"/>
    <w:basedOn w:val="Normal"/>
    <w:next w:val="Normal"/>
    <w:rsid w:val="00EE0335"/>
    <w:pPr>
      <w:ind w:left="1415"/>
    </w:pPr>
  </w:style>
  <w:style w:type="paragraph" w:styleId="Index5">
    <w:name w:val="index 5"/>
    <w:basedOn w:val="Normal"/>
    <w:next w:val="Normal"/>
    <w:rsid w:val="00EE0335"/>
    <w:pPr>
      <w:ind w:left="1132"/>
    </w:pPr>
  </w:style>
  <w:style w:type="paragraph" w:styleId="Index4">
    <w:name w:val="index 4"/>
    <w:basedOn w:val="Normal"/>
    <w:next w:val="Normal"/>
    <w:rsid w:val="00EE0335"/>
    <w:pPr>
      <w:ind w:left="849"/>
    </w:pPr>
  </w:style>
  <w:style w:type="paragraph" w:styleId="Index3">
    <w:name w:val="index 3"/>
    <w:basedOn w:val="Normal"/>
    <w:next w:val="Normal"/>
    <w:rsid w:val="00EE0335"/>
    <w:pPr>
      <w:ind w:left="566"/>
    </w:pPr>
  </w:style>
  <w:style w:type="paragraph" w:styleId="Index2">
    <w:name w:val="index 2"/>
    <w:basedOn w:val="Normal"/>
    <w:next w:val="Normal"/>
    <w:rsid w:val="00EE0335"/>
    <w:pPr>
      <w:ind w:left="283"/>
    </w:pPr>
  </w:style>
  <w:style w:type="paragraph" w:styleId="Index1">
    <w:name w:val="index 1"/>
    <w:basedOn w:val="Normal"/>
    <w:next w:val="Normal"/>
    <w:rsid w:val="00EE0335"/>
  </w:style>
  <w:style w:type="character" w:styleId="LineNumber">
    <w:name w:val="line number"/>
    <w:basedOn w:val="DefaultParagraphFont"/>
    <w:rsid w:val="00EE0335"/>
  </w:style>
  <w:style w:type="paragraph" w:styleId="IndexHeading">
    <w:name w:val="index heading"/>
    <w:basedOn w:val="Normal"/>
    <w:next w:val="Index1"/>
    <w:rsid w:val="00EE0335"/>
  </w:style>
  <w:style w:type="paragraph" w:styleId="Footer">
    <w:name w:val="footer"/>
    <w:basedOn w:val="Normal"/>
    <w:rsid w:val="00EE033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EE033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EE0335"/>
    <w:rPr>
      <w:rFonts w:ascii="Calibri" w:hAnsi="Calibri"/>
      <w:position w:val="6"/>
      <w:sz w:val="16"/>
    </w:rPr>
  </w:style>
  <w:style w:type="paragraph" w:styleId="FootnoteText">
    <w:name w:val="footnote text"/>
    <w:basedOn w:val="Normal"/>
    <w:rsid w:val="00EE0335"/>
    <w:pPr>
      <w:keepLines/>
      <w:tabs>
        <w:tab w:val="left" w:pos="256"/>
      </w:tabs>
      <w:ind w:left="256" w:hanging="256"/>
    </w:pPr>
  </w:style>
  <w:style w:type="paragraph" w:styleId="NormalIndent">
    <w:name w:val="Normal Indent"/>
    <w:basedOn w:val="Normal"/>
    <w:rsid w:val="00EE0335"/>
    <w:pPr>
      <w:ind w:left="567"/>
    </w:pPr>
  </w:style>
  <w:style w:type="paragraph" w:customStyle="1" w:styleId="enumlev1">
    <w:name w:val="enumlev1"/>
    <w:basedOn w:val="Normal"/>
    <w:rsid w:val="00EE0335"/>
    <w:pPr>
      <w:spacing w:before="86"/>
      <w:ind w:left="567" w:hanging="567"/>
    </w:pPr>
  </w:style>
  <w:style w:type="paragraph" w:customStyle="1" w:styleId="enumlev2">
    <w:name w:val="enumlev2"/>
    <w:basedOn w:val="enumlev1"/>
    <w:rsid w:val="00EE0335"/>
    <w:pPr>
      <w:ind w:left="1134"/>
    </w:pPr>
  </w:style>
  <w:style w:type="paragraph" w:customStyle="1" w:styleId="enumlev3">
    <w:name w:val="enumlev3"/>
    <w:basedOn w:val="enumlev2"/>
    <w:rsid w:val="00EE0335"/>
    <w:pPr>
      <w:ind w:left="1701"/>
    </w:pPr>
  </w:style>
  <w:style w:type="paragraph" w:customStyle="1" w:styleId="Normalaftertitle">
    <w:name w:val="Normal after title"/>
    <w:basedOn w:val="Normal"/>
    <w:next w:val="Normal"/>
    <w:rsid w:val="00EE0335"/>
    <w:pPr>
      <w:spacing w:before="240"/>
    </w:pPr>
  </w:style>
  <w:style w:type="paragraph" w:customStyle="1" w:styleId="Equation">
    <w:name w:val="Equation"/>
    <w:basedOn w:val="Normal"/>
    <w:rsid w:val="00EE0335"/>
    <w:pPr>
      <w:tabs>
        <w:tab w:val="center" w:pos="4820"/>
        <w:tab w:val="right" w:pos="9639"/>
      </w:tabs>
    </w:pPr>
  </w:style>
  <w:style w:type="paragraph" w:customStyle="1" w:styleId="Head">
    <w:name w:val="Head"/>
    <w:basedOn w:val="Normal"/>
    <w:rsid w:val="00EE0335"/>
    <w:pPr>
      <w:tabs>
        <w:tab w:val="left" w:pos="6663"/>
      </w:tabs>
      <w:overflowPunct/>
      <w:autoSpaceDE/>
      <w:autoSpaceDN/>
      <w:adjustRightInd/>
      <w:spacing w:before="0"/>
      <w:textAlignment w:val="auto"/>
    </w:pPr>
  </w:style>
  <w:style w:type="paragraph" w:customStyle="1" w:styleId="toc0">
    <w:name w:val="toc 0"/>
    <w:basedOn w:val="Normal"/>
    <w:next w:val="TOC1"/>
    <w:rsid w:val="00EE0335"/>
    <w:pPr>
      <w:tabs>
        <w:tab w:val="clear" w:pos="567"/>
        <w:tab w:val="clear" w:pos="1134"/>
        <w:tab w:val="clear" w:pos="1701"/>
        <w:tab w:val="clear" w:pos="2268"/>
        <w:tab w:val="clear" w:pos="2835"/>
        <w:tab w:val="right" w:pos="9781"/>
      </w:tabs>
    </w:pPr>
    <w:rPr>
      <w:b/>
    </w:rPr>
  </w:style>
  <w:style w:type="paragraph" w:styleId="List">
    <w:name w:val="List"/>
    <w:basedOn w:val="Normal"/>
    <w:rsid w:val="00EE0335"/>
    <w:pPr>
      <w:tabs>
        <w:tab w:val="left" w:pos="2127"/>
      </w:tabs>
      <w:ind w:left="2127" w:hanging="2127"/>
    </w:pPr>
  </w:style>
  <w:style w:type="paragraph" w:customStyle="1" w:styleId="Part">
    <w:name w:val="Part"/>
    <w:basedOn w:val="Normal"/>
    <w:rsid w:val="00EE0335"/>
    <w:pPr>
      <w:tabs>
        <w:tab w:val="left" w:pos="1276"/>
      </w:tabs>
      <w:spacing w:before="199"/>
      <w:ind w:left="1701" w:hanging="1701"/>
    </w:pPr>
    <w:rPr>
      <w:caps/>
    </w:rPr>
  </w:style>
  <w:style w:type="paragraph" w:customStyle="1" w:styleId="Source">
    <w:name w:val="Source"/>
    <w:basedOn w:val="Normal"/>
    <w:next w:val="Title1"/>
    <w:rsid w:val="00EE0335"/>
    <w:pPr>
      <w:spacing w:before="840"/>
      <w:jc w:val="center"/>
    </w:pPr>
    <w:rPr>
      <w:b/>
      <w:sz w:val="28"/>
    </w:rPr>
  </w:style>
  <w:style w:type="paragraph" w:customStyle="1" w:styleId="meeting">
    <w:name w:val="meeting"/>
    <w:basedOn w:val="Head"/>
    <w:next w:val="Head"/>
    <w:rsid w:val="00EE0335"/>
    <w:pPr>
      <w:tabs>
        <w:tab w:val="left" w:pos="7371"/>
      </w:tabs>
      <w:spacing w:after="567"/>
    </w:pPr>
  </w:style>
  <w:style w:type="paragraph" w:customStyle="1" w:styleId="Subject">
    <w:name w:val="Subject"/>
    <w:basedOn w:val="Normal"/>
    <w:next w:val="Source"/>
    <w:rsid w:val="00EE0335"/>
    <w:pPr>
      <w:tabs>
        <w:tab w:val="left" w:pos="709"/>
      </w:tabs>
      <w:spacing w:before="0"/>
      <w:ind w:left="709" w:hanging="709"/>
    </w:pPr>
  </w:style>
  <w:style w:type="paragraph" w:customStyle="1" w:styleId="Object">
    <w:name w:val="Object"/>
    <w:basedOn w:val="Subject"/>
    <w:next w:val="Subject"/>
    <w:rsid w:val="00EE0335"/>
  </w:style>
  <w:style w:type="paragraph" w:customStyle="1" w:styleId="Data">
    <w:name w:val="Data"/>
    <w:basedOn w:val="Subject"/>
    <w:next w:val="Subject"/>
    <w:rsid w:val="00EE0335"/>
  </w:style>
  <w:style w:type="paragraph" w:customStyle="1" w:styleId="Reasons">
    <w:name w:val="Reasons"/>
    <w:basedOn w:val="Normal"/>
    <w:qFormat/>
    <w:rsid w:val="00EE0335"/>
  </w:style>
  <w:style w:type="character" w:styleId="Hyperlink">
    <w:name w:val="Hyperlink"/>
    <w:basedOn w:val="DefaultParagraphFont"/>
    <w:rsid w:val="00EE0335"/>
    <w:rPr>
      <w:color w:val="0000FF"/>
      <w:u w:val="single"/>
    </w:rPr>
  </w:style>
  <w:style w:type="paragraph" w:customStyle="1" w:styleId="FirstFooter">
    <w:name w:val="FirstFooter"/>
    <w:basedOn w:val="Footer"/>
    <w:rsid w:val="00EE0335"/>
    <w:rPr>
      <w:caps w:val="0"/>
    </w:rPr>
  </w:style>
  <w:style w:type="paragraph" w:customStyle="1" w:styleId="Note">
    <w:name w:val="Note"/>
    <w:basedOn w:val="Normal"/>
    <w:rsid w:val="00EE0335"/>
    <w:pPr>
      <w:spacing w:before="80"/>
    </w:pPr>
  </w:style>
  <w:style w:type="paragraph" w:styleId="TOC9">
    <w:name w:val="toc 9"/>
    <w:basedOn w:val="Normal"/>
    <w:next w:val="Normal"/>
    <w:rsid w:val="00EE0335"/>
    <w:pPr>
      <w:tabs>
        <w:tab w:val="clear" w:pos="567"/>
        <w:tab w:val="clear" w:pos="1134"/>
        <w:tab w:val="clear" w:pos="1701"/>
        <w:tab w:val="clear" w:pos="2268"/>
        <w:tab w:val="clear" w:pos="2835"/>
        <w:tab w:val="right" w:leader="dot" w:pos="9645"/>
      </w:tabs>
      <w:ind w:left="1920"/>
    </w:pPr>
  </w:style>
  <w:style w:type="paragraph" w:customStyle="1" w:styleId="Headingb">
    <w:name w:val="Heading_b"/>
    <w:basedOn w:val="Heading3"/>
    <w:next w:val="Normal"/>
    <w:rsid w:val="00EE0335"/>
    <w:pPr>
      <w:spacing w:before="160"/>
      <w:outlineLvl w:val="0"/>
    </w:pPr>
  </w:style>
  <w:style w:type="character" w:styleId="FollowedHyperlink">
    <w:name w:val="FollowedHyperlink"/>
    <w:basedOn w:val="DefaultParagraphFont"/>
    <w:rsid w:val="00EE0335"/>
    <w:rPr>
      <w:color w:val="800080"/>
      <w:u w:val="single"/>
    </w:rPr>
  </w:style>
  <w:style w:type="paragraph" w:customStyle="1" w:styleId="Title1">
    <w:name w:val="Title 1"/>
    <w:basedOn w:val="Source"/>
    <w:next w:val="Title2"/>
    <w:rsid w:val="00EE0335"/>
    <w:pPr>
      <w:spacing w:before="240"/>
    </w:pPr>
    <w:rPr>
      <w:b w:val="0"/>
      <w:caps/>
    </w:rPr>
  </w:style>
  <w:style w:type="paragraph" w:customStyle="1" w:styleId="Title2">
    <w:name w:val="Title 2"/>
    <w:basedOn w:val="Source"/>
    <w:next w:val="Title3"/>
    <w:rsid w:val="00EE0335"/>
    <w:pPr>
      <w:spacing w:before="240"/>
    </w:pPr>
    <w:rPr>
      <w:b w:val="0"/>
      <w:caps/>
    </w:rPr>
  </w:style>
  <w:style w:type="paragraph" w:customStyle="1" w:styleId="Title3">
    <w:name w:val="Title 3"/>
    <w:basedOn w:val="Title2"/>
    <w:next w:val="Normalaftertitle"/>
    <w:rsid w:val="00EE0335"/>
    <w:rPr>
      <w:caps w:val="0"/>
    </w:rPr>
  </w:style>
  <w:style w:type="paragraph" w:customStyle="1" w:styleId="Title4">
    <w:name w:val="Title 4"/>
    <w:basedOn w:val="Title3"/>
    <w:next w:val="Heading1"/>
    <w:rsid w:val="00EE0335"/>
    <w:rPr>
      <w:b/>
    </w:rPr>
  </w:style>
  <w:style w:type="paragraph" w:customStyle="1" w:styleId="dnum">
    <w:name w:val="dnum"/>
    <w:basedOn w:val="Normal"/>
    <w:rsid w:val="00EE0335"/>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EE0335"/>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EE0335"/>
    <w:pPr>
      <w:framePr w:hSpace="181" w:wrap="notBeside" w:vAnchor="page" w:hAnchor="margin" w:x="1" w:y="852"/>
      <w:shd w:val="solid" w:color="FFFFFF" w:fill="FFFFFF"/>
      <w:tabs>
        <w:tab w:val="left" w:pos="1871"/>
      </w:tabs>
      <w:spacing w:before="0"/>
    </w:pPr>
    <w:rPr>
      <w:b/>
      <w:bCs/>
    </w:rPr>
  </w:style>
  <w:style w:type="paragraph" w:customStyle="1" w:styleId="AnnexNo">
    <w:name w:val="Annex_No"/>
    <w:basedOn w:val="Normal"/>
    <w:next w:val="Annexref"/>
    <w:rsid w:val="00EE0335"/>
    <w:pPr>
      <w:spacing w:before="720"/>
      <w:jc w:val="center"/>
    </w:pPr>
    <w:rPr>
      <w:caps/>
      <w:sz w:val="28"/>
    </w:rPr>
  </w:style>
  <w:style w:type="paragraph" w:customStyle="1" w:styleId="Annextitle">
    <w:name w:val="Annex_title"/>
    <w:basedOn w:val="Normal"/>
    <w:next w:val="Normal"/>
    <w:rsid w:val="00EE0335"/>
    <w:pPr>
      <w:spacing w:before="240" w:after="240"/>
      <w:jc w:val="center"/>
    </w:pPr>
    <w:rPr>
      <w:b/>
      <w:sz w:val="28"/>
    </w:rPr>
  </w:style>
  <w:style w:type="paragraph" w:customStyle="1" w:styleId="Annexref">
    <w:name w:val="Annex_ref"/>
    <w:basedOn w:val="Normal"/>
    <w:next w:val="Annextitle"/>
    <w:rsid w:val="00EE0335"/>
    <w:pPr>
      <w:jc w:val="center"/>
    </w:pPr>
    <w:rPr>
      <w:sz w:val="28"/>
    </w:rPr>
  </w:style>
  <w:style w:type="paragraph" w:customStyle="1" w:styleId="AppendixNo">
    <w:name w:val="Appendix_No"/>
    <w:basedOn w:val="AnnexNo"/>
    <w:next w:val="Appendixref"/>
    <w:rsid w:val="00EE0335"/>
  </w:style>
  <w:style w:type="paragraph" w:customStyle="1" w:styleId="Appendixtitle">
    <w:name w:val="Appendix_title"/>
    <w:basedOn w:val="Annextitle"/>
    <w:next w:val="Normal"/>
    <w:rsid w:val="00EE0335"/>
  </w:style>
  <w:style w:type="paragraph" w:customStyle="1" w:styleId="Appendixref">
    <w:name w:val="Appendix_ref"/>
    <w:basedOn w:val="Annexref"/>
    <w:next w:val="Appendixtitle"/>
    <w:rsid w:val="00EE0335"/>
  </w:style>
  <w:style w:type="paragraph" w:customStyle="1" w:styleId="Call">
    <w:name w:val="Call"/>
    <w:basedOn w:val="Normal"/>
    <w:next w:val="Normal"/>
    <w:rsid w:val="00EE0335"/>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Indent"/>
    <w:rsid w:val="00EE0335"/>
    <w:pPr>
      <w:tabs>
        <w:tab w:val="right" w:pos="1531"/>
      </w:tabs>
      <w:spacing w:before="80"/>
      <w:ind w:left="1701" w:hanging="1701"/>
    </w:pPr>
  </w:style>
  <w:style w:type="paragraph" w:customStyle="1" w:styleId="Figure">
    <w:name w:val="Figure"/>
    <w:basedOn w:val="Normal"/>
    <w:next w:val="Figuretitle"/>
    <w:rsid w:val="00EE0335"/>
    <w:pPr>
      <w:keepNext/>
      <w:keepLines/>
      <w:spacing w:after="120"/>
      <w:jc w:val="center"/>
    </w:pPr>
  </w:style>
  <w:style w:type="paragraph" w:customStyle="1" w:styleId="Figuretitle">
    <w:name w:val="Figure_title"/>
    <w:basedOn w:val="Tabletitle"/>
    <w:next w:val="Normalaftertitle"/>
    <w:rsid w:val="00EE0335"/>
    <w:pPr>
      <w:spacing w:before="240" w:after="480"/>
    </w:pPr>
  </w:style>
  <w:style w:type="paragraph" w:customStyle="1" w:styleId="Tabletitle">
    <w:name w:val="Table_title"/>
    <w:basedOn w:val="TableNo"/>
    <w:next w:val="Tabletext"/>
    <w:rsid w:val="00EE033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EE0335"/>
    <w:pPr>
      <w:keepNext/>
      <w:spacing w:before="560" w:after="120"/>
      <w:jc w:val="center"/>
    </w:pPr>
    <w:rPr>
      <w:caps/>
    </w:rPr>
  </w:style>
  <w:style w:type="paragraph" w:customStyle="1" w:styleId="Tabletext">
    <w:name w:val="Table_text"/>
    <w:basedOn w:val="Normal"/>
    <w:rsid w:val="00EE033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EE0335"/>
    <w:pPr>
      <w:keepNext/>
      <w:keepLines/>
      <w:spacing w:before="20" w:after="20"/>
    </w:pPr>
    <w:rPr>
      <w:sz w:val="18"/>
    </w:rPr>
  </w:style>
  <w:style w:type="paragraph" w:customStyle="1" w:styleId="FigureNo">
    <w:name w:val="Figure_No"/>
    <w:basedOn w:val="Normal"/>
    <w:next w:val="Figuretitle"/>
    <w:rsid w:val="00EE0335"/>
    <w:pPr>
      <w:keepNext/>
      <w:keepLines/>
      <w:spacing w:before="240" w:after="120"/>
      <w:jc w:val="center"/>
    </w:pPr>
    <w:rPr>
      <w:caps/>
    </w:rPr>
  </w:style>
  <w:style w:type="paragraph" w:customStyle="1" w:styleId="Figurewithouttitle">
    <w:name w:val="Figure_without_title"/>
    <w:basedOn w:val="Figure"/>
    <w:next w:val="Normalaftertitle"/>
    <w:rsid w:val="00EE0335"/>
    <w:pPr>
      <w:keepNext w:val="0"/>
      <w:spacing w:after="240"/>
    </w:pPr>
  </w:style>
  <w:style w:type="paragraph" w:customStyle="1" w:styleId="Headingi">
    <w:name w:val="Heading_i"/>
    <w:basedOn w:val="Heading3"/>
    <w:next w:val="Normal"/>
    <w:rsid w:val="00EE0335"/>
    <w:pPr>
      <w:spacing w:before="160"/>
      <w:outlineLvl w:val="0"/>
    </w:pPr>
    <w:rPr>
      <w:b w:val="0"/>
      <w:i/>
    </w:rPr>
  </w:style>
  <w:style w:type="character" w:styleId="PageNumber">
    <w:name w:val="page number"/>
    <w:basedOn w:val="DefaultParagraphFont"/>
    <w:rsid w:val="00EE0335"/>
    <w:rPr>
      <w:rFonts w:ascii="Calibri" w:hAnsi="Calibri"/>
    </w:rPr>
  </w:style>
  <w:style w:type="paragraph" w:customStyle="1" w:styleId="PartNo">
    <w:name w:val="Part_No"/>
    <w:basedOn w:val="AnnexNo"/>
    <w:next w:val="Parttitle"/>
    <w:rsid w:val="00EE0335"/>
  </w:style>
  <w:style w:type="paragraph" w:customStyle="1" w:styleId="Parttitle">
    <w:name w:val="Part_title"/>
    <w:basedOn w:val="Annextitle"/>
    <w:next w:val="Partref"/>
    <w:rsid w:val="00EE0335"/>
  </w:style>
  <w:style w:type="paragraph" w:customStyle="1" w:styleId="Partref">
    <w:name w:val="Part_ref"/>
    <w:basedOn w:val="Annexref"/>
    <w:next w:val="Normalaftertitle"/>
    <w:rsid w:val="00EE0335"/>
  </w:style>
  <w:style w:type="paragraph" w:customStyle="1" w:styleId="RecNo">
    <w:name w:val="Rec_No"/>
    <w:basedOn w:val="Normal"/>
    <w:next w:val="Rectitle"/>
    <w:rsid w:val="00EE0335"/>
    <w:pPr>
      <w:spacing w:before="720"/>
      <w:jc w:val="center"/>
    </w:pPr>
    <w:rPr>
      <w:caps/>
      <w:sz w:val="28"/>
    </w:rPr>
  </w:style>
  <w:style w:type="paragraph" w:customStyle="1" w:styleId="Rectitle">
    <w:name w:val="Rec_title"/>
    <w:basedOn w:val="Normal"/>
    <w:next w:val="Heading1"/>
    <w:rsid w:val="00EE0335"/>
    <w:pPr>
      <w:spacing w:before="240"/>
      <w:jc w:val="center"/>
    </w:pPr>
    <w:rPr>
      <w:b/>
      <w:sz w:val="28"/>
    </w:rPr>
  </w:style>
  <w:style w:type="paragraph" w:customStyle="1" w:styleId="Recref">
    <w:name w:val="Rec_ref"/>
    <w:basedOn w:val="Rectitle"/>
    <w:next w:val="Recdate"/>
    <w:rsid w:val="00EE0335"/>
    <w:pPr>
      <w:spacing w:before="120"/>
    </w:pPr>
    <w:rPr>
      <w:rFonts w:ascii="Times New Roman" w:hAnsi="Times New Roman"/>
      <w:b w:val="0"/>
      <w:sz w:val="24"/>
    </w:rPr>
  </w:style>
  <w:style w:type="paragraph" w:customStyle="1" w:styleId="Recdate">
    <w:name w:val="Rec_date"/>
    <w:basedOn w:val="Recref"/>
    <w:next w:val="Normalaftertitle"/>
    <w:rsid w:val="00EE0335"/>
    <w:pPr>
      <w:jc w:val="right"/>
    </w:pPr>
    <w:rPr>
      <w:sz w:val="22"/>
    </w:rPr>
  </w:style>
  <w:style w:type="paragraph" w:customStyle="1" w:styleId="Questiondate">
    <w:name w:val="Question_date"/>
    <w:basedOn w:val="Recdate"/>
    <w:next w:val="Normalaftertitle"/>
    <w:rsid w:val="00EE0335"/>
  </w:style>
  <w:style w:type="paragraph" w:customStyle="1" w:styleId="QuestionNo">
    <w:name w:val="Question_No"/>
    <w:basedOn w:val="RecNo"/>
    <w:next w:val="Questiontitle"/>
    <w:rsid w:val="00EE0335"/>
  </w:style>
  <w:style w:type="paragraph" w:customStyle="1" w:styleId="Questionref">
    <w:name w:val="Question_ref"/>
    <w:basedOn w:val="Recref"/>
    <w:next w:val="Questiondate"/>
    <w:rsid w:val="00EE0335"/>
  </w:style>
  <w:style w:type="paragraph" w:customStyle="1" w:styleId="Questiontitle">
    <w:name w:val="Question_title"/>
    <w:basedOn w:val="Rectitle"/>
    <w:next w:val="Questionref"/>
    <w:rsid w:val="00EE0335"/>
  </w:style>
  <w:style w:type="paragraph" w:customStyle="1" w:styleId="Reftext">
    <w:name w:val="Ref_text"/>
    <w:basedOn w:val="Normal"/>
    <w:rsid w:val="00EE0335"/>
    <w:pPr>
      <w:ind w:left="567" w:hanging="567"/>
    </w:pPr>
  </w:style>
  <w:style w:type="paragraph" w:customStyle="1" w:styleId="Reftitle">
    <w:name w:val="Ref_title"/>
    <w:basedOn w:val="Normal"/>
    <w:next w:val="Reftext"/>
    <w:rsid w:val="00EE0335"/>
    <w:pPr>
      <w:spacing w:before="480"/>
      <w:jc w:val="center"/>
    </w:pPr>
    <w:rPr>
      <w:caps/>
      <w:sz w:val="28"/>
    </w:rPr>
  </w:style>
  <w:style w:type="paragraph" w:customStyle="1" w:styleId="Repdate">
    <w:name w:val="Rep_date"/>
    <w:basedOn w:val="Recdate"/>
    <w:next w:val="Normalaftertitle"/>
    <w:rsid w:val="00EE0335"/>
  </w:style>
  <w:style w:type="paragraph" w:customStyle="1" w:styleId="RepNo">
    <w:name w:val="Rep_No"/>
    <w:basedOn w:val="RecNo"/>
    <w:next w:val="Reptitle"/>
    <w:rsid w:val="00EE0335"/>
  </w:style>
  <w:style w:type="paragraph" w:customStyle="1" w:styleId="Reptitle">
    <w:name w:val="Rep_title"/>
    <w:basedOn w:val="Rectitle"/>
    <w:next w:val="Repref"/>
    <w:rsid w:val="00EE0335"/>
  </w:style>
  <w:style w:type="paragraph" w:customStyle="1" w:styleId="Repref">
    <w:name w:val="Rep_ref"/>
    <w:basedOn w:val="Recref"/>
    <w:next w:val="Repdate"/>
    <w:rsid w:val="00EE0335"/>
  </w:style>
  <w:style w:type="paragraph" w:customStyle="1" w:styleId="Resdate">
    <w:name w:val="Res_date"/>
    <w:basedOn w:val="Recdate"/>
    <w:next w:val="Normalaftertitle"/>
    <w:rsid w:val="00EE0335"/>
  </w:style>
  <w:style w:type="paragraph" w:customStyle="1" w:styleId="ResNo">
    <w:name w:val="Res_No"/>
    <w:basedOn w:val="AnnexNo"/>
    <w:next w:val="Restitle"/>
    <w:rsid w:val="00EE0335"/>
  </w:style>
  <w:style w:type="paragraph" w:customStyle="1" w:styleId="Restitle">
    <w:name w:val="Res_title"/>
    <w:basedOn w:val="Annextitle"/>
    <w:next w:val="Normal"/>
    <w:rsid w:val="00EE0335"/>
  </w:style>
  <w:style w:type="paragraph" w:customStyle="1" w:styleId="Resref">
    <w:name w:val="Res_ref"/>
    <w:basedOn w:val="Recref"/>
    <w:next w:val="Resdate"/>
    <w:rsid w:val="00EE0335"/>
  </w:style>
  <w:style w:type="paragraph" w:customStyle="1" w:styleId="SectionNo">
    <w:name w:val="Section_No"/>
    <w:basedOn w:val="AnnexNo"/>
    <w:next w:val="Sectiontitle"/>
    <w:rsid w:val="00EE0335"/>
  </w:style>
  <w:style w:type="paragraph" w:customStyle="1" w:styleId="Sectiontitle">
    <w:name w:val="Section_title"/>
    <w:basedOn w:val="Normal"/>
    <w:next w:val="Normalaftertitle"/>
    <w:rsid w:val="00EE0335"/>
    <w:rPr>
      <w:sz w:val="28"/>
    </w:rPr>
  </w:style>
  <w:style w:type="paragraph" w:customStyle="1" w:styleId="SpecialFooter">
    <w:name w:val="Special Footer"/>
    <w:basedOn w:val="Footer"/>
    <w:rsid w:val="00EE0335"/>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0335"/>
    <w:pPr>
      <w:spacing w:before="120" w:after="120"/>
      <w:jc w:val="center"/>
    </w:pPr>
    <w:rPr>
      <w:b/>
    </w:rPr>
  </w:style>
  <w:style w:type="paragraph" w:customStyle="1" w:styleId="Tablelegend">
    <w:name w:val="Table_legend"/>
    <w:basedOn w:val="Tabletext"/>
    <w:rsid w:val="00EE0335"/>
    <w:pPr>
      <w:spacing w:before="120"/>
    </w:pPr>
  </w:style>
  <w:style w:type="paragraph" w:customStyle="1" w:styleId="Tableref">
    <w:name w:val="Table_ref"/>
    <w:basedOn w:val="Normal"/>
    <w:next w:val="Tabletitle"/>
    <w:rsid w:val="00EE0335"/>
    <w:pPr>
      <w:keepNext/>
      <w:spacing w:before="567"/>
      <w:jc w:val="center"/>
    </w:pPr>
  </w:style>
  <w:style w:type="paragraph" w:customStyle="1" w:styleId="Artheading">
    <w:name w:val="Art_heading"/>
    <w:basedOn w:val="Normal"/>
    <w:next w:val="Normalaftertitle"/>
    <w:rsid w:val="00EE033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EE033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EE033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EE0335"/>
  </w:style>
  <w:style w:type="paragraph" w:customStyle="1" w:styleId="Chaptitle">
    <w:name w:val="Chap_title"/>
    <w:basedOn w:val="Arttitle"/>
    <w:next w:val="Normal"/>
    <w:rsid w:val="00EE0335"/>
  </w:style>
  <w:style w:type="paragraph" w:customStyle="1" w:styleId="Table">
    <w:name w:val="Table_#"/>
    <w:basedOn w:val="Normal"/>
    <w:next w:val="Normal"/>
    <w:rsid w:val="00EE033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D4109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EastAsia" w:hAnsiTheme="minorHAnsi" w:cstheme="minorBidi"/>
      <w:sz w:val="22"/>
      <w:szCs w:val="22"/>
      <w:lang w:val="en-US" w:eastAsia="zh-CN"/>
    </w:rPr>
  </w:style>
  <w:style w:type="character" w:customStyle="1" w:styleId="Heading1Char">
    <w:name w:val="Heading 1 Char"/>
    <w:basedOn w:val="DefaultParagraphFont"/>
    <w:link w:val="Heading1"/>
    <w:rsid w:val="00D41097"/>
    <w:rPr>
      <w:rFonts w:ascii="Calibri" w:hAnsi="Calibri"/>
      <w:b/>
      <w:sz w:val="28"/>
      <w:lang w:val="fr-FR" w:eastAsia="en-US"/>
    </w:rPr>
  </w:style>
  <w:style w:type="paragraph" w:styleId="BalloonText">
    <w:name w:val="Balloon Text"/>
    <w:basedOn w:val="Normal"/>
    <w:link w:val="BalloonTextChar"/>
    <w:semiHidden/>
    <w:unhideWhenUsed/>
    <w:rsid w:val="009F58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F5868"/>
    <w:rPr>
      <w:rFonts w:ascii="Segoe UI" w:hAnsi="Segoe UI" w:cs="Segoe UI"/>
      <w:sz w:val="18"/>
      <w:szCs w:val="18"/>
      <w:lang w:val="en-GB" w:eastAsia="en-US"/>
    </w:rPr>
  </w:style>
  <w:style w:type="paragraph" w:customStyle="1" w:styleId="firstfooter0">
    <w:name w:val="firstfooter"/>
    <w:basedOn w:val="Normal"/>
    <w:rsid w:val="00EE033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2234">
      <w:bodyDiv w:val="1"/>
      <w:marLeft w:val="0"/>
      <w:marRight w:val="0"/>
      <w:marTop w:val="0"/>
      <w:marBottom w:val="0"/>
      <w:divBdr>
        <w:top w:val="none" w:sz="0" w:space="0" w:color="auto"/>
        <w:left w:val="none" w:sz="0" w:space="0" w:color="auto"/>
        <w:bottom w:val="none" w:sz="0" w:space="0" w:color="auto"/>
        <w:right w:val="none" w:sz="0" w:space="0" w:color="auto"/>
      </w:divBdr>
    </w:div>
    <w:div w:id="397436364">
      <w:bodyDiv w:val="1"/>
      <w:marLeft w:val="0"/>
      <w:marRight w:val="0"/>
      <w:marTop w:val="0"/>
      <w:marBottom w:val="0"/>
      <w:divBdr>
        <w:top w:val="none" w:sz="0" w:space="0" w:color="auto"/>
        <w:left w:val="none" w:sz="0" w:space="0" w:color="auto"/>
        <w:bottom w:val="none" w:sz="0" w:space="0" w:color="auto"/>
        <w:right w:val="none" w:sz="0" w:space="0" w:color="auto"/>
      </w:divBdr>
    </w:div>
    <w:div w:id="419831362">
      <w:bodyDiv w:val="1"/>
      <w:marLeft w:val="0"/>
      <w:marRight w:val="0"/>
      <w:marTop w:val="0"/>
      <w:marBottom w:val="0"/>
      <w:divBdr>
        <w:top w:val="none" w:sz="0" w:space="0" w:color="auto"/>
        <w:left w:val="none" w:sz="0" w:space="0" w:color="auto"/>
        <w:bottom w:val="none" w:sz="0" w:space="0" w:color="auto"/>
        <w:right w:val="none" w:sz="0" w:space="0" w:color="auto"/>
      </w:divBdr>
    </w:div>
    <w:div w:id="451097079">
      <w:bodyDiv w:val="1"/>
      <w:marLeft w:val="0"/>
      <w:marRight w:val="0"/>
      <w:marTop w:val="0"/>
      <w:marBottom w:val="0"/>
      <w:divBdr>
        <w:top w:val="none" w:sz="0" w:space="0" w:color="auto"/>
        <w:left w:val="none" w:sz="0" w:space="0" w:color="auto"/>
        <w:bottom w:val="none" w:sz="0" w:space="0" w:color="auto"/>
        <w:right w:val="none" w:sz="0" w:space="0" w:color="auto"/>
      </w:divBdr>
    </w:div>
    <w:div w:id="568542181">
      <w:bodyDiv w:val="1"/>
      <w:marLeft w:val="0"/>
      <w:marRight w:val="0"/>
      <w:marTop w:val="0"/>
      <w:marBottom w:val="0"/>
      <w:divBdr>
        <w:top w:val="none" w:sz="0" w:space="0" w:color="auto"/>
        <w:left w:val="none" w:sz="0" w:space="0" w:color="auto"/>
        <w:bottom w:val="none" w:sz="0" w:space="0" w:color="auto"/>
        <w:right w:val="none" w:sz="0" w:space="0" w:color="auto"/>
      </w:divBdr>
    </w:div>
    <w:div w:id="587425132">
      <w:bodyDiv w:val="1"/>
      <w:marLeft w:val="0"/>
      <w:marRight w:val="0"/>
      <w:marTop w:val="0"/>
      <w:marBottom w:val="0"/>
      <w:divBdr>
        <w:top w:val="none" w:sz="0" w:space="0" w:color="auto"/>
        <w:left w:val="none" w:sz="0" w:space="0" w:color="auto"/>
        <w:bottom w:val="none" w:sz="0" w:space="0" w:color="auto"/>
        <w:right w:val="none" w:sz="0" w:space="0" w:color="auto"/>
      </w:divBdr>
    </w:div>
    <w:div w:id="1055007860">
      <w:bodyDiv w:val="1"/>
      <w:marLeft w:val="0"/>
      <w:marRight w:val="0"/>
      <w:marTop w:val="0"/>
      <w:marBottom w:val="0"/>
      <w:divBdr>
        <w:top w:val="none" w:sz="0" w:space="0" w:color="auto"/>
        <w:left w:val="none" w:sz="0" w:space="0" w:color="auto"/>
        <w:bottom w:val="none" w:sz="0" w:space="0" w:color="auto"/>
        <w:right w:val="none" w:sz="0" w:space="0" w:color="auto"/>
      </w:divBdr>
    </w:div>
    <w:div w:id="1169102845">
      <w:bodyDiv w:val="1"/>
      <w:marLeft w:val="0"/>
      <w:marRight w:val="0"/>
      <w:marTop w:val="0"/>
      <w:marBottom w:val="0"/>
      <w:divBdr>
        <w:top w:val="none" w:sz="0" w:space="0" w:color="auto"/>
        <w:left w:val="none" w:sz="0" w:space="0" w:color="auto"/>
        <w:bottom w:val="none" w:sz="0" w:space="0" w:color="auto"/>
        <w:right w:val="none" w:sz="0" w:space="0" w:color="auto"/>
      </w:divBdr>
    </w:div>
    <w:div w:id="1215041169">
      <w:bodyDiv w:val="1"/>
      <w:marLeft w:val="0"/>
      <w:marRight w:val="0"/>
      <w:marTop w:val="0"/>
      <w:marBottom w:val="0"/>
      <w:divBdr>
        <w:top w:val="none" w:sz="0" w:space="0" w:color="auto"/>
        <w:left w:val="none" w:sz="0" w:space="0" w:color="auto"/>
        <w:bottom w:val="none" w:sz="0" w:space="0" w:color="auto"/>
        <w:right w:val="none" w:sz="0" w:space="0" w:color="auto"/>
      </w:divBdr>
    </w:div>
    <w:div w:id="1407995936">
      <w:bodyDiv w:val="1"/>
      <w:marLeft w:val="0"/>
      <w:marRight w:val="0"/>
      <w:marTop w:val="0"/>
      <w:marBottom w:val="0"/>
      <w:divBdr>
        <w:top w:val="none" w:sz="0" w:space="0" w:color="auto"/>
        <w:left w:val="none" w:sz="0" w:space="0" w:color="auto"/>
        <w:bottom w:val="none" w:sz="0" w:space="0" w:color="auto"/>
        <w:right w:val="none" w:sz="0" w:space="0" w:color="auto"/>
      </w:divBdr>
    </w:div>
    <w:div w:id="1412119520">
      <w:bodyDiv w:val="1"/>
      <w:marLeft w:val="0"/>
      <w:marRight w:val="0"/>
      <w:marTop w:val="0"/>
      <w:marBottom w:val="0"/>
      <w:divBdr>
        <w:top w:val="none" w:sz="0" w:space="0" w:color="auto"/>
        <w:left w:val="none" w:sz="0" w:space="0" w:color="auto"/>
        <w:bottom w:val="none" w:sz="0" w:space="0" w:color="auto"/>
        <w:right w:val="none" w:sz="0" w:space="0" w:color="auto"/>
      </w:divBdr>
    </w:div>
    <w:div w:id="1477650441">
      <w:bodyDiv w:val="1"/>
      <w:marLeft w:val="0"/>
      <w:marRight w:val="0"/>
      <w:marTop w:val="0"/>
      <w:marBottom w:val="0"/>
      <w:divBdr>
        <w:top w:val="none" w:sz="0" w:space="0" w:color="auto"/>
        <w:left w:val="none" w:sz="0" w:space="0" w:color="auto"/>
        <w:bottom w:val="none" w:sz="0" w:space="0" w:color="auto"/>
        <w:right w:val="none" w:sz="0" w:space="0" w:color="auto"/>
      </w:divBdr>
    </w:div>
    <w:div w:id="1602688616">
      <w:bodyDiv w:val="1"/>
      <w:marLeft w:val="0"/>
      <w:marRight w:val="0"/>
      <w:marTop w:val="0"/>
      <w:marBottom w:val="0"/>
      <w:divBdr>
        <w:top w:val="none" w:sz="0" w:space="0" w:color="auto"/>
        <w:left w:val="none" w:sz="0" w:space="0" w:color="auto"/>
        <w:bottom w:val="none" w:sz="0" w:space="0" w:color="auto"/>
        <w:right w:val="none" w:sz="0" w:space="0" w:color="auto"/>
      </w:divBdr>
    </w:div>
    <w:div w:id="1761945249">
      <w:bodyDiv w:val="1"/>
      <w:marLeft w:val="0"/>
      <w:marRight w:val="0"/>
      <w:marTop w:val="0"/>
      <w:marBottom w:val="0"/>
      <w:divBdr>
        <w:top w:val="none" w:sz="0" w:space="0" w:color="auto"/>
        <w:left w:val="none" w:sz="0" w:space="0" w:color="auto"/>
        <w:bottom w:val="none" w:sz="0" w:space="0" w:color="auto"/>
        <w:right w:val="none" w:sz="0" w:space="0" w:color="auto"/>
      </w:divBdr>
    </w:div>
    <w:div w:id="1978413495">
      <w:bodyDiv w:val="1"/>
      <w:marLeft w:val="0"/>
      <w:marRight w:val="0"/>
      <w:marTop w:val="0"/>
      <w:marBottom w:val="0"/>
      <w:divBdr>
        <w:top w:val="none" w:sz="0" w:space="0" w:color="auto"/>
        <w:left w:val="none" w:sz="0" w:space="0" w:color="auto"/>
        <w:bottom w:val="none" w:sz="0" w:space="0" w:color="auto"/>
        <w:right w:val="none" w:sz="0" w:space="0" w:color="auto"/>
      </w:divBdr>
    </w:div>
    <w:div w:id="20545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074/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jiu.org/en/reports-notes/JIU%20Products/JIU_REP_2016_1_Englis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tu.int/dms_pub/itu-s/opb/conf/S-CONF-ACTF-2014-MSW-F.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eb.itu.int/dms_pub/itu-s/opb/conf/S-CONF-ACTF-2014-MSW-F.docx" TargetMode="External"/><Relationship Id="rId4" Type="http://schemas.openxmlformats.org/officeDocument/2006/relationships/settings" Target="settings.xml"/><Relationship Id="rId9" Type="http://schemas.openxmlformats.org/officeDocument/2006/relationships/hyperlink" Target="https://www.itu.int/en/council/planning/Documents/Strategic%20Plan%20for%20the%20Union%202016-2019__English.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F1EBE-0425-47F3-9478-25C1C25A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58</TotalTime>
  <Pages>3</Pages>
  <Words>845</Words>
  <Characters>5058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Draft ITU risk appetite statement</vt:lpstr>
    </vt:vector>
  </TitlesOfParts>
  <Manager>General Secretariat - Pool</Manager>
  <Company>International Telecommunication Union (ITU)</Company>
  <LinksUpToDate>false</LinksUpToDate>
  <CharactersWithSpaces>5892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ITU risk appetite statement</dc:title>
  <dc:subject>Council 2017</dc:subject>
  <dc:creator>Brouard, Ricarda</dc:creator>
  <cp:keywords>C2017, C17</cp:keywords>
  <dc:description/>
  <cp:lastModifiedBy>Jones, Jacqueline</cp:lastModifiedBy>
  <cp:revision>19</cp:revision>
  <cp:lastPrinted>2000-07-18T13:30:00Z</cp:lastPrinted>
  <dcterms:created xsi:type="dcterms:W3CDTF">2017-04-24T09:27:00Z</dcterms:created>
  <dcterms:modified xsi:type="dcterms:W3CDTF">2017-05-03T17:09:00Z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