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0168E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0168E5">
              <w:rPr>
                <w:b/>
              </w:rPr>
              <w:t>ADM</w:t>
            </w:r>
            <w:r w:rsidR="00B40A53">
              <w:rPr>
                <w:b/>
              </w:rPr>
              <w:t xml:space="preserve"> </w:t>
            </w:r>
            <w:r w:rsidR="000168E5">
              <w:rPr>
                <w:b/>
              </w:rPr>
              <w:t>9</w:t>
            </w:r>
          </w:p>
        </w:tc>
        <w:tc>
          <w:tcPr>
            <w:tcW w:w="3120" w:type="dxa"/>
          </w:tcPr>
          <w:p w:rsidR="00700D1F" w:rsidRPr="00700D1F" w:rsidRDefault="00700D1F" w:rsidP="000168E5">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0168E5">
              <w:rPr>
                <w:b/>
                <w:bCs/>
                <w:szCs w:val="24"/>
                <w:lang w:eastAsia="zh-CN"/>
              </w:rPr>
              <w:t>73</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168E5">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0168E5">
              <w:rPr>
                <w:rFonts w:asciiTheme="minorHAnsi" w:hAnsiTheme="minorHAnsi" w:cstheme="minorHAnsi"/>
                <w:b/>
                <w:bCs/>
                <w:szCs w:val="24"/>
                <w:lang w:eastAsia="zh-CN"/>
              </w:rPr>
              <w:t>3</w:t>
            </w:r>
            <w:r w:rsidRPr="00FC5386">
              <w:rPr>
                <w:rFonts w:hint="eastAsia"/>
                <w:b/>
                <w:bCs/>
                <w:szCs w:val="24"/>
                <w:lang w:eastAsia="zh-CN"/>
              </w:rPr>
              <w:t>月</w:t>
            </w:r>
            <w:r w:rsidR="000168E5">
              <w:rPr>
                <w:rFonts w:asciiTheme="minorHAnsi" w:hAnsiTheme="minorHAnsi" w:cstheme="minorHAnsi"/>
                <w:b/>
                <w:bCs/>
                <w:szCs w:val="24"/>
                <w:lang w:eastAsia="zh-CN"/>
              </w:rPr>
              <w:t>31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0168E5" w:rsidP="00001B77">
            <w:pPr>
              <w:pStyle w:val="Title1"/>
              <w:rPr>
                <w:bCs/>
                <w:lang w:eastAsia="zh-CN"/>
              </w:rPr>
            </w:pPr>
            <w:r w:rsidRPr="000168E5">
              <w:rPr>
                <w:bCs/>
                <w:lang w:eastAsia="zh-CN"/>
              </w:rPr>
              <w:t>国际电</w:t>
            </w:r>
            <w:proofErr w:type="gramStart"/>
            <w:r w:rsidRPr="000168E5">
              <w:rPr>
                <w:bCs/>
                <w:lang w:eastAsia="zh-CN"/>
              </w:rPr>
              <w:t>联风险</w:t>
            </w:r>
            <w:proofErr w:type="gramEnd"/>
            <w:r w:rsidRPr="000168E5">
              <w:rPr>
                <w:rFonts w:hint="eastAsia"/>
                <w:bCs/>
                <w:lang w:eastAsia="zh-CN"/>
              </w:rPr>
              <w:t>偏好陈述书草案</w:t>
            </w:r>
          </w:p>
        </w:tc>
      </w:tr>
    </w:tbl>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BB2705"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FA093E" w:rsidRDefault="00B40A53" w:rsidP="003C2E37">
            <w:pPr>
              <w:pStyle w:val="Headingb"/>
              <w:rPr>
                <w:lang w:eastAsia="zh-CN"/>
              </w:rPr>
            </w:pPr>
            <w:r>
              <w:rPr>
                <w:rFonts w:hint="eastAsia"/>
                <w:lang w:val="fr-FR" w:eastAsia="zh-CN"/>
              </w:rPr>
              <w:t>概</w:t>
            </w:r>
            <w:r>
              <w:rPr>
                <w:rFonts w:hint="eastAsia"/>
                <w:lang w:eastAsia="zh-CN"/>
              </w:rPr>
              <w:t>要</w:t>
            </w:r>
          </w:p>
          <w:p w:rsidR="000168E5" w:rsidRDefault="00FA093E" w:rsidP="00FA2D70">
            <w:pPr>
              <w:ind w:firstLineChars="200" w:firstLine="480"/>
              <w:jc w:val="both"/>
              <w:rPr>
                <w:lang w:eastAsia="zh-CN"/>
              </w:rPr>
            </w:pPr>
            <w:bookmarkStart w:id="2" w:name="lt_pId014"/>
            <w:r>
              <w:rPr>
                <w:rFonts w:hint="eastAsia"/>
                <w:lang w:eastAsia="zh-CN"/>
              </w:rPr>
              <w:t>依据</w:t>
            </w:r>
            <w:r>
              <w:rPr>
                <w:lang w:eastAsia="zh-CN"/>
              </w:rPr>
              <w:t>全权代表大会第</w:t>
            </w:r>
            <w:r w:rsidR="000168E5">
              <w:rPr>
                <w:lang w:eastAsia="zh-CN"/>
              </w:rPr>
              <w:t>151</w:t>
            </w:r>
            <w:r>
              <w:rPr>
                <w:rFonts w:hint="eastAsia"/>
                <w:lang w:eastAsia="zh-CN"/>
              </w:rPr>
              <w:t>、</w:t>
            </w:r>
            <w:r w:rsidR="000168E5">
              <w:rPr>
                <w:lang w:eastAsia="zh-CN"/>
              </w:rPr>
              <w:t>71</w:t>
            </w:r>
            <w:r>
              <w:rPr>
                <w:rFonts w:hint="eastAsia"/>
                <w:lang w:eastAsia="zh-CN"/>
              </w:rPr>
              <w:t>和</w:t>
            </w:r>
            <w:r w:rsidR="000168E5">
              <w:rPr>
                <w:lang w:eastAsia="zh-CN"/>
              </w:rPr>
              <w:t>72</w:t>
            </w:r>
            <w:r>
              <w:rPr>
                <w:rFonts w:hint="eastAsia"/>
                <w:lang w:eastAsia="zh-CN"/>
              </w:rPr>
              <w:t>号</w:t>
            </w:r>
            <w:r>
              <w:rPr>
                <w:lang w:eastAsia="zh-CN"/>
              </w:rPr>
              <w:t>决议以及独立管理委员会</w:t>
            </w:r>
            <w:r w:rsidR="00FA2D70">
              <w:rPr>
                <w:lang w:eastAsia="zh-CN"/>
              </w:rPr>
              <w:t>（</w:t>
            </w:r>
            <w:r>
              <w:rPr>
                <w:lang w:eastAsia="zh-CN"/>
              </w:rPr>
              <w:t>IMAC</w:t>
            </w:r>
            <w:r w:rsidR="00FA2D70">
              <w:rPr>
                <w:lang w:eastAsia="zh-CN"/>
              </w:rPr>
              <w:t>）</w:t>
            </w:r>
            <w:r>
              <w:rPr>
                <w:rFonts w:hint="eastAsia"/>
                <w:lang w:eastAsia="zh-CN"/>
              </w:rPr>
              <w:t>和</w:t>
            </w:r>
            <w:r>
              <w:rPr>
                <w:lang w:eastAsia="zh-CN"/>
              </w:rPr>
              <w:t>联合国联检组</w:t>
            </w:r>
            <w:r w:rsidR="00FA2D70">
              <w:rPr>
                <w:rFonts w:hint="eastAsia"/>
                <w:lang w:eastAsia="zh-CN"/>
              </w:rPr>
              <w:t>（</w:t>
            </w:r>
            <w:r>
              <w:rPr>
                <w:lang w:eastAsia="zh-CN"/>
              </w:rPr>
              <w:t>JIU</w:t>
            </w:r>
            <w:r w:rsidR="00FA2D70">
              <w:rPr>
                <w:rFonts w:hint="eastAsia"/>
                <w:lang w:eastAsia="zh-CN"/>
              </w:rPr>
              <w:t>）</w:t>
            </w:r>
            <w:r>
              <w:rPr>
                <w:rFonts w:hint="eastAsia"/>
                <w:lang w:eastAsia="zh-CN"/>
              </w:rPr>
              <w:t>的</w:t>
            </w:r>
            <w:r>
              <w:rPr>
                <w:lang w:eastAsia="zh-CN"/>
              </w:rPr>
              <w:t>建议，</w:t>
            </w:r>
            <w:r>
              <w:rPr>
                <w:rFonts w:hint="eastAsia"/>
                <w:lang w:eastAsia="zh-CN"/>
              </w:rPr>
              <w:t>国际电</w:t>
            </w:r>
            <w:proofErr w:type="gramStart"/>
            <w:r>
              <w:rPr>
                <w:rFonts w:hint="eastAsia"/>
                <w:lang w:eastAsia="zh-CN"/>
              </w:rPr>
              <w:t>联</w:t>
            </w:r>
            <w:r>
              <w:rPr>
                <w:lang w:eastAsia="zh-CN"/>
              </w:rPr>
              <w:t>正在</w:t>
            </w:r>
            <w:proofErr w:type="gramEnd"/>
            <w:r>
              <w:rPr>
                <w:lang w:eastAsia="zh-CN"/>
              </w:rPr>
              <w:t>实施一个系统化风险管理框架，作为</w:t>
            </w:r>
            <w:r w:rsidR="00FA2D70">
              <w:rPr>
                <w:rFonts w:hint="eastAsia"/>
                <w:lang w:eastAsia="zh-CN"/>
              </w:rPr>
              <w:t>为</w:t>
            </w:r>
            <w:r w:rsidR="00FA2D70">
              <w:rPr>
                <w:lang w:eastAsia="zh-CN"/>
              </w:rPr>
              <w:t>实现</w:t>
            </w:r>
            <w:r>
              <w:rPr>
                <w:lang w:eastAsia="zh-CN"/>
              </w:rPr>
              <w:t>更高效率、透明度和问责制而不断</w:t>
            </w:r>
            <w:r>
              <w:rPr>
                <w:rFonts w:hint="eastAsia"/>
                <w:lang w:eastAsia="zh-CN"/>
              </w:rPr>
              <w:t>改进</w:t>
            </w:r>
            <w:r>
              <w:rPr>
                <w:lang w:eastAsia="zh-CN"/>
              </w:rPr>
              <w:t>其管理做法的</w:t>
            </w:r>
            <w:r w:rsidR="00FA2D70">
              <w:rPr>
                <w:rFonts w:hint="eastAsia"/>
                <w:lang w:eastAsia="zh-CN"/>
              </w:rPr>
              <w:t>进</w:t>
            </w:r>
            <w:r>
              <w:rPr>
                <w:rFonts w:hint="eastAsia"/>
                <w:lang w:eastAsia="zh-CN"/>
              </w:rPr>
              <w:t>程</w:t>
            </w:r>
            <w:r>
              <w:rPr>
                <w:lang w:eastAsia="zh-CN"/>
              </w:rPr>
              <w:t>。</w:t>
            </w:r>
            <w:bookmarkEnd w:id="2"/>
          </w:p>
          <w:p w:rsidR="00B40A53" w:rsidRPr="000168E5" w:rsidRDefault="00FA093E" w:rsidP="00FA2D70">
            <w:pPr>
              <w:ind w:firstLineChars="200" w:firstLine="480"/>
              <w:rPr>
                <w:szCs w:val="22"/>
                <w:lang w:eastAsia="zh-CN"/>
              </w:rPr>
            </w:pPr>
            <w:bookmarkStart w:id="3" w:name="lt_pId015"/>
            <w:r>
              <w:rPr>
                <w:rFonts w:hint="eastAsia"/>
                <w:lang w:eastAsia="zh-CN"/>
              </w:rPr>
              <w:t>文件</w:t>
            </w:r>
            <w:r>
              <w:rPr>
                <w:lang w:eastAsia="zh-CN"/>
              </w:rPr>
              <w:t>介绍了</w:t>
            </w:r>
            <w:r w:rsidR="000168E5" w:rsidRPr="000168E5">
              <w:rPr>
                <w:bCs/>
                <w:lang w:eastAsia="zh-CN"/>
              </w:rPr>
              <w:t>国际电</w:t>
            </w:r>
            <w:proofErr w:type="gramStart"/>
            <w:r w:rsidR="000168E5" w:rsidRPr="000168E5">
              <w:rPr>
                <w:bCs/>
                <w:lang w:eastAsia="zh-CN"/>
              </w:rPr>
              <w:t>联风险</w:t>
            </w:r>
            <w:proofErr w:type="gramEnd"/>
            <w:r w:rsidR="000168E5" w:rsidRPr="000168E5">
              <w:rPr>
                <w:rFonts w:hint="eastAsia"/>
                <w:bCs/>
                <w:lang w:eastAsia="zh-CN"/>
              </w:rPr>
              <w:t>偏好</w:t>
            </w:r>
            <w:r w:rsidR="00FA2D70">
              <w:rPr>
                <w:rFonts w:hint="eastAsia"/>
                <w:bCs/>
                <w:lang w:eastAsia="zh-CN"/>
              </w:rPr>
              <w:t>（</w:t>
            </w:r>
            <w:r w:rsidR="00FA2D70">
              <w:rPr>
                <w:lang w:eastAsia="zh-CN"/>
              </w:rPr>
              <w:t>appetite</w:t>
            </w:r>
            <w:r w:rsidR="00FA2D70">
              <w:rPr>
                <w:rFonts w:hint="eastAsia"/>
                <w:lang w:eastAsia="zh-CN"/>
              </w:rPr>
              <w:t>）</w:t>
            </w:r>
            <w:r w:rsidR="000168E5" w:rsidRPr="000168E5">
              <w:rPr>
                <w:rFonts w:hint="eastAsia"/>
                <w:bCs/>
                <w:lang w:eastAsia="zh-CN"/>
              </w:rPr>
              <w:t>陈述书草案</w:t>
            </w:r>
            <w:r w:rsidR="00FA2D70">
              <w:rPr>
                <w:rFonts w:hint="eastAsia"/>
                <w:bCs/>
                <w:lang w:eastAsia="zh-CN"/>
              </w:rPr>
              <w:t>。该</w:t>
            </w:r>
            <w:r w:rsidR="00FA2D70">
              <w:rPr>
                <w:bCs/>
                <w:lang w:eastAsia="zh-CN"/>
              </w:rPr>
              <w:t>草案</w:t>
            </w:r>
            <w:r>
              <w:rPr>
                <w:rFonts w:hint="eastAsia"/>
                <w:bCs/>
                <w:lang w:eastAsia="zh-CN"/>
              </w:rPr>
              <w:t>是</w:t>
            </w:r>
            <w:r>
              <w:rPr>
                <w:bCs/>
                <w:lang w:eastAsia="zh-CN"/>
              </w:rPr>
              <w:t>对</w:t>
            </w:r>
            <w:r w:rsidRPr="00F21077">
              <w:rPr>
                <w:lang w:eastAsia="zh-CN"/>
              </w:rPr>
              <w:t>C17/74</w:t>
            </w:r>
            <w:r>
              <w:rPr>
                <w:rFonts w:hint="eastAsia"/>
                <w:lang w:eastAsia="zh-CN"/>
              </w:rPr>
              <w:t>号</w:t>
            </w:r>
            <w:r>
              <w:rPr>
                <w:lang w:eastAsia="zh-CN"/>
              </w:rPr>
              <w:t>文件中</w:t>
            </w:r>
            <w:r w:rsidR="000168E5" w:rsidRPr="000168E5">
              <w:rPr>
                <w:rFonts w:hint="eastAsia"/>
                <w:bCs/>
                <w:lang w:eastAsia="zh-CN"/>
              </w:rPr>
              <w:t>国际</w:t>
            </w:r>
            <w:r w:rsidR="000168E5" w:rsidRPr="000168E5">
              <w:rPr>
                <w:bCs/>
                <w:lang w:eastAsia="zh-CN"/>
              </w:rPr>
              <w:t>电</w:t>
            </w:r>
            <w:proofErr w:type="gramStart"/>
            <w:r w:rsidR="000168E5" w:rsidRPr="000168E5">
              <w:rPr>
                <w:bCs/>
                <w:lang w:eastAsia="zh-CN"/>
              </w:rPr>
              <w:t>联风险</w:t>
            </w:r>
            <w:proofErr w:type="gramEnd"/>
            <w:r w:rsidR="000168E5" w:rsidRPr="000168E5">
              <w:rPr>
                <w:bCs/>
                <w:lang w:eastAsia="zh-CN"/>
              </w:rPr>
              <w:t>管理政策草案</w:t>
            </w:r>
            <w:r>
              <w:rPr>
                <w:rFonts w:hint="eastAsia"/>
                <w:bCs/>
                <w:lang w:eastAsia="zh-CN"/>
              </w:rPr>
              <w:t>的</w:t>
            </w:r>
            <w:r>
              <w:rPr>
                <w:bCs/>
                <w:lang w:eastAsia="zh-CN"/>
              </w:rPr>
              <w:t>补充。</w:t>
            </w:r>
            <w:bookmarkEnd w:id="3"/>
          </w:p>
          <w:p w:rsidR="00B40A53" w:rsidRPr="003C2E37" w:rsidRDefault="00B40A53" w:rsidP="003C2E37">
            <w:pPr>
              <w:pStyle w:val="Headingb"/>
              <w:rPr>
                <w:lang w:eastAsia="zh-CN"/>
              </w:rPr>
            </w:pPr>
            <w:r>
              <w:rPr>
                <w:rFonts w:hint="eastAsia"/>
                <w:lang w:eastAsia="zh-CN"/>
              </w:rPr>
              <w:t>需采取的行动</w:t>
            </w:r>
          </w:p>
          <w:p w:rsidR="00B40A53" w:rsidRDefault="000168E5" w:rsidP="00B40A53">
            <w:pPr>
              <w:pStyle w:val="BodyTextIndent3"/>
              <w:spacing w:before="120"/>
              <w:ind w:firstLineChars="200" w:firstLine="480"/>
              <w:textAlignment w:val="baseline"/>
              <w:rPr>
                <w:sz w:val="24"/>
                <w:szCs w:val="22"/>
              </w:rPr>
            </w:pPr>
            <w:r w:rsidRPr="000168E5">
              <w:rPr>
                <w:rFonts w:hint="eastAsia"/>
                <w:bCs/>
                <w:sz w:val="24"/>
                <w:lang w:val="en-GB"/>
              </w:rPr>
              <w:t>请</w:t>
            </w:r>
            <w:r w:rsidRPr="000168E5">
              <w:rPr>
                <w:bCs/>
                <w:sz w:val="24"/>
                <w:lang w:val="en-GB"/>
              </w:rPr>
              <w:t>理事会</w:t>
            </w:r>
            <w:r w:rsidRPr="000168E5">
              <w:rPr>
                <w:rFonts w:hint="eastAsia"/>
                <w:b/>
                <w:sz w:val="24"/>
                <w:lang w:val="en-GB"/>
              </w:rPr>
              <w:t>审议</w:t>
            </w:r>
            <w:r w:rsidRPr="000168E5">
              <w:rPr>
                <w:bCs/>
                <w:sz w:val="24"/>
                <w:lang w:val="en-GB"/>
              </w:rPr>
              <w:t>并</w:t>
            </w:r>
            <w:r w:rsidRPr="000168E5">
              <w:rPr>
                <w:b/>
                <w:sz w:val="24"/>
                <w:lang w:val="en-GB"/>
              </w:rPr>
              <w:t>批准</w:t>
            </w:r>
            <w:r w:rsidRPr="000168E5">
              <w:rPr>
                <w:rFonts w:hint="eastAsia"/>
                <w:bCs/>
                <w:sz w:val="24"/>
                <w:lang w:val="en-GB"/>
              </w:rPr>
              <w:t>风险</w:t>
            </w:r>
            <w:r w:rsidRPr="000168E5">
              <w:rPr>
                <w:bCs/>
                <w:sz w:val="24"/>
                <w:lang w:val="en-GB"/>
              </w:rPr>
              <w:t>管理政策草案和风险</w:t>
            </w:r>
            <w:r w:rsidRPr="000168E5">
              <w:rPr>
                <w:rFonts w:hint="eastAsia"/>
                <w:bCs/>
                <w:sz w:val="24"/>
                <w:lang w:val="en-GB"/>
              </w:rPr>
              <w:t>偏好陈述书</w:t>
            </w:r>
            <w:r w:rsidRPr="000168E5">
              <w:rPr>
                <w:bCs/>
                <w:sz w:val="24"/>
                <w:lang w:val="en-GB"/>
              </w:rPr>
              <w:t>草案。</w:t>
            </w:r>
          </w:p>
          <w:p w:rsidR="00B40A53" w:rsidRDefault="00B40A53">
            <w:pPr>
              <w:jc w:val="center"/>
              <w:rPr>
                <w:sz w:val="28"/>
                <w:szCs w:val="22"/>
                <w:lang w:eastAsia="zh-CN"/>
              </w:rPr>
            </w:pPr>
            <w:r>
              <w:rPr>
                <w:sz w:val="28"/>
                <w:szCs w:val="22"/>
                <w:lang w:eastAsia="zh-CN"/>
              </w:rPr>
              <w:t>______________</w:t>
            </w:r>
          </w:p>
          <w:p w:rsidR="009164A9" w:rsidRPr="00FC5386"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Pr="00FC5386" w:rsidRDefault="009164A9" w:rsidP="003C2E37">
            <w:pPr>
              <w:pStyle w:val="Headingb"/>
              <w:rPr>
                <w:lang w:val="fr-FR" w:eastAsia="zh-CN"/>
              </w:rPr>
            </w:pPr>
            <w:r w:rsidRPr="00FC5386">
              <w:rPr>
                <w:rFonts w:hint="eastAsia"/>
                <w:lang w:eastAsia="zh-CN"/>
              </w:rPr>
              <w:t>参考文件</w:t>
            </w:r>
          </w:p>
          <w:p w:rsidR="00B40A53" w:rsidRPr="00BB2705" w:rsidRDefault="00BB2705" w:rsidP="00867A20">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rFonts w:asciiTheme="minorHAnsi" w:hAnsiTheme="minorHAnsi"/>
                <w:caps/>
                <w:sz w:val="24"/>
                <w:szCs w:val="22"/>
                <w:lang w:val="fr-FR" w:eastAsia="zh-CN"/>
              </w:rPr>
            </w:pPr>
            <w:r w:rsidRPr="00BB2705">
              <w:rPr>
                <w:rFonts w:asciiTheme="minorHAnsi" w:eastAsia="STKaiti" w:hAnsiTheme="minorHAnsi"/>
                <w:bCs/>
                <w:iCs/>
                <w:szCs w:val="24"/>
                <w:lang w:eastAsia="zh-CN"/>
              </w:rPr>
              <w:t>全权代表</w:t>
            </w:r>
            <w:proofErr w:type="gramStart"/>
            <w:r w:rsidRPr="00BB2705">
              <w:rPr>
                <w:rFonts w:asciiTheme="minorHAnsi" w:eastAsia="STKaiti" w:hAnsiTheme="minorHAnsi"/>
                <w:bCs/>
                <w:iCs/>
                <w:szCs w:val="24"/>
                <w:lang w:eastAsia="zh-CN"/>
              </w:rPr>
              <w:t>大会第</w:t>
            </w:r>
            <w:proofErr w:type="gramEnd"/>
            <w:r w:rsidR="00637FB0">
              <w:fldChar w:fldCharType="begin"/>
            </w:r>
            <w:r w:rsidR="00637FB0">
              <w:rPr>
                <w:lang w:eastAsia="zh-CN"/>
              </w:rPr>
              <w:instrText xml:space="preserve"> HYPERLINK "https://www.itu.int/en/council/planning/Documents/Strategic%20Plan%20for%20the%20Union%202016-2019__English.pdf" </w:instrText>
            </w:r>
            <w:r w:rsidR="00637FB0">
              <w:fldChar w:fldCharType="separate"/>
            </w:r>
            <w:r w:rsidRPr="00BB2705">
              <w:rPr>
                <w:rStyle w:val="Hyperlink"/>
                <w:rFonts w:asciiTheme="minorHAnsi" w:eastAsia="STKaiti" w:hAnsiTheme="minorHAnsi"/>
                <w:bCs/>
                <w:iCs/>
                <w:szCs w:val="24"/>
                <w:lang w:val="fr-FR" w:eastAsia="zh-CN"/>
              </w:rPr>
              <w:t>71</w:t>
            </w:r>
            <w:r w:rsidR="00637FB0">
              <w:rPr>
                <w:rStyle w:val="Hyperlink"/>
                <w:rFonts w:asciiTheme="minorHAnsi" w:eastAsia="STKaiti" w:hAnsiTheme="minorHAnsi"/>
                <w:bCs/>
                <w:iCs/>
                <w:szCs w:val="24"/>
                <w:lang w:val="fr-FR" w:eastAsia="zh-CN"/>
              </w:rPr>
              <w:fldChar w:fldCharType="end"/>
            </w:r>
            <w:r w:rsidRPr="00BB2705">
              <w:rPr>
                <w:rFonts w:asciiTheme="minorHAnsi" w:eastAsia="STKaiti" w:hAnsiTheme="minorHAnsi"/>
                <w:bCs/>
                <w:iCs/>
                <w:szCs w:val="24"/>
                <w:lang w:eastAsia="zh-CN"/>
              </w:rPr>
              <w:t>号决议</w:t>
            </w:r>
            <w:r w:rsidRPr="00BB2705">
              <w:rPr>
                <w:rFonts w:asciiTheme="minorHAnsi" w:eastAsia="STKaiti" w:hAnsiTheme="minorHAnsi"/>
                <w:bCs/>
                <w:iCs/>
                <w:szCs w:val="24"/>
                <w:lang w:val="fr-FR" w:eastAsia="zh-CN"/>
              </w:rPr>
              <w:t>（</w:t>
            </w:r>
            <w:r w:rsidRPr="00BB2705">
              <w:rPr>
                <w:rFonts w:asciiTheme="minorHAnsi" w:eastAsia="STKaiti" w:hAnsiTheme="minorHAnsi"/>
                <w:bCs/>
                <w:iCs/>
                <w:szCs w:val="24"/>
                <w:lang w:val="fr-FR" w:eastAsia="zh-CN"/>
              </w:rPr>
              <w:t>2014</w:t>
            </w:r>
            <w:r w:rsidRPr="00BB2705">
              <w:rPr>
                <w:rFonts w:asciiTheme="minorHAnsi" w:eastAsia="STKaiti" w:hAnsiTheme="minorHAnsi"/>
                <w:bCs/>
                <w:iCs/>
                <w:szCs w:val="24"/>
                <w:lang w:eastAsia="zh-CN"/>
              </w:rPr>
              <w:t>年</w:t>
            </w:r>
            <w:r w:rsidRPr="00BB2705">
              <w:rPr>
                <w:rFonts w:asciiTheme="minorHAnsi" w:eastAsia="STKaiti" w:hAnsiTheme="minorHAnsi"/>
                <w:bCs/>
                <w:iCs/>
                <w:szCs w:val="24"/>
                <w:lang w:val="fr-FR" w:eastAsia="zh-CN"/>
              </w:rPr>
              <w:t>，</w:t>
            </w:r>
            <w:r w:rsidRPr="00BB2705">
              <w:rPr>
                <w:rFonts w:asciiTheme="minorHAnsi" w:eastAsia="STKaiti" w:hAnsiTheme="minorHAnsi"/>
                <w:bCs/>
                <w:iCs/>
                <w:szCs w:val="24"/>
                <w:lang w:eastAsia="zh-CN"/>
              </w:rPr>
              <w:t>釜山</w:t>
            </w:r>
            <w:r w:rsidRPr="00BB2705">
              <w:rPr>
                <w:rFonts w:asciiTheme="minorHAnsi" w:eastAsia="STKaiti" w:hAnsiTheme="minorHAnsi"/>
                <w:bCs/>
                <w:iCs/>
                <w:szCs w:val="24"/>
                <w:lang w:val="fr-FR" w:eastAsia="zh-CN"/>
              </w:rPr>
              <w:t>，</w:t>
            </w:r>
            <w:r w:rsidRPr="00BB2705">
              <w:rPr>
                <w:rFonts w:asciiTheme="minorHAnsi" w:eastAsia="STKaiti" w:hAnsiTheme="minorHAnsi"/>
                <w:bCs/>
                <w:iCs/>
                <w:szCs w:val="24"/>
                <w:lang w:eastAsia="zh-CN"/>
              </w:rPr>
              <w:t>修订版</w:t>
            </w:r>
            <w:r w:rsidRPr="00BB2705">
              <w:rPr>
                <w:rFonts w:asciiTheme="minorHAnsi" w:eastAsia="STKaiti" w:hAnsiTheme="minorHAnsi"/>
                <w:bCs/>
                <w:iCs/>
                <w:szCs w:val="24"/>
                <w:lang w:val="fr-FR" w:eastAsia="zh-CN"/>
              </w:rPr>
              <w:t>）；</w:t>
            </w:r>
            <w:r w:rsidRPr="00BB2705">
              <w:rPr>
                <w:rFonts w:asciiTheme="minorHAnsi" w:eastAsia="STKaiti" w:hAnsiTheme="minorHAnsi"/>
                <w:bCs/>
                <w:iCs/>
                <w:szCs w:val="24"/>
                <w:lang w:eastAsia="zh-CN"/>
              </w:rPr>
              <w:t>第</w:t>
            </w:r>
            <w:hyperlink r:id="rId9" w:history="1">
              <w:r w:rsidRPr="00BB2705">
                <w:rPr>
                  <w:rStyle w:val="Hyperlink"/>
                  <w:rFonts w:asciiTheme="minorHAnsi" w:eastAsia="STKaiti" w:hAnsiTheme="minorHAnsi"/>
                  <w:bCs/>
                  <w:iCs/>
                  <w:szCs w:val="24"/>
                  <w:lang w:val="fr-FR" w:eastAsia="zh-CN"/>
                </w:rPr>
                <w:t>72</w:t>
              </w:r>
            </w:hyperlink>
            <w:r w:rsidRPr="00BB2705">
              <w:rPr>
                <w:rFonts w:asciiTheme="minorHAnsi" w:eastAsia="STKaiti" w:hAnsiTheme="minorHAnsi"/>
                <w:bCs/>
                <w:iCs/>
                <w:szCs w:val="24"/>
                <w:lang w:eastAsia="zh-CN"/>
              </w:rPr>
              <w:t>号决议</w:t>
            </w:r>
            <w:r w:rsidRPr="00BB2705">
              <w:rPr>
                <w:rFonts w:asciiTheme="minorHAnsi" w:eastAsia="STKaiti" w:hAnsiTheme="minorHAnsi"/>
                <w:bCs/>
                <w:iCs/>
                <w:szCs w:val="24"/>
                <w:lang w:val="fr-FR" w:eastAsia="zh-CN"/>
              </w:rPr>
              <w:t>（</w:t>
            </w:r>
            <w:r w:rsidRPr="00BB2705">
              <w:rPr>
                <w:rFonts w:asciiTheme="minorHAnsi" w:eastAsia="STKaiti" w:hAnsiTheme="minorHAnsi"/>
                <w:bCs/>
                <w:iCs/>
                <w:szCs w:val="24"/>
                <w:lang w:val="fr-FR" w:eastAsia="zh-CN"/>
              </w:rPr>
              <w:t>2014</w:t>
            </w:r>
            <w:r w:rsidRPr="00BB2705">
              <w:rPr>
                <w:rFonts w:asciiTheme="minorHAnsi" w:eastAsia="STKaiti" w:hAnsiTheme="minorHAnsi"/>
                <w:bCs/>
                <w:iCs/>
                <w:szCs w:val="24"/>
                <w:lang w:eastAsia="zh-CN"/>
              </w:rPr>
              <w:t>年</w:t>
            </w:r>
            <w:r w:rsidRPr="00BB2705">
              <w:rPr>
                <w:rFonts w:asciiTheme="minorHAnsi" w:eastAsia="STKaiti" w:hAnsiTheme="minorHAnsi"/>
                <w:bCs/>
                <w:iCs/>
                <w:szCs w:val="24"/>
                <w:lang w:val="fr-FR" w:eastAsia="zh-CN"/>
              </w:rPr>
              <w:t>，</w:t>
            </w:r>
            <w:r w:rsidRPr="00BB2705">
              <w:rPr>
                <w:rFonts w:asciiTheme="minorHAnsi" w:eastAsia="STKaiti" w:hAnsiTheme="minorHAnsi"/>
                <w:bCs/>
                <w:iCs/>
                <w:szCs w:val="24"/>
                <w:lang w:eastAsia="zh-CN"/>
              </w:rPr>
              <w:t>釜山</w:t>
            </w:r>
            <w:r w:rsidRPr="00BB2705">
              <w:rPr>
                <w:rFonts w:asciiTheme="minorHAnsi" w:eastAsia="STKaiti" w:hAnsiTheme="minorHAnsi"/>
                <w:bCs/>
                <w:iCs/>
                <w:szCs w:val="24"/>
                <w:lang w:val="fr-FR" w:eastAsia="zh-CN"/>
              </w:rPr>
              <w:t>，</w:t>
            </w:r>
            <w:r w:rsidRPr="00BB2705">
              <w:rPr>
                <w:rFonts w:asciiTheme="minorHAnsi" w:eastAsia="STKaiti" w:hAnsiTheme="minorHAnsi"/>
                <w:bCs/>
                <w:iCs/>
                <w:szCs w:val="24"/>
                <w:lang w:eastAsia="zh-CN"/>
              </w:rPr>
              <w:t>修订版</w:t>
            </w:r>
            <w:r w:rsidRPr="00BB2705">
              <w:rPr>
                <w:rFonts w:asciiTheme="minorHAnsi" w:eastAsia="STKaiti" w:hAnsiTheme="minorHAnsi"/>
                <w:bCs/>
                <w:iCs/>
                <w:szCs w:val="24"/>
                <w:lang w:val="fr-FR" w:eastAsia="zh-CN"/>
              </w:rPr>
              <w:t>）和第</w:t>
            </w:r>
            <w:hyperlink r:id="rId10" w:history="1">
              <w:r w:rsidRPr="00BB2705">
                <w:rPr>
                  <w:rStyle w:val="Hyperlink"/>
                  <w:rFonts w:asciiTheme="minorHAnsi" w:eastAsia="STKaiti" w:hAnsiTheme="minorHAnsi"/>
                  <w:bCs/>
                  <w:iCs/>
                  <w:szCs w:val="24"/>
                  <w:lang w:val="fr-FR" w:eastAsia="zh-CN"/>
                </w:rPr>
                <w:t>151</w:t>
              </w:r>
            </w:hyperlink>
            <w:r w:rsidRPr="00BB2705">
              <w:rPr>
                <w:rFonts w:asciiTheme="minorHAnsi" w:eastAsia="STKaiti" w:hAnsiTheme="minorHAnsi"/>
                <w:bCs/>
                <w:iCs/>
                <w:szCs w:val="24"/>
                <w:lang w:eastAsia="zh-CN"/>
              </w:rPr>
              <w:t>号决议</w:t>
            </w:r>
            <w:r w:rsidRPr="00BB2705">
              <w:rPr>
                <w:rFonts w:asciiTheme="minorHAnsi" w:eastAsia="STKaiti" w:hAnsiTheme="minorHAnsi"/>
                <w:bCs/>
                <w:iCs/>
                <w:szCs w:val="24"/>
                <w:lang w:val="fr-FR" w:eastAsia="zh-CN"/>
              </w:rPr>
              <w:t>（</w:t>
            </w:r>
            <w:r w:rsidRPr="00BB2705">
              <w:rPr>
                <w:rFonts w:asciiTheme="minorHAnsi" w:eastAsia="STKaiti" w:hAnsiTheme="minorHAnsi"/>
                <w:bCs/>
                <w:iCs/>
                <w:szCs w:val="24"/>
                <w:lang w:val="fr-FR" w:eastAsia="zh-CN"/>
              </w:rPr>
              <w:t>2014</w:t>
            </w:r>
            <w:r w:rsidRPr="00BB2705">
              <w:rPr>
                <w:rFonts w:asciiTheme="minorHAnsi" w:eastAsia="STKaiti" w:hAnsiTheme="minorHAnsi"/>
                <w:bCs/>
                <w:iCs/>
                <w:szCs w:val="24"/>
                <w:lang w:eastAsia="zh-CN"/>
              </w:rPr>
              <w:t>年</w:t>
            </w:r>
            <w:r w:rsidRPr="00BB2705">
              <w:rPr>
                <w:rFonts w:asciiTheme="minorHAnsi" w:eastAsia="STKaiti" w:hAnsiTheme="minorHAnsi"/>
                <w:bCs/>
                <w:iCs/>
                <w:szCs w:val="24"/>
                <w:lang w:val="fr-FR" w:eastAsia="zh-CN"/>
              </w:rPr>
              <w:t>，</w:t>
            </w:r>
            <w:r w:rsidRPr="00BB2705">
              <w:rPr>
                <w:rFonts w:asciiTheme="minorHAnsi" w:eastAsia="STKaiti" w:hAnsiTheme="minorHAnsi"/>
                <w:bCs/>
                <w:iCs/>
                <w:szCs w:val="24"/>
                <w:lang w:eastAsia="zh-CN"/>
              </w:rPr>
              <w:t>釜山</w:t>
            </w:r>
            <w:r w:rsidRPr="00BB2705">
              <w:rPr>
                <w:rFonts w:asciiTheme="minorHAnsi" w:eastAsia="STKaiti" w:hAnsiTheme="minorHAnsi"/>
                <w:bCs/>
                <w:iCs/>
                <w:szCs w:val="24"/>
                <w:lang w:val="fr-FR" w:eastAsia="zh-CN"/>
              </w:rPr>
              <w:t>，</w:t>
            </w:r>
            <w:r w:rsidRPr="00BB2705">
              <w:rPr>
                <w:rFonts w:asciiTheme="minorHAnsi" w:eastAsia="STKaiti" w:hAnsiTheme="minorHAnsi"/>
                <w:bCs/>
                <w:iCs/>
                <w:szCs w:val="24"/>
                <w:lang w:eastAsia="zh-CN"/>
              </w:rPr>
              <w:t>修订版</w:t>
            </w:r>
            <w:r w:rsidRPr="00BB2705">
              <w:rPr>
                <w:rFonts w:asciiTheme="minorHAnsi" w:eastAsia="STKaiti" w:hAnsiTheme="minorHAnsi"/>
                <w:bCs/>
                <w:iCs/>
                <w:szCs w:val="24"/>
                <w:lang w:val="fr-FR" w:eastAsia="zh-CN"/>
              </w:rPr>
              <w:t>）；</w:t>
            </w:r>
            <w:r w:rsidRPr="00BB2705">
              <w:rPr>
                <w:rFonts w:ascii="STKaiti" w:eastAsia="STKaiti" w:hAnsi="STKaiti"/>
                <w:bCs/>
                <w:iCs/>
                <w:szCs w:val="24"/>
                <w:lang w:val="fr-FR" w:eastAsia="zh-CN"/>
              </w:rPr>
              <w:t>联检组对</w:t>
            </w:r>
            <w:r w:rsidRPr="00BB2705">
              <w:rPr>
                <w:rFonts w:ascii="STKaiti" w:eastAsia="STKaiti" w:hAnsi="STKaiti"/>
                <w:lang w:eastAsia="zh-CN"/>
              </w:rPr>
              <w:t>国际电联管理和行政管理审查</w:t>
            </w:r>
            <w:r w:rsidR="00FA2D70">
              <w:rPr>
                <w:rFonts w:asciiTheme="minorHAnsi" w:eastAsia="STKaiti" w:hAnsiTheme="minorHAnsi"/>
                <w:bCs/>
                <w:iCs/>
                <w:szCs w:val="24"/>
                <w:lang w:val="fr-FR" w:eastAsia="zh-CN"/>
              </w:rPr>
              <w:t>（</w:t>
            </w:r>
            <w:hyperlink r:id="rId11" w:history="1">
              <w:r w:rsidRPr="00BB2705">
                <w:rPr>
                  <w:rStyle w:val="Hyperlink"/>
                  <w:rFonts w:asciiTheme="minorHAnsi" w:eastAsia="STKaiti" w:hAnsiTheme="minorHAnsi"/>
                  <w:bCs/>
                  <w:iCs/>
                  <w:szCs w:val="24"/>
                  <w:lang w:val="fr-FR" w:eastAsia="zh-CN"/>
                </w:rPr>
                <w:t>JIU/2016/1</w:t>
              </w:r>
            </w:hyperlink>
            <w:r w:rsidR="00FA2D70">
              <w:rPr>
                <w:rFonts w:asciiTheme="minorHAnsi" w:eastAsia="STKaiti" w:hAnsiTheme="minorHAnsi"/>
                <w:bCs/>
                <w:iCs/>
                <w:szCs w:val="24"/>
                <w:lang w:val="fr-FR" w:eastAsia="zh-CN"/>
              </w:rPr>
              <w:t>）</w:t>
            </w:r>
            <w:r w:rsidRPr="00BB2705">
              <w:rPr>
                <w:rFonts w:asciiTheme="minorHAnsi" w:eastAsia="STKaiti" w:hAnsiTheme="minorHAnsi"/>
                <w:bCs/>
                <w:iCs/>
                <w:szCs w:val="24"/>
                <w:lang w:val="fr-FR" w:eastAsia="zh-CN"/>
              </w:rPr>
              <w:t>；</w:t>
            </w:r>
            <w:hyperlink r:id="rId12" w:history="1">
              <w:r w:rsidRPr="00BB2705">
                <w:rPr>
                  <w:rStyle w:val="Hyperlink"/>
                  <w:rFonts w:asciiTheme="minorHAnsi" w:eastAsia="STKaiti" w:hAnsiTheme="minorHAnsi"/>
                  <w:bCs/>
                  <w:iCs/>
                  <w:szCs w:val="24"/>
                  <w:lang w:val="fr-FR" w:eastAsia="zh-CN"/>
                </w:rPr>
                <w:t>C17/74</w:t>
              </w:r>
            </w:hyperlink>
            <w:r w:rsidRPr="00BB2705">
              <w:rPr>
                <w:rStyle w:val="Hyperlink"/>
                <w:rFonts w:asciiTheme="minorHAnsi" w:eastAsia="STKaiti" w:hAnsiTheme="minorHAnsi"/>
                <w:bCs/>
                <w:iCs/>
                <w:szCs w:val="24"/>
                <w:lang w:eastAsia="zh-CN"/>
              </w:rPr>
              <w:t>号文件</w:t>
            </w:r>
          </w:p>
        </w:tc>
      </w:tr>
    </w:tbl>
    <w:p w:rsidR="00B40A53" w:rsidRPr="00BB2705" w:rsidRDefault="00BB2705" w:rsidP="00BB2705">
      <w:pPr>
        <w:pStyle w:val="Heading1"/>
        <w:rPr>
          <w:lang w:eastAsia="zh-CN"/>
        </w:rPr>
      </w:pPr>
      <w:r w:rsidRPr="00BB2705">
        <w:rPr>
          <w:lang w:eastAsia="zh-CN"/>
        </w:rPr>
        <w:t>1</w:t>
      </w:r>
      <w:r w:rsidRPr="00BB2705">
        <w:rPr>
          <w:lang w:eastAsia="zh-CN"/>
        </w:rPr>
        <w:tab/>
      </w:r>
      <w:r>
        <w:rPr>
          <w:rFonts w:hint="eastAsia"/>
          <w:lang w:val="fr-FR" w:eastAsia="zh-CN"/>
        </w:rPr>
        <w:t>引</w:t>
      </w:r>
      <w:r>
        <w:rPr>
          <w:lang w:val="fr-FR" w:eastAsia="zh-CN"/>
        </w:rPr>
        <w:t>言</w:t>
      </w:r>
    </w:p>
    <w:p w:rsidR="00BB2705" w:rsidRDefault="00F9431C" w:rsidP="00FA2D70">
      <w:pPr>
        <w:snapToGrid w:val="0"/>
        <w:spacing w:after="120"/>
        <w:ind w:firstLineChars="200" w:firstLine="480"/>
        <w:jc w:val="both"/>
        <w:rPr>
          <w:lang w:eastAsia="zh-CN"/>
        </w:rPr>
      </w:pPr>
      <w:r>
        <w:rPr>
          <w:rFonts w:hint="eastAsia"/>
          <w:lang w:eastAsia="zh-CN"/>
        </w:rPr>
        <w:t>本</w:t>
      </w:r>
      <w:r>
        <w:rPr>
          <w:lang w:eastAsia="zh-CN"/>
        </w:rPr>
        <w:t>文件介绍了国际电联在</w:t>
      </w:r>
      <w:r>
        <w:rPr>
          <w:rFonts w:hint="eastAsia"/>
          <w:lang w:eastAsia="zh-CN"/>
        </w:rPr>
        <w:t>努力</w:t>
      </w:r>
      <w:r>
        <w:rPr>
          <w:lang w:eastAsia="zh-CN"/>
        </w:rPr>
        <w:t>实现其总体</w:t>
      </w:r>
      <w:r w:rsidR="00FA2D70">
        <w:rPr>
          <w:lang w:eastAsia="zh-CN"/>
        </w:rPr>
        <w:t>战略</w:t>
      </w:r>
      <w:r>
        <w:rPr>
          <w:lang w:eastAsia="zh-CN"/>
        </w:rPr>
        <w:t>目标和部门目标中愿意承担的风险</w:t>
      </w:r>
      <w:r w:rsidR="00FA2D70">
        <w:rPr>
          <w:rFonts w:hint="eastAsia"/>
          <w:lang w:eastAsia="zh-CN"/>
        </w:rPr>
        <w:t>程度</w:t>
      </w:r>
      <w:r w:rsidR="00FA2D70">
        <w:rPr>
          <w:lang w:eastAsia="zh-CN"/>
        </w:rPr>
        <w:t>和类型</w:t>
      </w:r>
      <w:r w:rsidR="00FA2D70">
        <w:rPr>
          <w:lang w:val="en-US" w:eastAsia="zh-CN"/>
        </w:rPr>
        <w:t xml:space="preserve"> </w:t>
      </w:r>
      <w:r w:rsidR="00FA2D70" w:rsidRPr="00FA2D70">
        <w:rPr>
          <w:lang w:val="en-US" w:eastAsia="zh-CN"/>
        </w:rPr>
        <w:t>–</w:t>
      </w:r>
      <w:r w:rsidR="00FA2D70">
        <w:rPr>
          <w:lang w:val="en-US" w:eastAsia="zh-CN"/>
        </w:rPr>
        <w:t xml:space="preserve"> </w:t>
      </w:r>
      <w:r>
        <w:rPr>
          <w:lang w:eastAsia="zh-CN"/>
        </w:rPr>
        <w:t>包括组织风险偏好及其风险</w:t>
      </w:r>
      <w:r w:rsidR="00FA2D70">
        <w:rPr>
          <w:rFonts w:hint="eastAsia"/>
          <w:lang w:eastAsia="zh-CN"/>
        </w:rPr>
        <w:t>容忍度</w:t>
      </w:r>
      <w:r>
        <w:rPr>
          <w:lang w:eastAsia="zh-CN"/>
        </w:rPr>
        <w:t>两个方面。</w:t>
      </w:r>
    </w:p>
    <w:p w:rsidR="00BB2705" w:rsidRDefault="00FA2D70" w:rsidP="00FA2D70">
      <w:pPr>
        <w:snapToGrid w:val="0"/>
        <w:spacing w:after="120"/>
        <w:ind w:firstLineChars="200" w:firstLine="480"/>
        <w:jc w:val="both"/>
        <w:rPr>
          <w:lang w:eastAsia="zh-CN"/>
        </w:rPr>
      </w:pPr>
      <w:r>
        <w:rPr>
          <w:rFonts w:hint="eastAsia"/>
          <w:lang w:eastAsia="zh-CN"/>
        </w:rPr>
        <w:t>陈述</w:t>
      </w:r>
      <w:r>
        <w:rPr>
          <w:lang w:eastAsia="zh-CN"/>
        </w:rPr>
        <w:t>书</w:t>
      </w:r>
      <w:r w:rsidR="00A76742">
        <w:rPr>
          <w:lang w:eastAsia="zh-CN"/>
        </w:rPr>
        <w:t>承认，该组织从事的活动具有不同风险等级。必须</w:t>
      </w:r>
      <w:r w:rsidR="00A76742">
        <w:rPr>
          <w:rFonts w:hint="eastAsia"/>
          <w:lang w:eastAsia="zh-CN"/>
        </w:rPr>
        <w:t>强调</w:t>
      </w:r>
      <w:r w:rsidR="00A76742">
        <w:rPr>
          <w:lang w:eastAsia="zh-CN"/>
        </w:rPr>
        <w:t>，风险</w:t>
      </w:r>
      <w:r w:rsidR="00A76742">
        <w:rPr>
          <w:rFonts w:hint="eastAsia"/>
          <w:lang w:eastAsia="zh-CN"/>
        </w:rPr>
        <w:t>较高</w:t>
      </w:r>
      <w:r w:rsidR="00A76742">
        <w:rPr>
          <w:lang w:eastAsia="zh-CN"/>
        </w:rPr>
        <w:t>的活动</w:t>
      </w:r>
      <w:r w:rsidR="00A76742">
        <w:rPr>
          <w:rFonts w:hint="eastAsia"/>
          <w:lang w:eastAsia="zh-CN"/>
        </w:rPr>
        <w:t>只能</w:t>
      </w:r>
      <w:r w:rsidR="00A76742">
        <w:rPr>
          <w:lang w:eastAsia="zh-CN"/>
        </w:rPr>
        <w:t>在收益大于成本</w:t>
      </w:r>
      <w:r w:rsidR="00A76742">
        <w:rPr>
          <w:rFonts w:hint="eastAsia"/>
          <w:lang w:eastAsia="zh-CN"/>
        </w:rPr>
        <w:t>的</w:t>
      </w:r>
      <w:r w:rsidR="00A76742">
        <w:rPr>
          <w:lang w:eastAsia="zh-CN"/>
        </w:rPr>
        <w:t>情况下进行，而且，这些活动不会将风险提升至</w:t>
      </w:r>
      <w:r w:rsidR="00A76742">
        <w:rPr>
          <w:rFonts w:hint="eastAsia"/>
          <w:lang w:eastAsia="zh-CN"/>
        </w:rPr>
        <w:t>难以</w:t>
      </w:r>
      <w:r w:rsidR="00A76742">
        <w:rPr>
          <w:lang w:eastAsia="zh-CN"/>
        </w:rPr>
        <w:t>接受的水平，</w:t>
      </w:r>
      <w:r w:rsidR="00A76742">
        <w:rPr>
          <w:rFonts w:hint="eastAsia"/>
          <w:lang w:eastAsia="zh-CN"/>
        </w:rPr>
        <w:t>致使</w:t>
      </w:r>
      <w:r>
        <w:rPr>
          <w:rFonts w:hint="eastAsia"/>
          <w:lang w:eastAsia="zh-CN"/>
        </w:rPr>
        <w:t>对</w:t>
      </w:r>
      <w:r w:rsidR="00A76742">
        <w:rPr>
          <w:lang w:eastAsia="zh-CN"/>
        </w:rPr>
        <w:t>该组织</w:t>
      </w:r>
      <w:r>
        <w:rPr>
          <w:rFonts w:hint="eastAsia"/>
          <w:lang w:eastAsia="zh-CN"/>
        </w:rPr>
        <w:t>总体</w:t>
      </w:r>
      <w:r w:rsidR="00A76742">
        <w:rPr>
          <w:lang w:eastAsia="zh-CN"/>
        </w:rPr>
        <w:t>战略目标和部门目标</w:t>
      </w:r>
      <w:r>
        <w:rPr>
          <w:rFonts w:hint="eastAsia"/>
          <w:lang w:eastAsia="zh-CN"/>
        </w:rPr>
        <w:t>的实现造成</w:t>
      </w:r>
      <w:r>
        <w:rPr>
          <w:lang w:eastAsia="zh-CN"/>
        </w:rPr>
        <w:t>危害</w:t>
      </w:r>
      <w:r w:rsidR="00A76742">
        <w:rPr>
          <w:lang w:eastAsia="zh-CN"/>
        </w:rPr>
        <w:t>。</w:t>
      </w:r>
    </w:p>
    <w:p w:rsidR="00BB2705" w:rsidRDefault="00A76742" w:rsidP="00FA2D70">
      <w:pPr>
        <w:snapToGrid w:val="0"/>
        <w:spacing w:after="120"/>
        <w:ind w:firstLineChars="200" w:firstLine="480"/>
        <w:jc w:val="both"/>
        <w:rPr>
          <w:lang w:eastAsia="zh-CN"/>
        </w:rPr>
      </w:pPr>
      <w:r>
        <w:rPr>
          <w:rFonts w:hint="eastAsia"/>
          <w:lang w:eastAsia="zh-CN"/>
        </w:rPr>
        <w:t>以下</w:t>
      </w:r>
      <w:r>
        <w:rPr>
          <w:lang w:eastAsia="zh-CN"/>
        </w:rPr>
        <w:t>风险偏好</w:t>
      </w:r>
      <w:r w:rsidR="00FA2D70">
        <w:rPr>
          <w:rFonts w:hint="eastAsia"/>
          <w:lang w:eastAsia="zh-CN"/>
        </w:rPr>
        <w:t>陈述</w:t>
      </w:r>
      <w:r w:rsidR="00FA2D70">
        <w:rPr>
          <w:lang w:eastAsia="zh-CN"/>
        </w:rPr>
        <w:t>书</w:t>
      </w:r>
      <w:r>
        <w:rPr>
          <w:lang w:eastAsia="zh-CN"/>
        </w:rPr>
        <w:t>是按照国际电</w:t>
      </w:r>
      <w:proofErr w:type="gramStart"/>
      <w:r>
        <w:rPr>
          <w:lang w:eastAsia="zh-CN"/>
        </w:rPr>
        <w:t>联</w:t>
      </w:r>
      <w:r>
        <w:rPr>
          <w:rFonts w:hint="eastAsia"/>
          <w:lang w:eastAsia="zh-CN"/>
        </w:rPr>
        <w:t>风险</w:t>
      </w:r>
      <w:proofErr w:type="gramEnd"/>
      <w:r>
        <w:rPr>
          <w:lang w:eastAsia="zh-CN"/>
        </w:rPr>
        <w:t>管理政策制定的，突出第</w:t>
      </w:r>
      <w:r>
        <w:rPr>
          <w:rFonts w:hint="eastAsia"/>
          <w:lang w:eastAsia="zh-CN"/>
        </w:rPr>
        <w:t>71</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，釜山，修订版</w:t>
      </w:r>
      <w:r>
        <w:rPr>
          <w:rFonts w:hint="eastAsia"/>
          <w:lang w:eastAsia="zh-CN"/>
        </w:rPr>
        <w:t>，</w:t>
      </w:r>
      <w:r>
        <w:rPr>
          <w:lang w:eastAsia="zh-CN"/>
        </w:rPr>
        <w:t>附件</w:t>
      </w:r>
      <w:r>
        <w:rPr>
          <w:rFonts w:hint="eastAsia"/>
          <w:lang w:eastAsia="zh-CN"/>
        </w:rPr>
        <w:t>2</w:t>
      </w:r>
      <w:r>
        <w:rPr>
          <w:rFonts w:hint="eastAsia"/>
          <w:lang w:eastAsia="zh-CN"/>
        </w:rPr>
        <w:t>）中</w:t>
      </w:r>
      <w:r>
        <w:rPr>
          <w:lang w:eastAsia="zh-CN"/>
        </w:rPr>
        <w:t>成员国通过</w:t>
      </w:r>
      <w:r>
        <w:rPr>
          <w:rFonts w:hint="eastAsia"/>
          <w:lang w:eastAsia="zh-CN"/>
        </w:rPr>
        <w:t>的</w:t>
      </w:r>
      <w:r>
        <w:rPr>
          <w:lang w:eastAsia="zh-CN"/>
        </w:rPr>
        <w:t>国际电</w:t>
      </w:r>
      <w:proofErr w:type="gramStart"/>
      <w:r>
        <w:rPr>
          <w:lang w:eastAsia="zh-CN"/>
        </w:rPr>
        <w:t>联战略</w:t>
      </w:r>
      <w:proofErr w:type="gramEnd"/>
      <w:r>
        <w:rPr>
          <w:lang w:eastAsia="zh-CN"/>
        </w:rPr>
        <w:t>框架。</w:t>
      </w:r>
      <w:bookmarkStart w:id="4" w:name="_GoBack"/>
      <w:bookmarkEnd w:id="4"/>
    </w:p>
    <w:p w:rsidR="00BB2705" w:rsidRDefault="00D7084C" w:rsidP="00FA2D70">
      <w:pPr>
        <w:keepNext/>
        <w:keepLines/>
        <w:snapToGrid w:val="0"/>
        <w:spacing w:after="120"/>
        <w:ind w:firstLineChars="200" w:firstLine="480"/>
        <w:jc w:val="both"/>
        <w:rPr>
          <w:lang w:eastAsia="zh-CN"/>
        </w:rPr>
      </w:pPr>
      <w:r>
        <w:rPr>
          <w:rFonts w:hint="eastAsia"/>
          <w:lang w:eastAsia="zh-CN"/>
        </w:rPr>
        <w:lastRenderedPageBreak/>
        <w:t>在</w:t>
      </w:r>
      <w:r w:rsidR="00BB2705" w:rsidRPr="00FC5DB8">
        <w:rPr>
          <w:lang w:eastAsia="zh-CN"/>
        </w:rPr>
        <w:t>2016-2019</w:t>
      </w:r>
      <w:r>
        <w:rPr>
          <w:rFonts w:hint="eastAsia"/>
          <w:lang w:eastAsia="zh-CN"/>
        </w:rPr>
        <w:t>年</w:t>
      </w:r>
      <w:r>
        <w:rPr>
          <w:lang w:eastAsia="zh-CN"/>
        </w:rPr>
        <w:t>间，国际电联将努力通过以下四项总体目标完成其使命：</w:t>
      </w:r>
    </w:p>
    <w:p w:rsidR="00BB2705" w:rsidRDefault="00D7084C" w:rsidP="00FA2D70">
      <w:pPr>
        <w:pStyle w:val="enumlev1"/>
        <w:keepNext/>
        <w:keepLines/>
        <w:rPr>
          <w:lang w:eastAsia="zh-CN"/>
        </w:rPr>
      </w:pPr>
      <w:r>
        <w:rPr>
          <w:lang w:eastAsia="zh-CN"/>
        </w:rPr>
        <w:t>–</w:t>
      </w:r>
      <w:r w:rsidR="00BB2705">
        <w:rPr>
          <w:lang w:eastAsia="zh-CN"/>
        </w:rPr>
        <w:tab/>
      </w:r>
      <w:r>
        <w:rPr>
          <w:rFonts w:hint="eastAsia"/>
          <w:lang w:eastAsia="zh-CN"/>
        </w:rPr>
        <w:t>总体</w:t>
      </w:r>
      <w:r>
        <w:rPr>
          <w:lang w:eastAsia="zh-CN"/>
        </w:rPr>
        <w:t>目标</w:t>
      </w:r>
      <w:r>
        <w:rPr>
          <w:rFonts w:hint="eastAsia"/>
          <w:lang w:eastAsia="zh-CN"/>
        </w:rPr>
        <w:t>1</w:t>
      </w:r>
      <w:r>
        <w:rPr>
          <w:rFonts w:hint="eastAsia"/>
          <w:lang w:eastAsia="zh-CN"/>
        </w:rPr>
        <w:t>：增长</w:t>
      </w:r>
      <w:r w:rsidR="00BB2705">
        <w:rPr>
          <w:lang w:eastAsia="zh-CN"/>
        </w:rPr>
        <w:t xml:space="preserve"> – </w:t>
      </w:r>
      <w:r>
        <w:rPr>
          <w:rFonts w:hint="eastAsia"/>
          <w:lang w:eastAsia="zh-CN"/>
        </w:rPr>
        <w:t>促成</w:t>
      </w:r>
      <w:r>
        <w:rPr>
          <w:lang w:eastAsia="zh-CN"/>
        </w:rPr>
        <w:t>并推进电信</w:t>
      </w:r>
      <w:r>
        <w:rPr>
          <w:rFonts w:hint="eastAsia"/>
          <w:lang w:eastAsia="zh-CN"/>
        </w:rPr>
        <w:t>/</w:t>
      </w:r>
      <w:r>
        <w:rPr>
          <w:lang w:eastAsia="zh-CN"/>
        </w:rPr>
        <w:t>ICT</w:t>
      </w:r>
      <w:r>
        <w:rPr>
          <w:lang w:eastAsia="zh-CN"/>
        </w:rPr>
        <w:t>的获取与普及；</w:t>
      </w:r>
    </w:p>
    <w:p w:rsidR="00BB2705" w:rsidRDefault="00D7084C" w:rsidP="00D7084C">
      <w:pPr>
        <w:pStyle w:val="enumlev1"/>
        <w:rPr>
          <w:lang w:eastAsia="zh-CN"/>
        </w:rPr>
      </w:pPr>
      <w:r>
        <w:rPr>
          <w:lang w:eastAsia="zh-CN"/>
        </w:rPr>
        <w:t>–</w:t>
      </w:r>
      <w:r w:rsidR="00BB2705">
        <w:rPr>
          <w:lang w:eastAsia="zh-CN"/>
        </w:rPr>
        <w:tab/>
      </w:r>
      <w:r>
        <w:rPr>
          <w:rFonts w:hint="eastAsia"/>
          <w:lang w:eastAsia="zh-CN"/>
        </w:rPr>
        <w:t>总体</w:t>
      </w:r>
      <w:r>
        <w:rPr>
          <w:lang w:eastAsia="zh-CN"/>
        </w:rPr>
        <w:t>目标</w:t>
      </w:r>
      <w:r>
        <w:rPr>
          <w:lang w:eastAsia="zh-CN"/>
        </w:rPr>
        <w:t>2</w:t>
      </w:r>
      <w:r>
        <w:rPr>
          <w:rFonts w:hint="eastAsia"/>
          <w:lang w:eastAsia="zh-CN"/>
        </w:rPr>
        <w:t>：包容</w:t>
      </w:r>
      <w:r>
        <w:rPr>
          <w:lang w:eastAsia="zh-CN"/>
        </w:rPr>
        <w:t>性</w:t>
      </w:r>
      <w:r w:rsidR="00BB2705">
        <w:rPr>
          <w:lang w:eastAsia="zh-CN"/>
        </w:rPr>
        <w:t xml:space="preserve"> – </w:t>
      </w:r>
      <w:r>
        <w:rPr>
          <w:rFonts w:hint="eastAsia"/>
          <w:lang w:eastAsia="zh-CN"/>
        </w:rPr>
        <w:t>弥合</w:t>
      </w:r>
      <w:r>
        <w:rPr>
          <w:lang w:eastAsia="zh-CN"/>
        </w:rPr>
        <w:t>数字鸿沟，让人人用上宽带；</w:t>
      </w:r>
    </w:p>
    <w:p w:rsidR="00BB2705" w:rsidRDefault="00D7084C" w:rsidP="00D7084C">
      <w:pPr>
        <w:pStyle w:val="enumlev1"/>
        <w:rPr>
          <w:lang w:eastAsia="zh-CN"/>
        </w:rPr>
      </w:pPr>
      <w:r>
        <w:rPr>
          <w:lang w:eastAsia="zh-CN"/>
        </w:rPr>
        <w:t>–</w:t>
      </w:r>
      <w:r w:rsidR="00BB2705">
        <w:rPr>
          <w:lang w:eastAsia="zh-CN"/>
        </w:rPr>
        <w:tab/>
      </w:r>
      <w:r>
        <w:rPr>
          <w:rFonts w:hint="eastAsia"/>
          <w:lang w:eastAsia="zh-CN"/>
        </w:rPr>
        <w:t>总体</w:t>
      </w:r>
      <w:r>
        <w:rPr>
          <w:lang w:eastAsia="zh-CN"/>
        </w:rPr>
        <w:t>目标</w:t>
      </w:r>
      <w:r>
        <w:rPr>
          <w:lang w:eastAsia="zh-CN"/>
        </w:rPr>
        <w:t>3</w:t>
      </w:r>
      <w:r>
        <w:rPr>
          <w:rFonts w:hint="eastAsia"/>
          <w:lang w:eastAsia="zh-CN"/>
        </w:rPr>
        <w:t>：可</w:t>
      </w:r>
      <w:r>
        <w:rPr>
          <w:lang w:eastAsia="zh-CN"/>
        </w:rPr>
        <w:t>持续性</w:t>
      </w:r>
      <w:r w:rsidR="00BB2705">
        <w:rPr>
          <w:lang w:eastAsia="zh-CN"/>
        </w:rPr>
        <w:t xml:space="preserve"> – </w:t>
      </w:r>
      <w:r>
        <w:rPr>
          <w:rFonts w:hint="eastAsia"/>
          <w:lang w:eastAsia="zh-CN"/>
        </w:rPr>
        <w:t>管理</w:t>
      </w:r>
      <w:r>
        <w:rPr>
          <w:lang w:eastAsia="zh-CN"/>
        </w:rPr>
        <w:t>电信</w:t>
      </w:r>
      <w:r w:rsidR="00BB2705">
        <w:rPr>
          <w:lang w:eastAsia="zh-CN"/>
        </w:rPr>
        <w:t>/ICT</w:t>
      </w:r>
      <w:r>
        <w:rPr>
          <w:rFonts w:hint="eastAsia"/>
          <w:lang w:eastAsia="zh-CN"/>
        </w:rPr>
        <w:t>发</w:t>
      </w:r>
      <w:r>
        <w:rPr>
          <w:lang w:eastAsia="zh-CN"/>
        </w:rPr>
        <w:t>展带来的挑战；</w:t>
      </w:r>
    </w:p>
    <w:p w:rsidR="00BB2705" w:rsidRDefault="00D7084C" w:rsidP="00D7084C">
      <w:pPr>
        <w:pStyle w:val="enumlev1"/>
        <w:rPr>
          <w:lang w:eastAsia="zh-CN"/>
        </w:rPr>
      </w:pPr>
      <w:r>
        <w:rPr>
          <w:lang w:eastAsia="zh-CN"/>
        </w:rPr>
        <w:t>–</w:t>
      </w:r>
      <w:r w:rsidR="00BB2705">
        <w:rPr>
          <w:lang w:eastAsia="zh-CN"/>
        </w:rPr>
        <w:tab/>
      </w:r>
      <w:r>
        <w:rPr>
          <w:rFonts w:hint="eastAsia"/>
          <w:lang w:eastAsia="zh-CN"/>
        </w:rPr>
        <w:t>总体</w:t>
      </w:r>
      <w:r>
        <w:rPr>
          <w:lang w:eastAsia="zh-CN"/>
        </w:rPr>
        <w:t>目标</w:t>
      </w:r>
      <w:r>
        <w:rPr>
          <w:lang w:eastAsia="zh-CN"/>
        </w:rPr>
        <w:t>4</w:t>
      </w:r>
      <w:r>
        <w:rPr>
          <w:rFonts w:hint="eastAsia"/>
          <w:lang w:eastAsia="zh-CN"/>
        </w:rPr>
        <w:t>：创新</w:t>
      </w:r>
      <w:r>
        <w:rPr>
          <w:lang w:eastAsia="zh-CN"/>
        </w:rPr>
        <w:t>和伙伴关系</w:t>
      </w:r>
      <w:r w:rsidR="00BB2705">
        <w:rPr>
          <w:lang w:eastAsia="zh-CN"/>
        </w:rPr>
        <w:t xml:space="preserve"> – </w:t>
      </w:r>
      <w:r>
        <w:rPr>
          <w:rFonts w:hint="eastAsia"/>
          <w:lang w:eastAsia="zh-CN"/>
        </w:rPr>
        <w:t>领导</w:t>
      </w:r>
      <w:r>
        <w:rPr>
          <w:lang w:eastAsia="zh-CN"/>
        </w:rPr>
        <w:t>、完善并适应不断变化的电信</w:t>
      </w:r>
      <w:r w:rsidR="00BB2705">
        <w:rPr>
          <w:lang w:eastAsia="zh-CN"/>
        </w:rPr>
        <w:t>/ICT</w:t>
      </w:r>
      <w:r>
        <w:rPr>
          <w:rFonts w:hint="eastAsia"/>
          <w:lang w:eastAsia="zh-CN"/>
        </w:rPr>
        <w:t>环境</w:t>
      </w:r>
      <w:r>
        <w:rPr>
          <w:lang w:eastAsia="zh-CN"/>
        </w:rPr>
        <w:t>。</w:t>
      </w:r>
    </w:p>
    <w:p w:rsidR="00BB2705" w:rsidRPr="00441F32" w:rsidRDefault="00441F32" w:rsidP="00D7084C">
      <w:pPr>
        <w:snapToGrid w:val="0"/>
        <w:spacing w:after="120"/>
        <w:ind w:firstLineChars="200" w:firstLine="480"/>
        <w:jc w:val="both"/>
        <w:rPr>
          <w:lang w:eastAsia="zh-CN"/>
        </w:rPr>
      </w:pPr>
      <w:r>
        <w:rPr>
          <w:rFonts w:hint="eastAsia"/>
          <w:lang w:eastAsia="zh-CN"/>
        </w:rPr>
        <w:t>国</w:t>
      </w:r>
      <w:r>
        <w:rPr>
          <w:lang w:eastAsia="zh-CN"/>
        </w:rPr>
        <w:t>际电联将通过在此期间达到的部门目标落实国际电</w:t>
      </w:r>
      <w:proofErr w:type="gramStart"/>
      <w:r>
        <w:rPr>
          <w:lang w:eastAsia="zh-CN"/>
        </w:rPr>
        <w:t>联总体</w:t>
      </w:r>
      <w:proofErr w:type="gramEnd"/>
      <w:r>
        <w:rPr>
          <w:lang w:eastAsia="zh-CN"/>
        </w:rPr>
        <w:t>战略目标。各</w:t>
      </w:r>
      <w:r>
        <w:rPr>
          <w:rFonts w:hint="eastAsia"/>
          <w:lang w:eastAsia="zh-CN"/>
        </w:rPr>
        <w:t>部门</w:t>
      </w:r>
      <w:r>
        <w:rPr>
          <w:lang w:eastAsia="zh-CN"/>
        </w:rPr>
        <w:t>将通过在各自具体的职责范围落实其具体目标和关系全局的跨部门目标，</w:t>
      </w:r>
      <w:r>
        <w:rPr>
          <w:rFonts w:hint="eastAsia"/>
          <w:lang w:eastAsia="zh-CN"/>
        </w:rPr>
        <w:t>推动国</w:t>
      </w:r>
      <w:r>
        <w:rPr>
          <w:lang w:eastAsia="zh-CN"/>
        </w:rPr>
        <w:t>际电</w:t>
      </w:r>
      <w:proofErr w:type="gramStart"/>
      <w:r>
        <w:rPr>
          <w:lang w:eastAsia="zh-CN"/>
        </w:rPr>
        <w:t>联总体</w:t>
      </w:r>
      <w:proofErr w:type="gramEnd"/>
      <w:r>
        <w:rPr>
          <w:lang w:eastAsia="zh-CN"/>
        </w:rPr>
        <w:t>目标的实现。</w:t>
      </w:r>
    </w:p>
    <w:p w:rsidR="00E378D8" w:rsidRPr="00BB2705" w:rsidRDefault="00441F32" w:rsidP="00FA2D70">
      <w:pPr>
        <w:tabs>
          <w:tab w:val="clear" w:pos="794"/>
          <w:tab w:val="clear" w:pos="1191"/>
          <w:tab w:val="clear" w:pos="1588"/>
          <w:tab w:val="clear" w:pos="1985"/>
          <w:tab w:val="center" w:pos="8222"/>
        </w:tabs>
        <w:ind w:firstLineChars="200" w:firstLine="480"/>
        <w:rPr>
          <w:szCs w:val="22"/>
          <w:lang w:eastAsia="zh-CN"/>
        </w:rPr>
      </w:pPr>
      <w:r>
        <w:rPr>
          <w:rFonts w:hint="eastAsia"/>
          <w:lang w:eastAsia="zh-CN"/>
        </w:rPr>
        <w:t>风险</w:t>
      </w:r>
      <w:r>
        <w:rPr>
          <w:lang w:eastAsia="zh-CN"/>
        </w:rPr>
        <w:t>的确定、评估和处理</w:t>
      </w:r>
      <w:r w:rsidR="00FA2D70">
        <w:rPr>
          <w:rFonts w:hint="eastAsia"/>
          <w:lang w:eastAsia="zh-CN"/>
        </w:rPr>
        <w:t>是</w:t>
      </w:r>
      <w:r>
        <w:rPr>
          <w:lang w:eastAsia="zh-CN"/>
        </w:rPr>
        <w:t>为强化知情决策</w:t>
      </w:r>
      <w:r w:rsidR="00FA2D70">
        <w:rPr>
          <w:rFonts w:hint="eastAsia"/>
          <w:lang w:eastAsia="zh-CN"/>
        </w:rPr>
        <w:t>而</w:t>
      </w:r>
      <w:r w:rsidR="00FA2D70">
        <w:rPr>
          <w:lang w:eastAsia="zh-CN"/>
        </w:rPr>
        <w:t>设置的</w:t>
      </w:r>
      <w:r>
        <w:rPr>
          <w:lang w:eastAsia="zh-CN"/>
        </w:rPr>
        <w:t>管理可能影响</w:t>
      </w:r>
      <w:r w:rsidR="00FA2D70">
        <w:rPr>
          <w:lang w:eastAsia="zh-CN"/>
        </w:rPr>
        <w:t>总体</w:t>
      </w:r>
      <w:r>
        <w:rPr>
          <w:lang w:eastAsia="zh-CN"/>
        </w:rPr>
        <w:t>目标和</w:t>
      </w:r>
      <w:r w:rsidR="00FA2D70">
        <w:rPr>
          <w:lang w:eastAsia="zh-CN"/>
        </w:rPr>
        <w:t>部门</w:t>
      </w:r>
      <w:r>
        <w:rPr>
          <w:lang w:eastAsia="zh-CN"/>
        </w:rPr>
        <w:t>目标实现的不确定事件的综合程序。</w:t>
      </w:r>
    </w:p>
    <w:p w:rsidR="00E378D8" w:rsidRDefault="00441F32" w:rsidP="00441F32">
      <w:pPr>
        <w:pStyle w:val="Heading1"/>
        <w:rPr>
          <w:lang w:eastAsia="zh-CN"/>
        </w:rPr>
      </w:pPr>
      <w:r>
        <w:rPr>
          <w:lang w:eastAsia="zh-CN"/>
        </w:rPr>
        <w:t>2</w:t>
      </w:r>
      <w:r>
        <w:rPr>
          <w:lang w:eastAsia="zh-CN"/>
        </w:rPr>
        <w:tab/>
      </w:r>
      <w:r>
        <w:rPr>
          <w:rFonts w:hint="eastAsia"/>
          <w:lang w:eastAsia="zh-CN"/>
        </w:rPr>
        <w:t>风险</w:t>
      </w:r>
      <w:r>
        <w:rPr>
          <w:lang w:eastAsia="zh-CN"/>
        </w:rPr>
        <w:t>偏好</w:t>
      </w:r>
    </w:p>
    <w:p w:rsidR="00441F32" w:rsidRPr="00C65E8E" w:rsidRDefault="00A76742" w:rsidP="00FA2D70">
      <w:pPr>
        <w:snapToGrid w:val="0"/>
        <w:spacing w:after="120"/>
        <w:ind w:firstLineChars="200" w:firstLine="480"/>
        <w:jc w:val="both"/>
        <w:rPr>
          <w:lang w:eastAsia="zh-CN"/>
        </w:rPr>
      </w:pPr>
      <w:bookmarkStart w:id="5" w:name="lt_pId047"/>
      <w:r>
        <w:rPr>
          <w:rFonts w:hint="eastAsia"/>
          <w:lang w:eastAsia="zh-CN"/>
        </w:rPr>
        <w:t>国际电</w:t>
      </w:r>
      <w:proofErr w:type="gramStart"/>
      <w:r>
        <w:rPr>
          <w:rFonts w:hint="eastAsia"/>
          <w:lang w:eastAsia="zh-CN"/>
        </w:rPr>
        <w:t>联</w:t>
      </w:r>
      <w:r>
        <w:rPr>
          <w:lang w:eastAsia="zh-CN"/>
        </w:rPr>
        <w:t>面对</w:t>
      </w:r>
      <w:proofErr w:type="gramEnd"/>
      <w:r>
        <w:rPr>
          <w:lang w:eastAsia="zh-CN"/>
        </w:rPr>
        <w:t>主要</w:t>
      </w:r>
      <w:r>
        <w:rPr>
          <w:rFonts w:hint="eastAsia"/>
          <w:lang w:eastAsia="zh-CN"/>
        </w:rPr>
        <w:t>运作</w:t>
      </w:r>
      <w:r>
        <w:rPr>
          <w:lang w:eastAsia="zh-CN"/>
        </w:rPr>
        <w:t>和战略风险的方式如下。该</w:t>
      </w:r>
      <w:r>
        <w:rPr>
          <w:rFonts w:hint="eastAsia"/>
          <w:lang w:eastAsia="zh-CN"/>
        </w:rPr>
        <w:t>清单</w:t>
      </w:r>
      <w:r>
        <w:rPr>
          <w:lang w:eastAsia="zh-CN"/>
        </w:rPr>
        <w:t>既未涵盖国际电联工作的方方面面</w:t>
      </w:r>
      <w:r w:rsidR="004D3E02">
        <w:rPr>
          <w:rFonts w:hint="eastAsia"/>
          <w:lang w:eastAsia="zh-CN"/>
        </w:rPr>
        <w:t>，</w:t>
      </w:r>
      <w:r w:rsidR="004D3E02">
        <w:rPr>
          <w:lang w:eastAsia="zh-CN"/>
        </w:rPr>
        <w:t>亦不囊括所有的潜在风险。</w:t>
      </w:r>
      <w:r w:rsidR="004D3E02">
        <w:rPr>
          <w:rFonts w:hint="eastAsia"/>
          <w:lang w:eastAsia="zh-CN"/>
        </w:rPr>
        <w:t>相反</w:t>
      </w:r>
      <w:r w:rsidR="004D3E02">
        <w:rPr>
          <w:lang w:eastAsia="zh-CN"/>
        </w:rPr>
        <w:t>，</w:t>
      </w:r>
      <w:r w:rsidR="004D3E02">
        <w:rPr>
          <w:rFonts w:hint="eastAsia"/>
          <w:lang w:eastAsia="zh-CN"/>
        </w:rPr>
        <w:t>清单</w:t>
      </w:r>
      <w:r w:rsidR="00FA2D70">
        <w:rPr>
          <w:rFonts w:hint="eastAsia"/>
          <w:lang w:eastAsia="zh-CN"/>
        </w:rPr>
        <w:t>阐明了</w:t>
      </w:r>
      <w:r w:rsidR="00FA2D70">
        <w:rPr>
          <w:lang w:eastAsia="zh-CN"/>
        </w:rPr>
        <w:t>对</w:t>
      </w:r>
      <w:r w:rsidR="004D3E02">
        <w:rPr>
          <w:lang w:eastAsia="zh-CN"/>
        </w:rPr>
        <w:t>关键领域风险的</w:t>
      </w:r>
      <w:r w:rsidR="00FA2D70">
        <w:rPr>
          <w:rFonts w:hint="eastAsia"/>
          <w:lang w:eastAsia="zh-CN"/>
        </w:rPr>
        <w:t>承受</w:t>
      </w:r>
      <w:r w:rsidR="004D3E02">
        <w:rPr>
          <w:lang w:eastAsia="zh-CN"/>
        </w:rPr>
        <w:t>意愿。</w:t>
      </w:r>
      <w:bookmarkEnd w:id="5"/>
    </w:p>
    <w:p w:rsidR="00441F32" w:rsidRPr="00441F32" w:rsidRDefault="00441F32" w:rsidP="00FA2D70">
      <w:pPr>
        <w:pStyle w:val="enumlev1"/>
        <w:rPr>
          <w:lang w:eastAsia="zh-CN"/>
        </w:rPr>
      </w:pPr>
      <w:bookmarkStart w:id="6" w:name="lt_pId049"/>
      <w:r w:rsidRPr="00441F32">
        <w:rPr>
          <w:lang w:eastAsia="zh-CN"/>
        </w:rPr>
        <w:t>–</w:t>
      </w:r>
      <w:r>
        <w:rPr>
          <w:lang w:eastAsia="zh-CN"/>
        </w:rPr>
        <w:tab/>
      </w:r>
      <w:r w:rsidR="004D3E02">
        <w:rPr>
          <w:rFonts w:hint="eastAsia"/>
          <w:lang w:eastAsia="zh-CN"/>
        </w:rPr>
        <w:t>有关</w:t>
      </w:r>
      <w:r w:rsidR="004D3E02">
        <w:rPr>
          <w:lang w:eastAsia="zh-CN"/>
        </w:rPr>
        <w:t>战略目标和部门目标的实现：</w:t>
      </w:r>
      <w:bookmarkEnd w:id="6"/>
    </w:p>
    <w:p w:rsidR="00441F32" w:rsidRPr="00441F32" w:rsidRDefault="00441F32" w:rsidP="00FA3F8A">
      <w:pPr>
        <w:pStyle w:val="enumlev2"/>
        <w:rPr>
          <w:lang w:eastAsia="zh-CN"/>
        </w:rPr>
      </w:pPr>
      <w:bookmarkStart w:id="7" w:name="lt_pId050"/>
      <w:r w:rsidRPr="00441F32">
        <w:rPr>
          <w:lang w:eastAsia="zh-CN"/>
        </w:rPr>
        <w:t>•</w:t>
      </w:r>
      <w:r>
        <w:rPr>
          <w:lang w:eastAsia="zh-CN"/>
        </w:rPr>
        <w:tab/>
      </w:r>
      <w:r w:rsidR="004D3E02">
        <w:rPr>
          <w:rFonts w:hint="eastAsia"/>
          <w:lang w:eastAsia="zh-CN"/>
        </w:rPr>
        <w:t>对</w:t>
      </w:r>
      <w:r w:rsidR="00FA2D70">
        <w:rPr>
          <w:lang w:eastAsia="zh-CN"/>
        </w:rPr>
        <w:t>威胁</w:t>
      </w:r>
      <w:r w:rsidR="004D3E02">
        <w:rPr>
          <w:lang w:eastAsia="zh-CN"/>
        </w:rPr>
        <w:t>有效和高效实现组织</w:t>
      </w:r>
      <w:r w:rsidR="00FA2D70">
        <w:rPr>
          <w:rFonts w:hint="eastAsia"/>
          <w:lang w:eastAsia="zh-CN"/>
        </w:rPr>
        <w:t>总</w:t>
      </w:r>
      <w:r w:rsidR="00FA2D70">
        <w:rPr>
          <w:lang w:eastAsia="zh-CN"/>
        </w:rPr>
        <w:t>体</w:t>
      </w:r>
      <w:r w:rsidR="004D3E02">
        <w:rPr>
          <w:lang w:eastAsia="zh-CN"/>
        </w:rPr>
        <w:t>战略目标和部门目标低</w:t>
      </w:r>
      <w:r w:rsidR="004D3E02">
        <w:rPr>
          <w:rFonts w:hint="eastAsia"/>
          <w:lang w:eastAsia="zh-CN"/>
        </w:rPr>
        <w:t>偏好</w:t>
      </w:r>
      <w:bookmarkEnd w:id="7"/>
      <w:r w:rsidR="00FA3F8A">
        <w:rPr>
          <w:rFonts w:hint="eastAsia"/>
          <w:lang w:eastAsia="zh-CN"/>
        </w:rPr>
        <w:t>；</w:t>
      </w:r>
      <w:r w:rsidR="004D3E02">
        <w:rPr>
          <w:lang w:eastAsia="zh-CN"/>
        </w:rPr>
        <w:t>以及</w:t>
      </w:r>
    </w:p>
    <w:p w:rsidR="00441F32" w:rsidRPr="00441F32" w:rsidRDefault="00441F32" w:rsidP="00FA2D70">
      <w:pPr>
        <w:pStyle w:val="enumlev2"/>
        <w:rPr>
          <w:lang w:eastAsia="zh-CN"/>
        </w:rPr>
      </w:pPr>
      <w:bookmarkStart w:id="8" w:name="lt_pId052"/>
      <w:r w:rsidRPr="00441F32">
        <w:rPr>
          <w:lang w:eastAsia="zh-CN"/>
        </w:rPr>
        <w:t>•</w:t>
      </w:r>
      <w:r>
        <w:rPr>
          <w:lang w:eastAsia="zh-CN"/>
        </w:rPr>
        <w:tab/>
      </w:r>
      <w:r w:rsidR="004D3E02">
        <w:rPr>
          <w:rFonts w:hint="eastAsia"/>
          <w:lang w:eastAsia="zh-CN"/>
        </w:rPr>
        <w:t>对</w:t>
      </w:r>
      <w:r w:rsidR="004D3E02">
        <w:rPr>
          <w:lang w:eastAsia="zh-CN"/>
        </w:rPr>
        <w:t>创新和技术进步相关风险的高偏好</w:t>
      </w:r>
      <w:bookmarkEnd w:id="8"/>
      <w:r w:rsidR="00FA3F8A">
        <w:rPr>
          <w:rFonts w:hint="eastAsia"/>
          <w:lang w:eastAsia="zh-CN"/>
        </w:rPr>
        <w:t>。</w:t>
      </w:r>
    </w:p>
    <w:p w:rsidR="00441F32" w:rsidRPr="00441F32" w:rsidRDefault="00441F32" w:rsidP="00FA2D70">
      <w:pPr>
        <w:pStyle w:val="enumlev1"/>
        <w:rPr>
          <w:lang w:eastAsia="zh-CN"/>
        </w:rPr>
      </w:pPr>
      <w:bookmarkStart w:id="9" w:name="lt_pId053"/>
      <w:r w:rsidRPr="00441F32">
        <w:rPr>
          <w:lang w:eastAsia="zh-CN"/>
        </w:rPr>
        <w:t>–</w:t>
      </w:r>
      <w:r w:rsidRPr="00441F32">
        <w:rPr>
          <w:lang w:eastAsia="zh-CN"/>
        </w:rPr>
        <w:tab/>
      </w:r>
      <w:r w:rsidR="004D3E02">
        <w:rPr>
          <w:rFonts w:hint="eastAsia"/>
          <w:lang w:eastAsia="zh-CN"/>
        </w:rPr>
        <w:t>有关</w:t>
      </w:r>
      <w:r w:rsidR="004D3E02">
        <w:rPr>
          <w:lang w:eastAsia="zh-CN"/>
        </w:rPr>
        <w:t>所提供的服务</w:t>
      </w:r>
      <w:bookmarkEnd w:id="9"/>
      <w:r w:rsidR="00FA2D70">
        <w:rPr>
          <w:rFonts w:hint="eastAsia"/>
          <w:lang w:eastAsia="zh-CN"/>
        </w:rPr>
        <w:t>：</w:t>
      </w:r>
    </w:p>
    <w:p w:rsidR="00441F32" w:rsidRPr="00441F32" w:rsidRDefault="00441F32" w:rsidP="00FA2D70">
      <w:pPr>
        <w:pStyle w:val="enumlev2"/>
        <w:rPr>
          <w:lang w:eastAsia="zh-CN"/>
        </w:rPr>
      </w:pPr>
      <w:bookmarkStart w:id="10" w:name="lt_pId054"/>
      <w:r w:rsidRPr="00441F32">
        <w:rPr>
          <w:lang w:eastAsia="zh-CN"/>
        </w:rPr>
        <w:t>•</w:t>
      </w:r>
      <w:r w:rsidRPr="00441F32">
        <w:rPr>
          <w:lang w:eastAsia="zh-CN"/>
        </w:rPr>
        <w:tab/>
      </w:r>
      <w:r w:rsidR="004D3E02">
        <w:rPr>
          <w:rFonts w:hint="eastAsia"/>
          <w:lang w:eastAsia="zh-CN"/>
        </w:rPr>
        <w:t>对</w:t>
      </w:r>
      <w:r w:rsidR="004D3E02">
        <w:rPr>
          <w:lang w:eastAsia="zh-CN"/>
        </w:rPr>
        <w:t>组织</w:t>
      </w:r>
      <w:r w:rsidR="00FA2D70">
        <w:rPr>
          <w:rFonts w:hint="eastAsia"/>
          <w:lang w:eastAsia="zh-CN"/>
        </w:rPr>
        <w:t>服务对</w:t>
      </w:r>
      <w:r w:rsidR="00FA2D70">
        <w:rPr>
          <w:lang w:eastAsia="zh-CN"/>
        </w:rPr>
        <w:t>象</w:t>
      </w:r>
      <w:r w:rsidR="004D3E02">
        <w:rPr>
          <w:lang w:eastAsia="zh-CN"/>
        </w:rPr>
        <w:t>提供的</w:t>
      </w:r>
      <w:r w:rsidR="004D3E02">
        <w:rPr>
          <w:rFonts w:hint="eastAsia"/>
          <w:lang w:eastAsia="zh-CN"/>
        </w:rPr>
        <w:t>服务</w:t>
      </w:r>
      <w:r w:rsidR="004D3E02">
        <w:rPr>
          <w:lang w:eastAsia="zh-CN"/>
        </w:rPr>
        <w:t>质量的低风险偏好</w:t>
      </w:r>
      <w:bookmarkEnd w:id="10"/>
      <w:r w:rsidR="00FA3F8A">
        <w:rPr>
          <w:rFonts w:hint="eastAsia"/>
          <w:lang w:eastAsia="zh-CN"/>
        </w:rPr>
        <w:t>。</w:t>
      </w:r>
    </w:p>
    <w:p w:rsidR="00441F32" w:rsidRPr="00441F32" w:rsidRDefault="00441F32" w:rsidP="00FA2D70">
      <w:pPr>
        <w:pStyle w:val="enumlev1"/>
        <w:rPr>
          <w:lang w:eastAsia="zh-CN"/>
        </w:rPr>
      </w:pPr>
      <w:bookmarkStart w:id="11" w:name="lt_pId055"/>
      <w:r w:rsidRPr="00441F32">
        <w:rPr>
          <w:lang w:eastAsia="zh-CN"/>
        </w:rPr>
        <w:t>–</w:t>
      </w:r>
      <w:r w:rsidRPr="00441F32">
        <w:rPr>
          <w:lang w:eastAsia="zh-CN"/>
        </w:rPr>
        <w:tab/>
      </w:r>
      <w:r w:rsidR="00FA2D70">
        <w:rPr>
          <w:rFonts w:hint="eastAsia"/>
          <w:lang w:eastAsia="zh-CN"/>
        </w:rPr>
        <w:t>有关</w:t>
      </w:r>
      <w:r w:rsidR="004D3E02">
        <w:rPr>
          <w:lang w:eastAsia="zh-CN"/>
        </w:rPr>
        <w:t>内部管理和控制</w:t>
      </w:r>
      <w:bookmarkEnd w:id="11"/>
      <w:r w:rsidR="00FA2D70">
        <w:rPr>
          <w:rFonts w:hint="eastAsia"/>
          <w:lang w:eastAsia="zh-CN"/>
        </w:rPr>
        <w:t>：</w:t>
      </w:r>
    </w:p>
    <w:p w:rsidR="00441F32" w:rsidRPr="00441F32" w:rsidRDefault="00441F32" w:rsidP="00FA2D70">
      <w:pPr>
        <w:pStyle w:val="enumlev2"/>
        <w:rPr>
          <w:lang w:eastAsia="zh-CN"/>
        </w:rPr>
      </w:pPr>
      <w:bookmarkStart w:id="12" w:name="lt_pId056"/>
      <w:r w:rsidRPr="00441F32">
        <w:rPr>
          <w:lang w:eastAsia="zh-CN"/>
        </w:rPr>
        <w:t>•</w:t>
      </w:r>
      <w:r w:rsidRPr="00441F32">
        <w:rPr>
          <w:lang w:eastAsia="zh-CN"/>
        </w:rPr>
        <w:tab/>
      </w:r>
      <w:r w:rsidR="004D3E02">
        <w:rPr>
          <w:rFonts w:hint="eastAsia"/>
          <w:lang w:eastAsia="zh-CN"/>
        </w:rPr>
        <w:t>在</w:t>
      </w:r>
      <w:r w:rsidR="004D3E02">
        <w:rPr>
          <w:lang w:eastAsia="zh-CN"/>
        </w:rPr>
        <w:t>欺诈、腐败、非法行为</w:t>
      </w:r>
      <w:r w:rsidR="004D3E02">
        <w:rPr>
          <w:rFonts w:hint="eastAsia"/>
          <w:lang w:eastAsia="zh-CN"/>
        </w:rPr>
        <w:t>和</w:t>
      </w:r>
      <w:r w:rsidR="009670AD">
        <w:rPr>
          <w:rFonts w:hint="eastAsia"/>
          <w:lang w:eastAsia="zh-CN"/>
        </w:rPr>
        <w:t>胡作非为</w:t>
      </w:r>
      <w:r w:rsidR="009670AD">
        <w:rPr>
          <w:lang w:eastAsia="zh-CN"/>
        </w:rPr>
        <w:t>方面无偏好</w:t>
      </w:r>
      <w:r w:rsidR="00FA2D70">
        <w:rPr>
          <w:rFonts w:hint="eastAsia"/>
          <w:lang w:eastAsia="zh-CN"/>
        </w:rPr>
        <w:t>（即</w:t>
      </w:r>
      <w:r w:rsidR="009670AD">
        <w:rPr>
          <w:rFonts w:hint="eastAsia"/>
          <w:lang w:eastAsia="zh-CN"/>
        </w:rPr>
        <w:t>零</w:t>
      </w:r>
      <w:r w:rsidR="009670AD">
        <w:rPr>
          <w:lang w:eastAsia="zh-CN"/>
        </w:rPr>
        <w:t>容忍度</w:t>
      </w:r>
      <w:bookmarkEnd w:id="12"/>
      <w:r w:rsidR="00FA2D70">
        <w:rPr>
          <w:rFonts w:hint="eastAsia"/>
          <w:lang w:eastAsia="zh-CN"/>
        </w:rPr>
        <w:t>）</w:t>
      </w:r>
      <w:r w:rsidR="009670AD">
        <w:rPr>
          <w:rFonts w:hint="eastAsia"/>
          <w:lang w:eastAsia="zh-CN"/>
        </w:rPr>
        <w:t>；</w:t>
      </w:r>
    </w:p>
    <w:p w:rsidR="00441F32" w:rsidRPr="00441F32" w:rsidRDefault="00441F32" w:rsidP="00FA2D70">
      <w:pPr>
        <w:pStyle w:val="enumlev2"/>
        <w:rPr>
          <w:lang w:eastAsia="zh-CN"/>
        </w:rPr>
      </w:pPr>
      <w:bookmarkStart w:id="13" w:name="lt_pId057"/>
      <w:r w:rsidRPr="00441F32">
        <w:rPr>
          <w:lang w:eastAsia="zh-CN"/>
        </w:rPr>
        <w:t>•</w:t>
      </w:r>
      <w:r w:rsidRPr="00441F32">
        <w:rPr>
          <w:lang w:eastAsia="zh-CN"/>
        </w:rPr>
        <w:tab/>
      </w:r>
      <w:r w:rsidR="009670AD">
        <w:rPr>
          <w:rFonts w:hint="eastAsia"/>
          <w:lang w:eastAsia="zh-CN"/>
        </w:rPr>
        <w:t>对</w:t>
      </w:r>
      <w:r w:rsidR="009670AD">
        <w:rPr>
          <w:lang w:eastAsia="zh-CN"/>
        </w:rPr>
        <w:t>人员安全相关风险和投诉的低偏好；</w:t>
      </w:r>
      <w:bookmarkEnd w:id="13"/>
      <w:r w:rsidR="009670AD">
        <w:rPr>
          <w:rFonts w:hint="eastAsia"/>
          <w:lang w:eastAsia="zh-CN"/>
        </w:rPr>
        <w:t>以及</w:t>
      </w:r>
    </w:p>
    <w:p w:rsidR="00441F32" w:rsidRPr="00441F32" w:rsidRDefault="00441F32" w:rsidP="00FA2D70">
      <w:pPr>
        <w:pStyle w:val="enumlev2"/>
        <w:rPr>
          <w:lang w:eastAsia="zh-CN"/>
        </w:rPr>
      </w:pPr>
      <w:bookmarkStart w:id="14" w:name="lt_pId059"/>
      <w:r w:rsidRPr="00441F32">
        <w:rPr>
          <w:lang w:eastAsia="zh-CN"/>
        </w:rPr>
        <w:t>•</w:t>
      </w:r>
      <w:r w:rsidRPr="00441F32">
        <w:rPr>
          <w:lang w:eastAsia="zh-CN"/>
        </w:rPr>
        <w:tab/>
      </w:r>
      <w:r w:rsidR="009670AD">
        <w:rPr>
          <w:rFonts w:hint="eastAsia"/>
          <w:lang w:eastAsia="zh-CN"/>
        </w:rPr>
        <w:t>对</w:t>
      </w:r>
      <w:r w:rsidR="009670AD">
        <w:rPr>
          <w:lang w:eastAsia="zh-CN"/>
        </w:rPr>
        <w:t>严重安全违规、非法进入或</w:t>
      </w:r>
      <w:r w:rsidR="009670AD">
        <w:rPr>
          <w:rFonts w:hint="eastAsia"/>
          <w:lang w:eastAsia="zh-CN"/>
        </w:rPr>
        <w:t>保密记录</w:t>
      </w:r>
      <w:r w:rsidR="00EA1DD5">
        <w:rPr>
          <w:rFonts w:hint="eastAsia"/>
          <w:lang w:eastAsia="zh-CN"/>
        </w:rPr>
        <w:t>（如</w:t>
      </w:r>
      <w:r w:rsidR="00EA1DD5">
        <w:rPr>
          <w:lang w:eastAsia="zh-CN"/>
        </w:rPr>
        <w:t>频率登记数据库</w:t>
      </w:r>
      <w:r w:rsidR="00EA1DD5">
        <w:rPr>
          <w:rFonts w:hint="eastAsia"/>
          <w:lang w:eastAsia="zh-CN"/>
        </w:rPr>
        <w:t>）</w:t>
      </w:r>
      <w:r w:rsidR="00FA2D70">
        <w:rPr>
          <w:rFonts w:hint="eastAsia"/>
          <w:lang w:eastAsia="zh-CN"/>
        </w:rPr>
        <w:t>的</w:t>
      </w:r>
      <w:r w:rsidR="009670AD">
        <w:rPr>
          <w:lang w:eastAsia="zh-CN"/>
        </w:rPr>
        <w:t>丢失的极低</w:t>
      </w:r>
      <w:bookmarkEnd w:id="14"/>
      <w:r w:rsidR="00FA2D70">
        <w:rPr>
          <w:lang w:eastAsia="zh-CN"/>
        </w:rPr>
        <w:t>风险</w:t>
      </w:r>
      <w:r w:rsidR="00FA2D70">
        <w:rPr>
          <w:rFonts w:hint="eastAsia"/>
          <w:lang w:eastAsia="zh-CN"/>
        </w:rPr>
        <w:t>偏</w:t>
      </w:r>
      <w:r w:rsidR="00FA2D70">
        <w:rPr>
          <w:lang w:eastAsia="zh-CN"/>
        </w:rPr>
        <w:t>好</w:t>
      </w:r>
      <w:r w:rsidR="00FA3F8A">
        <w:rPr>
          <w:rFonts w:hint="eastAsia"/>
          <w:lang w:eastAsia="zh-CN"/>
        </w:rPr>
        <w:t>。</w:t>
      </w:r>
    </w:p>
    <w:p w:rsidR="00441F32" w:rsidRPr="00441F32" w:rsidRDefault="00441F32" w:rsidP="00FA2D70">
      <w:pPr>
        <w:pStyle w:val="enumlev1"/>
        <w:rPr>
          <w:lang w:eastAsia="zh-CN"/>
        </w:rPr>
      </w:pPr>
      <w:bookmarkStart w:id="15" w:name="lt_pId060"/>
      <w:r w:rsidRPr="00441F32">
        <w:rPr>
          <w:lang w:eastAsia="zh-CN"/>
        </w:rPr>
        <w:t>–</w:t>
      </w:r>
      <w:r w:rsidRPr="00441F32">
        <w:rPr>
          <w:lang w:eastAsia="zh-CN"/>
        </w:rPr>
        <w:tab/>
      </w:r>
      <w:r w:rsidR="00EA1DD5">
        <w:rPr>
          <w:rFonts w:hint="eastAsia"/>
          <w:lang w:eastAsia="zh-CN"/>
        </w:rPr>
        <w:t>有关声誉</w:t>
      </w:r>
      <w:r w:rsidR="00EA1DD5">
        <w:rPr>
          <w:lang w:eastAsia="zh-CN"/>
        </w:rPr>
        <w:t>影响</w:t>
      </w:r>
      <w:r w:rsidR="00FA2D70">
        <w:rPr>
          <w:rFonts w:hint="eastAsia"/>
          <w:lang w:eastAsia="zh-CN"/>
        </w:rPr>
        <w:t>：</w:t>
      </w:r>
      <w:bookmarkEnd w:id="15"/>
    </w:p>
    <w:p w:rsidR="00441F32" w:rsidRPr="00441F32" w:rsidRDefault="00441F32" w:rsidP="00FA2D70">
      <w:pPr>
        <w:pStyle w:val="enumlev2"/>
        <w:rPr>
          <w:lang w:eastAsia="zh-CN"/>
        </w:rPr>
      </w:pPr>
      <w:bookmarkStart w:id="16" w:name="lt_pId061"/>
      <w:r w:rsidRPr="00441F32">
        <w:rPr>
          <w:lang w:eastAsia="zh-CN"/>
        </w:rPr>
        <w:t>•</w:t>
      </w:r>
      <w:r w:rsidRPr="00441F32">
        <w:rPr>
          <w:lang w:eastAsia="zh-CN"/>
        </w:rPr>
        <w:tab/>
      </w:r>
      <w:r w:rsidR="00EA1DD5">
        <w:rPr>
          <w:rFonts w:hint="eastAsia"/>
          <w:lang w:eastAsia="zh-CN"/>
        </w:rPr>
        <w:t>对</w:t>
      </w:r>
      <w:r w:rsidR="00EA1DD5">
        <w:rPr>
          <w:lang w:eastAsia="zh-CN"/>
        </w:rPr>
        <w:t>严重</w:t>
      </w:r>
      <w:r w:rsidR="00FA2D70">
        <w:rPr>
          <w:rFonts w:hint="eastAsia"/>
          <w:lang w:eastAsia="zh-CN"/>
        </w:rPr>
        <w:t>损</w:t>
      </w:r>
      <w:r w:rsidR="00EA1DD5">
        <w:rPr>
          <w:lang w:eastAsia="zh-CN"/>
        </w:rPr>
        <w:t>害国际电联声誉的风险的低偏好</w:t>
      </w:r>
      <w:bookmarkEnd w:id="16"/>
      <w:r w:rsidR="00FA3F8A">
        <w:rPr>
          <w:rFonts w:hint="eastAsia"/>
          <w:lang w:eastAsia="zh-CN"/>
        </w:rPr>
        <w:t>。</w:t>
      </w:r>
    </w:p>
    <w:p w:rsidR="00441F32" w:rsidRPr="00441F32" w:rsidRDefault="00441F32" w:rsidP="00EA1DD5">
      <w:pPr>
        <w:pStyle w:val="Heading1"/>
        <w:rPr>
          <w:lang w:eastAsia="zh-CN"/>
        </w:rPr>
      </w:pPr>
      <w:bookmarkStart w:id="17" w:name="lt_pId062"/>
      <w:r w:rsidRPr="00441F32">
        <w:rPr>
          <w:lang w:eastAsia="zh-CN"/>
        </w:rPr>
        <w:t>3</w:t>
      </w:r>
      <w:r w:rsidRPr="00441F32">
        <w:rPr>
          <w:lang w:eastAsia="zh-CN"/>
        </w:rPr>
        <w:tab/>
      </w:r>
      <w:bookmarkEnd w:id="17"/>
      <w:r w:rsidR="00EA1DD5">
        <w:rPr>
          <w:rFonts w:hint="eastAsia"/>
          <w:lang w:eastAsia="zh-CN"/>
        </w:rPr>
        <w:t>审议</w:t>
      </w:r>
    </w:p>
    <w:p w:rsidR="00441F32" w:rsidRDefault="00EA1DD5" w:rsidP="00FA2D70">
      <w:pPr>
        <w:snapToGrid w:val="0"/>
        <w:spacing w:after="120"/>
        <w:ind w:firstLineChars="200" w:firstLine="480"/>
        <w:jc w:val="both"/>
        <w:rPr>
          <w:lang w:eastAsia="zh-CN"/>
        </w:rPr>
      </w:pPr>
      <w:bookmarkStart w:id="18" w:name="lt_pId063"/>
      <w:r>
        <w:rPr>
          <w:rFonts w:hint="eastAsia"/>
          <w:lang w:eastAsia="zh-CN"/>
        </w:rPr>
        <w:t>该</w:t>
      </w:r>
      <w:r>
        <w:rPr>
          <w:lang w:eastAsia="zh-CN"/>
        </w:rPr>
        <w:t>陈述书</w:t>
      </w:r>
      <w:r>
        <w:rPr>
          <w:rFonts w:hint="eastAsia"/>
          <w:lang w:eastAsia="zh-CN"/>
        </w:rPr>
        <w:t>在</w:t>
      </w:r>
      <w:r>
        <w:rPr>
          <w:lang w:eastAsia="zh-CN"/>
        </w:rPr>
        <w:t>拟定中铭记</w:t>
      </w:r>
      <w:r>
        <w:rPr>
          <w:rFonts w:hint="eastAsia"/>
          <w:lang w:eastAsia="zh-CN"/>
        </w:rPr>
        <w:t>风险</w:t>
      </w:r>
      <w:r>
        <w:rPr>
          <w:lang w:eastAsia="zh-CN"/>
        </w:rPr>
        <w:t>偏好</w:t>
      </w:r>
      <w:r>
        <w:rPr>
          <w:rFonts w:hint="eastAsia"/>
          <w:lang w:eastAsia="zh-CN"/>
        </w:rPr>
        <w:t>将</w:t>
      </w:r>
      <w:r>
        <w:rPr>
          <w:lang w:eastAsia="zh-CN"/>
        </w:rPr>
        <w:t>不断变化。</w:t>
      </w:r>
      <w:r>
        <w:rPr>
          <w:rFonts w:hint="eastAsia"/>
          <w:lang w:eastAsia="zh-CN"/>
        </w:rPr>
        <w:t>风险</w:t>
      </w:r>
      <w:r>
        <w:rPr>
          <w:lang w:eastAsia="zh-CN"/>
        </w:rPr>
        <w:t>偏好陈述书采用的结构可对任何变化做出迅速反应。监督</w:t>
      </w:r>
      <w:r>
        <w:rPr>
          <w:rFonts w:hint="eastAsia"/>
          <w:lang w:eastAsia="zh-CN"/>
        </w:rPr>
        <w:t>和审议</w:t>
      </w:r>
      <w:r>
        <w:rPr>
          <w:lang w:eastAsia="zh-CN"/>
        </w:rPr>
        <w:t>应</w:t>
      </w:r>
      <w:r>
        <w:rPr>
          <w:rFonts w:hint="eastAsia"/>
          <w:lang w:eastAsia="zh-CN"/>
        </w:rPr>
        <w:t>着眼于</w:t>
      </w:r>
      <w:r>
        <w:rPr>
          <w:lang w:eastAsia="zh-CN"/>
        </w:rPr>
        <w:t>培育风险意识文化。</w:t>
      </w:r>
      <w:bookmarkEnd w:id="18"/>
    </w:p>
    <w:p w:rsidR="00441F32" w:rsidRDefault="00EA1DD5" w:rsidP="00FA2D70">
      <w:pPr>
        <w:snapToGrid w:val="0"/>
        <w:spacing w:after="120"/>
        <w:ind w:firstLineChars="200" w:firstLine="480"/>
        <w:jc w:val="both"/>
        <w:rPr>
          <w:lang w:eastAsia="zh-CN"/>
        </w:rPr>
      </w:pPr>
      <w:bookmarkStart w:id="19" w:name="lt_pId066"/>
      <w:r>
        <w:rPr>
          <w:rFonts w:hint="eastAsia"/>
          <w:lang w:eastAsia="zh-CN"/>
        </w:rPr>
        <w:t>风险</w:t>
      </w:r>
      <w:r>
        <w:rPr>
          <w:lang w:eastAsia="zh-CN"/>
        </w:rPr>
        <w:t>偏好陈述书每年审议一次，或在发生重大变化</w:t>
      </w:r>
      <w:r>
        <w:rPr>
          <w:rFonts w:hint="eastAsia"/>
          <w:lang w:eastAsia="zh-CN"/>
        </w:rPr>
        <w:t>时</w:t>
      </w:r>
      <w:r>
        <w:rPr>
          <w:lang w:eastAsia="zh-CN"/>
        </w:rPr>
        <w:t>随时审议。</w:t>
      </w:r>
      <w:bookmarkEnd w:id="19"/>
    </w:p>
    <w:p w:rsidR="00B45365" w:rsidRPr="00BB2705" w:rsidRDefault="00B45365" w:rsidP="00280EB8">
      <w:pPr>
        <w:rPr>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8E5" w:rsidRDefault="000168E5">
      <w:r>
        <w:separator/>
      </w:r>
    </w:p>
  </w:endnote>
  <w:endnote w:type="continuationSeparator" w:id="0">
    <w:p w:rsidR="000168E5" w:rsidRDefault="0001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637FB0" w:rsidRDefault="00FA3F8A" w:rsidP="00F705DF">
    <w:pPr>
      <w:pStyle w:val="Footer"/>
      <w:rPr>
        <w:color w:val="D9D9D9" w:themeColor="background1" w:themeShade="D9"/>
      </w:rPr>
    </w:pPr>
    <w:r w:rsidRPr="00637FB0">
      <w:rPr>
        <w:color w:val="D9D9D9" w:themeColor="background1" w:themeShade="D9"/>
      </w:rPr>
      <w:fldChar w:fldCharType="begin"/>
    </w:r>
    <w:r w:rsidRPr="00637FB0">
      <w:rPr>
        <w:color w:val="D9D9D9" w:themeColor="background1" w:themeShade="D9"/>
      </w:rPr>
      <w:instrText xml:space="preserve"> FILENAME \p  \* MERGEFORMAT </w:instrText>
    </w:r>
    <w:r w:rsidRPr="00637FB0">
      <w:rPr>
        <w:color w:val="D9D9D9" w:themeColor="background1" w:themeShade="D9"/>
      </w:rPr>
      <w:fldChar w:fldCharType="separate"/>
    </w:r>
    <w:r w:rsidR="00867A20" w:rsidRPr="00637FB0">
      <w:rPr>
        <w:color w:val="D9D9D9" w:themeColor="background1" w:themeShade="D9"/>
      </w:rPr>
      <w:t>P:\CHI\SG\CONSEIL\C17\000\073C.docx</w:t>
    </w:r>
    <w:r w:rsidRPr="00637FB0">
      <w:rPr>
        <w:color w:val="D9D9D9" w:themeColor="background1" w:themeShade="D9"/>
      </w:rPr>
      <w:fldChar w:fldCharType="end"/>
    </w:r>
    <w:r w:rsidR="002B7DB6" w:rsidRPr="00637FB0">
      <w:rPr>
        <w:color w:val="D9D9D9" w:themeColor="background1" w:themeShade="D9"/>
      </w:rPr>
      <w:t xml:space="preserve"> (415687)</w:t>
    </w:r>
    <w:r w:rsidR="004E4BFF" w:rsidRPr="00637FB0">
      <w:rPr>
        <w:color w:val="D9D9D9" w:themeColor="background1" w:themeShade="D9"/>
      </w:rPr>
      <w:tab/>
    </w:r>
    <w:r w:rsidR="004E4BFF" w:rsidRPr="00637FB0">
      <w:rPr>
        <w:color w:val="D9D9D9" w:themeColor="background1" w:themeShade="D9"/>
      </w:rPr>
      <w:fldChar w:fldCharType="begin"/>
    </w:r>
    <w:r w:rsidR="004E4BFF" w:rsidRPr="00637FB0">
      <w:rPr>
        <w:color w:val="D9D9D9" w:themeColor="background1" w:themeShade="D9"/>
      </w:rPr>
      <w:instrText xml:space="preserve"> SAVEDATE \@ DD.MM.YY </w:instrText>
    </w:r>
    <w:r w:rsidR="004E4BFF" w:rsidRPr="00637FB0">
      <w:rPr>
        <w:color w:val="D9D9D9" w:themeColor="background1" w:themeShade="D9"/>
      </w:rPr>
      <w:fldChar w:fldCharType="separate"/>
    </w:r>
    <w:r w:rsidR="00637FB0" w:rsidRPr="00637FB0">
      <w:rPr>
        <w:color w:val="D9D9D9" w:themeColor="background1" w:themeShade="D9"/>
      </w:rPr>
      <w:t>20.04.17</w:t>
    </w:r>
    <w:r w:rsidR="004E4BFF" w:rsidRPr="00637FB0">
      <w:rPr>
        <w:color w:val="D9D9D9" w:themeColor="background1" w:themeShade="D9"/>
      </w:rPr>
      <w:fldChar w:fldCharType="end"/>
    </w:r>
    <w:r w:rsidR="004E4BFF" w:rsidRPr="00637FB0">
      <w:rPr>
        <w:color w:val="D9D9D9" w:themeColor="background1" w:themeShade="D9"/>
      </w:rPr>
      <w:tab/>
    </w:r>
    <w:r w:rsidR="004E4BFF" w:rsidRPr="00637FB0">
      <w:rPr>
        <w:color w:val="D9D9D9" w:themeColor="background1" w:themeShade="D9"/>
      </w:rPr>
      <w:fldChar w:fldCharType="begin"/>
    </w:r>
    <w:r w:rsidR="004E4BFF" w:rsidRPr="00637FB0">
      <w:rPr>
        <w:color w:val="D9D9D9" w:themeColor="background1" w:themeShade="D9"/>
      </w:rPr>
      <w:instrText xml:space="preserve"> PRINTDATE \@ DD.MM.YY </w:instrText>
    </w:r>
    <w:r w:rsidR="004E4BFF" w:rsidRPr="00637FB0">
      <w:rPr>
        <w:color w:val="D9D9D9" w:themeColor="background1" w:themeShade="D9"/>
      </w:rPr>
      <w:fldChar w:fldCharType="separate"/>
    </w:r>
    <w:r w:rsidR="000168E5" w:rsidRPr="00637FB0">
      <w:rPr>
        <w:color w:val="D9D9D9" w:themeColor="background1" w:themeShade="D9"/>
      </w:rPr>
      <w:t>24.02.15</w:t>
    </w:r>
    <w:r w:rsidR="004E4BFF" w:rsidRPr="00637FB0">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Pr="00637FB0" w:rsidRDefault="00637FB0" w:rsidP="002B7DB6">
    <w:pPr>
      <w:pStyle w:val="Footer"/>
      <w:rPr>
        <w:color w:val="D9D9D9" w:themeColor="background1" w:themeShade="D9"/>
      </w:rPr>
    </w:pPr>
    <w:r w:rsidRPr="00637FB0">
      <w:rPr>
        <w:color w:val="D9D9D9" w:themeColor="background1" w:themeShade="D9"/>
      </w:rPr>
      <w:fldChar w:fldCharType="begin"/>
    </w:r>
    <w:r w:rsidRPr="00637FB0">
      <w:rPr>
        <w:color w:val="D9D9D9" w:themeColor="background1" w:themeShade="D9"/>
      </w:rPr>
      <w:instrText xml:space="preserve"> FILENAME \p  \* MERGEFORMAT </w:instrText>
    </w:r>
    <w:r w:rsidRPr="00637FB0">
      <w:rPr>
        <w:color w:val="D9D9D9" w:themeColor="background1" w:themeShade="D9"/>
      </w:rPr>
      <w:fldChar w:fldCharType="separate"/>
    </w:r>
    <w:r w:rsidR="00867A20" w:rsidRPr="00637FB0">
      <w:rPr>
        <w:color w:val="D9D9D9" w:themeColor="background1" w:themeShade="D9"/>
      </w:rPr>
      <w:t>P:\CHI\SG\CONSEIL\C17\000\073C.docx</w:t>
    </w:r>
    <w:r w:rsidRPr="00637FB0">
      <w:rPr>
        <w:color w:val="D9D9D9" w:themeColor="background1" w:themeShade="D9"/>
      </w:rPr>
      <w:fldChar w:fldCharType="end"/>
    </w:r>
    <w:r w:rsidR="002B7DB6" w:rsidRPr="00637FB0">
      <w:rPr>
        <w:color w:val="D9D9D9" w:themeColor="background1" w:themeShade="D9"/>
      </w:rPr>
      <w:t xml:space="preserve"> (415687)</w:t>
    </w:r>
    <w:r w:rsidR="00864589" w:rsidRPr="00637FB0">
      <w:rPr>
        <w:color w:val="D9D9D9" w:themeColor="background1" w:themeShade="D9"/>
      </w:rPr>
      <w:tab/>
    </w:r>
    <w:r w:rsidR="00864589" w:rsidRPr="00637FB0">
      <w:rPr>
        <w:color w:val="D9D9D9" w:themeColor="background1" w:themeShade="D9"/>
      </w:rPr>
      <w:fldChar w:fldCharType="begin"/>
    </w:r>
    <w:r w:rsidR="00864589" w:rsidRPr="00637FB0">
      <w:rPr>
        <w:color w:val="D9D9D9" w:themeColor="background1" w:themeShade="D9"/>
      </w:rPr>
      <w:instrText xml:space="preserve"> SAVEDATE \@ DD.MM.YY </w:instrText>
    </w:r>
    <w:r w:rsidR="00864589" w:rsidRPr="00637FB0">
      <w:rPr>
        <w:color w:val="D9D9D9" w:themeColor="background1" w:themeShade="D9"/>
      </w:rPr>
      <w:fldChar w:fldCharType="separate"/>
    </w:r>
    <w:r w:rsidRPr="00637FB0">
      <w:rPr>
        <w:color w:val="D9D9D9" w:themeColor="background1" w:themeShade="D9"/>
      </w:rPr>
      <w:t>20.04.17</w:t>
    </w:r>
    <w:r w:rsidR="00864589" w:rsidRPr="00637FB0">
      <w:rPr>
        <w:color w:val="D9D9D9" w:themeColor="background1" w:themeShade="D9"/>
      </w:rPr>
      <w:fldChar w:fldCharType="end"/>
    </w:r>
    <w:r w:rsidR="00864589" w:rsidRPr="00637FB0">
      <w:rPr>
        <w:color w:val="D9D9D9" w:themeColor="background1" w:themeShade="D9"/>
      </w:rPr>
      <w:tab/>
    </w:r>
    <w:r w:rsidR="00864589" w:rsidRPr="00637FB0">
      <w:rPr>
        <w:color w:val="D9D9D9" w:themeColor="background1" w:themeShade="D9"/>
      </w:rPr>
      <w:fldChar w:fldCharType="begin"/>
    </w:r>
    <w:r w:rsidR="00864589" w:rsidRPr="00637FB0">
      <w:rPr>
        <w:color w:val="D9D9D9" w:themeColor="background1" w:themeShade="D9"/>
      </w:rPr>
      <w:instrText xml:space="preserve"> PRINTDATE \@ DD.MM.YY </w:instrText>
    </w:r>
    <w:r w:rsidR="00864589" w:rsidRPr="00637FB0">
      <w:rPr>
        <w:color w:val="D9D9D9" w:themeColor="background1" w:themeShade="D9"/>
      </w:rPr>
      <w:fldChar w:fldCharType="separate"/>
    </w:r>
    <w:r w:rsidR="000168E5" w:rsidRPr="00637FB0">
      <w:rPr>
        <w:color w:val="D9D9D9" w:themeColor="background1" w:themeShade="D9"/>
      </w:rPr>
      <w:t>24.02.15</w:t>
    </w:r>
    <w:r w:rsidR="00864589" w:rsidRPr="00637FB0">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8E5" w:rsidRDefault="000168E5">
      <w:r>
        <w:t>____________________</w:t>
      </w:r>
    </w:p>
  </w:footnote>
  <w:footnote w:type="continuationSeparator" w:id="0">
    <w:p w:rsidR="000168E5" w:rsidRDefault="00016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637FB0">
      <w:rPr>
        <w:noProof/>
      </w:rPr>
      <w:t>2</w:t>
    </w:r>
    <w:r>
      <w:rPr>
        <w:noProof/>
      </w:rPr>
      <w:fldChar w:fldCharType="end"/>
    </w:r>
  </w:p>
  <w:p w:rsidR="00AC516F" w:rsidRDefault="0098459B" w:rsidP="002B7DB6">
    <w:pPr>
      <w:pStyle w:val="Header"/>
      <w:rPr>
        <w:lang w:eastAsia="zh-CN"/>
      </w:rPr>
    </w:pPr>
    <w:r>
      <w:t>C1</w:t>
    </w:r>
    <w:r w:rsidR="00A5354B">
      <w:rPr>
        <w:lang w:eastAsia="zh-CN"/>
      </w:rPr>
      <w:t>7</w:t>
    </w:r>
    <w:r w:rsidR="004672E6">
      <w:t>/</w:t>
    </w:r>
    <w:r w:rsidR="002B7DB6">
      <w:rPr>
        <w:lang w:eastAsia="zh-CN"/>
      </w:rPr>
      <w:t>73</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61244C"/>
    <w:multiLevelType w:val="hybridMultilevel"/>
    <w:tmpl w:val="4C26E0C0"/>
    <w:lvl w:ilvl="0" w:tplc="29CAB20E">
      <w:numFmt w:val="bullet"/>
      <w:lvlText w:val="-"/>
      <w:lvlJc w:val="left"/>
      <w:pPr>
        <w:ind w:left="360" w:hanging="360"/>
      </w:pPr>
      <w:rPr>
        <w:rFonts w:ascii="Calibri" w:eastAsiaTheme="minorEastAsia" w:hAnsi="Calibri" w:cstheme="minorBidi" w:hint="default"/>
      </w:rPr>
    </w:lvl>
    <w:lvl w:ilvl="1" w:tplc="4C4202F2">
      <w:start w:val="1"/>
      <w:numFmt w:val="bullet"/>
      <w:lvlText w:val="o"/>
      <w:lvlJc w:val="left"/>
      <w:pPr>
        <w:ind w:left="1080" w:hanging="360"/>
      </w:pPr>
      <w:rPr>
        <w:rFonts w:ascii="Courier New" w:hAnsi="Courier New" w:cs="Courier New" w:hint="default"/>
      </w:rPr>
    </w:lvl>
    <w:lvl w:ilvl="2" w:tplc="772C6202" w:tentative="1">
      <w:start w:val="1"/>
      <w:numFmt w:val="bullet"/>
      <w:lvlText w:val=""/>
      <w:lvlJc w:val="left"/>
      <w:pPr>
        <w:ind w:left="1800" w:hanging="360"/>
      </w:pPr>
      <w:rPr>
        <w:rFonts w:ascii="Wingdings" w:hAnsi="Wingdings" w:hint="default"/>
      </w:rPr>
    </w:lvl>
    <w:lvl w:ilvl="3" w:tplc="7966CE06" w:tentative="1">
      <w:start w:val="1"/>
      <w:numFmt w:val="bullet"/>
      <w:lvlText w:val=""/>
      <w:lvlJc w:val="left"/>
      <w:pPr>
        <w:ind w:left="2520" w:hanging="360"/>
      </w:pPr>
      <w:rPr>
        <w:rFonts w:ascii="Symbol" w:hAnsi="Symbol" w:hint="default"/>
      </w:rPr>
    </w:lvl>
    <w:lvl w:ilvl="4" w:tplc="4A54D596" w:tentative="1">
      <w:start w:val="1"/>
      <w:numFmt w:val="bullet"/>
      <w:lvlText w:val="o"/>
      <w:lvlJc w:val="left"/>
      <w:pPr>
        <w:ind w:left="3240" w:hanging="360"/>
      </w:pPr>
      <w:rPr>
        <w:rFonts w:ascii="Courier New" w:hAnsi="Courier New" w:cs="Courier New" w:hint="default"/>
      </w:rPr>
    </w:lvl>
    <w:lvl w:ilvl="5" w:tplc="7C88D8A2" w:tentative="1">
      <w:start w:val="1"/>
      <w:numFmt w:val="bullet"/>
      <w:lvlText w:val=""/>
      <w:lvlJc w:val="left"/>
      <w:pPr>
        <w:ind w:left="3960" w:hanging="360"/>
      </w:pPr>
      <w:rPr>
        <w:rFonts w:ascii="Wingdings" w:hAnsi="Wingdings" w:hint="default"/>
      </w:rPr>
    </w:lvl>
    <w:lvl w:ilvl="6" w:tplc="5DF627D6" w:tentative="1">
      <w:start w:val="1"/>
      <w:numFmt w:val="bullet"/>
      <w:lvlText w:val=""/>
      <w:lvlJc w:val="left"/>
      <w:pPr>
        <w:ind w:left="4680" w:hanging="360"/>
      </w:pPr>
      <w:rPr>
        <w:rFonts w:ascii="Symbol" w:hAnsi="Symbol" w:hint="default"/>
      </w:rPr>
    </w:lvl>
    <w:lvl w:ilvl="7" w:tplc="BAF270D2" w:tentative="1">
      <w:start w:val="1"/>
      <w:numFmt w:val="bullet"/>
      <w:lvlText w:val="o"/>
      <w:lvlJc w:val="left"/>
      <w:pPr>
        <w:ind w:left="5400" w:hanging="360"/>
      </w:pPr>
      <w:rPr>
        <w:rFonts w:ascii="Courier New" w:hAnsi="Courier New" w:cs="Courier New" w:hint="default"/>
      </w:rPr>
    </w:lvl>
    <w:lvl w:ilvl="8" w:tplc="98A4776C" w:tentative="1">
      <w:start w:val="1"/>
      <w:numFmt w:val="bullet"/>
      <w:lvlText w:val=""/>
      <w:lvlJc w:val="left"/>
      <w:pPr>
        <w:ind w:left="6120" w:hanging="360"/>
      </w:pPr>
      <w:rPr>
        <w:rFonts w:ascii="Wingdings" w:hAnsi="Wingdings" w:hint="default"/>
      </w:r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85A4B53"/>
    <w:multiLevelType w:val="hybridMultilevel"/>
    <w:tmpl w:val="799E47B0"/>
    <w:lvl w:ilvl="0" w:tplc="642C67F4">
      <w:start w:val="1"/>
      <w:numFmt w:val="decimal"/>
      <w:lvlText w:val="%1."/>
      <w:lvlJc w:val="left"/>
      <w:pPr>
        <w:ind w:left="360" w:hanging="360"/>
      </w:pPr>
      <w:rPr>
        <w:rFonts w:hint="default"/>
      </w:rPr>
    </w:lvl>
    <w:lvl w:ilvl="1" w:tplc="667CFD9A" w:tentative="1">
      <w:start w:val="1"/>
      <w:numFmt w:val="lowerLetter"/>
      <w:lvlText w:val="%2."/>
      <w:lvlJc w:val="left"/>
      <w:pPr>
        <w:ind w:left="1080" w:hanging="360"/>
      </w:pPr>
    </w:lvl>
    <w:lvl w:ilvl="2" w:tplc="9A7C16A8" w:tentative="1">
      <w:start w:val="1"/>
      <w:numFmt w:val="lowerRoman"/>
      <w:lvlText w:val="%3."/>
      <w:lvlJc w:val="right"/>
      <w:pPr>
        <w:ind w:left="1800" w:hanging="180"/>
      </w:pPr>
    </w:lvl>
    <w:lvl w:ilvl="3" w:tplc="A7D40966" w:tentative="1">
      <w:start w:val="1"/>
      <w:numFmt w:val="decimal"/>
      <w:lvlText w:val="%4."/>
      <w:lvlJc w:val="left"/>
      <w:pPr>
        <w:ind w:left="2520" w:hanging="360"/>
      </w:pPr>
    </w:lvl>
    <w:lvl w:ilvl="4" w:tplc="E86C27F8" w:tentative="1">
      <w:start w:val="1"/>
      <w:numFmt w:val="lowerLetter"/>
      <w:lvlText w:val="%5."/>
      <w:lvlJc w:val="left"/>
      <w:pPr>
        <w:ind w:left="3240" w:hanging="360"/>
      </w:pPr>
    </w:lvl>
    <w:lvl w:ilvl="5" w:tplc="97620504" w:tentative="1">
      <w:start w:val="1"/>
      <w:numFmt w:val="lowerRoman"/>
      <w:lvlText w:val="%6."/>
      <w:lvlJc w:val="right"/>
      <w:pPr>
        <w:ind w:left="3960" w:hanging="180"/>
      </w:pPr>
    </w:lvl>
    <w:lvl w:ilvl="6" w:tplc="C8B435FA" w:tentative="1">
      <w:start w:val="1"/>
      <w:numFmt w:val="decimal"/>
      <w:lvlText w:val="%7."/>
      <w:lvlJc w:val="left"/>
      <w:pPr>
        <w:ind w:left="4680" w:hanging="360"/>
      </w:pPr>
    </w:lvl>
    <w:lvl w:ilvl="7" w:tplc="0894622A" w:tentative="1">
      <w:start w:val="1"/>
      <w:numFmt w:val="lowerLetter"/>
      <w:lvlText w:val="%8."/>
      <w:lvlJc w:val="left"/>
      <w:pPr>
        <w:ind w:left="5400" w:hanging="360"/>
      </w:pPr>
    </w:lvl>
    <w:lvl w:ilvl="8" w:tplc="72D4AA82" w:tentative="1">
      <w:start w:val="1"/>
      <w:numFmt w:val="lowerRoman"/>
      <w:lvlText w:val="%9."/>
      <w:lvlJc w:val="right"/>
      <w:pPr>
        <w:ind w:left="612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6"/>
  </w:num>
  <w:num w:numId="5">
    <w:abstractNumId w:val="8"/>
  </w:num>
  <w:num w:numId="6">
    <w:abstractNumId w:val="7"/>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E5"/>
    <w:rsid w:val="00001B77"/>
    <w:rsid w:val="0000517A"/>
    <w:rsid w:val="000168E5"/>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A6670"/>
    <w:rsid w:val="002B7DB6"/>
    <w:rsid w:val="00303502"/>
    <w:rsid w:val="00325C25"/>
    <w:rsid w:val="00372C8F"/>
    <w:rsid w:val="00380ECE"/>
    <w:rsid w:val="00393DDF"/>
    <w:rsid w:val="00397F55"/>
    <w:rsid w:val="003B4454"/>
    <w:rsid w:val="003C2E37"/>
    <w:rsid w:val="003F1415"/>
    <w:rsid w:val="0040144C"/>
    <w:rsid w:val="00403EB7"/>
    <w:rsid w:val="00430BF0"/>
    <w:rsid w:val="00441F32"/>
    <w:rsid w:val="004672E6"/>
    <w:rsid w:val="00474ED1"/>
    <w:rsid w:val="00493085"/>
    <w:rsid w:val="004A36EC"/>
    <w:rsid w:val="004D163F"/>
    <w:rsid w:val="004D3E02"/>
    <w:rsid w:val="004E4BFF"/>
    <w:rsid w:val="004F2598"/>
    <w:rsid w:val="005403F7"/>
    <w:rsid w:val="00540632"/>
    <w:rsid w:val="00541CF4"/>
    <w:rsid w:val="005451E8"/>
    <w:rsid w:val="005507F2"/>
    <w:rsid w:val="005759CC"/>
    <w:rsid w:val="005A72E1"/>
    <w:rsid w:val="005C6632"/>
    <w:rsid w:val="005D1C9E"/>
    <w:rsid w:val="00637FB0"/>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67A20"/>
    <w:rsid w:val="00890AFB"/>
    <w:rsid w:val="00890FC4"/>
    <w:rsid w:val="00895905"/>
    <w:rsid w:val="008B47D8"/>
    <w:rsid w:val="009164A9"/>
    <w:rsid w:val="009258CB"/>
    <w:rsid w:val="0093362E"/>
    <w:rsid w:val="00944563"/>
    <w:rsid w:val="00953160"/>
    <w:rsid w:val="009625D8"/>
    <w:rsid w:val="009670AD"/>
    <w:rsid w:val="0098459B"/>
    <w:rsid w:val="00997185"/>
    <w:rsid w:val="009C2458"/>
    <w:rsid w:val="009C4A7B"/>
    <w:rsid w:val="009C6123"/>
    <w:rsid w:val="009F1E3E"/>
    <w:rsid w:val="00A1213C"/>
    <w:rsid w:val="00A272FF"/>
    <w:rsid w:val="00A5354B"/>
    <w:rsid w:val="00A76742"/>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B2705"/>
    <w:rsid w:val="00BD1A5A"/>
    <w:rsid w:val="00BD7A9B"/>
    <w:rsid w:val="00BD7BE1"/>
    <w:rsid w:val="00BF416B"/>
    <w:rsid w:val="00C64E4E"/>
    <w:rsid w:val="00C66E64"/>
    <w:rsid w:val="00C761A0"/>
    <w:rsid w:val="00C85F7E"/>
    <w:rsid w:val="00C92F15"/>
    <w:rsid w:val="00CD47F0"/>
    <w:rsid w:val="00CD5566"/>
    <w:rsid w:val="00CD64D7"/>
    <w:rsid w:val="00CE6F22"/>
    <w:rsid w:val="00CF41F6"/>
    <w:rsid w:val="00CF7D3E"/>
    <w:rsid w:val="00D02B4E"/>
    <w:rsid w:val="00D36817"/>
    <w:rsid w:val="00D5666C"/>
    <w:rsid w:val="00D666BC"/>
    <w:rsid w:val="00D7084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A1DD5"/>
    <w:rsid w:val="00EE5706"/>
    <w:rsid w:val="00EF373D"/>
    <w:rsid w:val="00F11595"/>
    <w:rsid w:val="00F13BC9"/>
    <w:rsid w:val="00F357B2"/>
    <w:rsid w:val="00F36556"/>
    <w:rsid w:val="00F705DF"/>
    <w:rsid w:val="00F70622"/>
    <w:rsid w:val="00F85624"/>
    <w:rsid w:val="00F87C05"/>
    <w:rsid w:val="00F93191"/>
    <w:rsid w:val="00F93A17"/>
    <w:rsid w:val="00F9431C"/>
    <w:rsid w:val="00FA093E"/>
    <w:rsid w:val="00FA2AF6"/>
    <w:rsid w:val="00FA2D70"/>
    <w:rsid w:val="00FA3F8A"/>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2F4CE0A-94E5-4395-9A6D-4E3903EC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CL-C-0074/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jiu.org/en/reports-notes/JIU%20Products/JIU_REP_2016_1_English.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eb.itu.int/dms_pub/itu-s/opb/conf/S-CONF-ACTF-2014-MSW-E.docx" TargetMode="External"/><Relationship Id="rId4" Type="http://schemas.openxmlformats.org/officeDocument/2006/relationships/settings" Target="settings.xml"/><Relationship Id="rId9" Type="http://schemas.openxmlformats.org/officeDocument/2006/relationships/hyperlink" Target="http://web.itu.int/dms_pub/itu-s/opb/conf/S-CONF-ACTF-2014-MSW-E.doc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BE681-5782-4EFA-A748-48284309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2</Pages>
  <Words>1194</Words>
  <Characters>687</Characters>
  <Application>Microsoft Office Word</Application>
  <DocSecurity>4</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ITU risk appetite statement</dc:title>
  <dc:subject>Council 2017</dc:subject>
  <dc:creator>Kong, Hongli</dc:creator>
  <cp:keywords>C2017, C17</cp:keywords>
  <dc:description/>
  <cp:lastModifiedBy>Brouard, Ricarda</cp:lastModifiedBy>
  <cp:revision>2</cp:revision>
  <cp:lastPrinted>2015-02-24T13:23:00Z</cp:lastPrinted>
  <dcterms:created xsi:type="dcterms:W3CDTF">2017-04-21T12:49:00Z</dcterms:created>
  <dcterms:modified xsi:type="dcterms:W3CDTF">2017-04-21T12:49:00Z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