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FA2B59" w:rsidRPr="00813E5E">
        <w:trPr>
          <w:cantSplit/>
        </w:trPr>
        <w:tc>
          <w:tcPr>
            <w:tcW w:w="6911" w:type="dxa"/>
          </w:tcPr>
          <w:p w:rsidR="00FA2B59" w:rsidRPr="00813E5E" w:rsidRDefault="00FA2B59" w:rsidP="00FA2B59">
            <w:pPr>
              <w:spacing w:before="360" w:after="48" w:line="240" w:lineRule="atLeast"/>
              <w:rPr>
                <w:position w:val="6"/>
              </w:rPr>
            </w:pPr>
            <w:bookmarkStart w:id="0" w:name="dc06"/>
            <w:bookmarkEnd w:id="0"/>
            <w:r w:rsidRPr="00FA2B59">
              <w:rPr>
                <w:b/>
                <w:bCs/>
                <w:position w:val="6"/>
                <w:sz w:val="30"/>
                <w:szCs w:val="30"/>
                <w:lang w:val="fr-CH"/>
              </w:rPr>
              <w:t>Council 2017</w:t>
            </w:r>
            <w:r w:rsidRPr="00FA2B59">
              <w:rPr>
                <w:rFonts w:cs="Times"/>
                <w:b/>
                <w:position w:val="6"/>
                <w:sz w:val="26"/>
                <w:szCs w:val="26"/>
                <w:lang w:val="en-US"/>
              </w:rPr>
              <w:br/>
            </w:r>
            <w:r w:rsidRPr="00FA2B59">
              <w:rPr>
                <w:b/>
                <w:bCs/>
                <w:position w:val="6"/>
                <w:szCs w:val="24"/>
                <w:lang w:val="fr-CH"/>
              </w:rPr>
              <w:t>Geneva, 15-25 May 2017</w:t>
            </w:r>
          </w:p>
        </w:tc>
        <w:tc>
          <w:tcPr>
            <w:tcW w:w="3120" w:type="dxa"/>
          </w:tcPr>
          <w:p w:rsidR="00FA2B59" w:rsidRPr="00813E5E" w:rsidRDefault="00FA2B59" w:rsidP="00FA2B59">
            <w:pPr>
              <w:spacing w:before="0" w:line="240" w:lineRule="atLeast"/>
              <w:jc w:val="right"/>
            </w:pPr>
            <w:bookmarkStart w:id="1" w:name="ditulogo"/>
            <w:bookmarkEnd w:id="1"/>
            <w:r w:rsidRPr="00F21593">
              <w:rPr>
                <w:rFonts w:ascii="Verdana" w:hAnsi="Verdana"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65300" cy="7429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B59" w:rsidRPr="00813E5E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FA2B59" w:rsidRPr="00813E5E" w:rsidRDefault="00FA2B59">
            <w:pPr>
              <w:spacing w:before="0" w:after="48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FA2B59" w:rsidRPr="00813E5E" w:rsidRDefault="00FA2B59">
            <w:pPr>
              <w:spacing w:before="0" w:line="240" w:lineRule="atLeast"/>
              <w:rPr>
                <w:szCs w:val="24"/>
              </w:rPr>
            </w:pPr>
          </w:p>
        </w:tc>
      </w:tr>
      <w:tr w:rsidR="00FA2B59" w:rsidRPr="00813E5E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FA2B59" w:rsidRPr="00813E5E" w:rsidRDefault="00FA2B59">
            <w:pPr>
              <w:spacing w:before="0" w:after="48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FA2B59" w:rsidRPr="00813E5E" w:rsidRDefault="00FA2B59">
            <w:pPr>
              <w:spacing w:before="0" w:line="240" w:lineRule="atLeast"/>
              <w:rPr>
                <w:szCs w:val="24"/>
              </w:rPr>
            </w:pPr>
          </w:p>
        </w:tc>
      </w:tr>
      <w:tr w:rsidR="00FA2B59" w:rsidRPr="00813E5E">
        <w:trPr>
          <w:cantSplit/>
          <w:trHeight w:val="23"/>
        </w:trPr>
        <w:tc>
          <w:tcPr>
            <w:tcW w:w="6911" w:type="dxa"/>
            <w:vMerge w:val="restart"/>
          </w:tcPr>
          <w:p w:rsidR="00FA2B59" w:rsidRPr="00FA2B59" w:rsidRDefault="00FA2B59" w:rsidP="00FA2B59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2" w:name="dmeeting" w:colFirst="0" w:colLast="0"/>
            <w:bookmarkStart w:id="3" w:name="dnum" w:colFirst="1" w:colLast="1"/>
            <w:r>
              <w:rPr>
                <w:b/>
              </w:rPr>
              <w:t xml:space="preserve">Agenda item: PL </w:t>
            </w:r>
            <w:r w:rsidR="00FC5519">
              <w:rPr>
                <w:b/>
              </w:rPr>
              <w:t>1.19</w:t>
            </w:r>
          </w:p>
        </w:tc>
        <w:tc>
          <w:tcPr>
            <w:tcW w:w="3120" w:type="dxa"/>
          </w:tcPr>
          <w:p w:rsidR="00FA2B59" w:rsidRPr="00FA2B59" w:rsidRDefault="00FA2B59" w:rsidP="00FA2B59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r>
              <w:rPr>
                <w:b/>
              </w:rPr>
              <w:t>Document C17/72-E</w:t>
            </w:r>
          </w:p>
        </w:tc>
      </w:tr>
      <w:tr w:rsidR="00FA2B59" w:rsidRPr="00813E5E">
        <w:trPr>
          <w:cantSplit/>
          <w:trHeight w:val="23"/>
        </w:trPr>
        <w:tc>
          <w:tcPr>
            <w:tcW w:w="6911" w:type="dxa"/>
            <w:vMerge/>
          </w:tcPr>
          <w:p w:rsidR="00FA2B59" w:rsidRPr="00813E5E" w:rsidRDefault="00FA2B5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4" w:name="ddate" w:colFirst="1" w:colLast="1"/>
            <w:bookmarkEnd w:id="2"/>
            <w:bookmarkEnd w:id="3"/>
          </w:p>
        </w:tc>
        <w:tc>
          <w:tcPr>
            <w:tcW w:w="3120" w:type="dxa"/>
          </w:tcPr>
          <w:p w:rsidR="00FA2B59" w:rsidRPr="00FA2B59" w:rsidRDefault="002C2A4B" w:rsidP="002C2A4B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21</w:t>
            </w:r>
            <w:r w:rsidR="009B3C8B">
              <w:rPr>
                <w:b/>
              </w:rPr>
              <w:t xml:space="preserve"> April</w:t>
            </w:r>
            <w:r w:rsidR="00FA2B59">
              <w:rPr>
                <w:b/>
              </w:rPr>
              <w:t xml:space="preserve"> 2017</w:t>
            </w:r>
          </w:p>
        </w:tc>
      </w:tr>
      <w:tr w:rsidR="00FA2B59" w:rsidRPr="00813E5E">
        <w:trPr>
          <w:cantSplit/>
          <w:trHeight w:val="23"/>
        </w:trPr>
        <w:tc>
          <w:tcPr>
            <w:tcW w:w="6911" w:type="dxa"/>
            <w:vMerge/>
          </w:tcPr>
          <w:p w:rsidR="00FA2B59" w:rsidRPr="00813E5E" w:rsidRDefault="00FA2B5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5" w:name="dorlang" w:colFirst="1" w:colLast="1"/>
            <w:bookmarkEnd w:id="4"/>
          </w:p>
        </w:tc>
        <w:tc>
          <w:tcPr>
            <w:tcW w:w="3120" w:type="dxa"/>
          </w:tcPr>
          <w:p w:rsidR="00FA2B59" w:rsidRPr="00FA2B59" w:rsidRDefault="00FA2B59" w:rsidP="00FA2B59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Original: English</w:t>
            </w:r>
          </w:p>
        </w:tc>
      </w:tr>
      <w:tr w:rsidR="00FA2B59" w:rsidRPr="00813E5E">
        <w:trPr>
          <w:cantSplit/>
        </w:trPr>
        <w:tc>
          <w:tcPr>
            <w:tcW w:w="10031" w:type="dxa"/>
            <w:gridSpan w:val="2"/>
          </w:tcPr>
          <w:p w:rsidR="00FA2B59" w:rsidRPr="00813E5E" w:rsidRDefault="00FA2B59" w:rsidP="008060CD">
            <w:pPr>
              <w:pStyle w:val="Source"/>
              <w:framePr w:hSpace="0" w:wrap="auto" w:hAnchor="text" w:yAlign="inline"/>
            </w:pPr>
            <w:bookmarkStart w:id="6" w:name="dsource" w:colFirst="0" w:colLast="0"/>
            <w:bookmarkEnd w:id="5"/>
            <w:r>
              <w:t>Report by the Secretary-General</w:t>
            </w:r>
          </w:p>
        </w:tc>
      </w:tr>
      <w:tr w:rsidR="00FA2B59" w:rsidRPr="00813E5E">
        <w:trPr>
          <w:cantSplit/>
        </w:trPr>
        <w:tc>
          <w:tcPr>
            <w:tcW w:w="10031" w:type="dxa"/>
            <w:gridSpan w:val="2"/>
          </w:tcPr>
          <w:p w:rsidR="00FA2B59" w:rsidRPr="00813E5E" w:rsidRDefault="00FA2B59" w:rsidP="008060CD">
            <w:pPr>
              <w:pStyle w:val="Title1"/>
              <w:framePr w:hSpace="0" w:wrap="auto" w:hAnchor="text" w:yAlign="inline"/>
            </w:pPr>
            <w:bookmarkStart w:id="7" w:name="dtitle1" w:colFirst="0" w:colLast="0"/>
            <w:bookmarkEnd w:id="6"/>
            <w:r>
              <w:t>EFFECTIVENESS OF REGIONAL GROUPS FOR BRIDGING THE STANDARDIZATION GAP</w:t>
            </w:r>
          </w:p>
        </w:tc>
      </w:tr>
      <w:bookmarkEnd w:id="7"/>
    </w:tbl>
    <w:p w:rsidR="00FA2B59" w:rsidRPr="00813E5E" w:rsidRDefault="00FA2B59"/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FA2B59" w:rsidRPr="00813E5E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B59" w:rsidRPr="00813E5E" w:rsidRDefault="00FA2B59">
            <w:pPr>
              <w:pStyle w:val="Headingb"/>
            </w:pPr>
            <w:r w:rsidRPr="00813E5E">
              <w:t>Summary</w:t>
            </w:r>
          </w:p>
          <w:p w:rsidR="00FA2B59" w:rsidRPr="00813E5E" w:rsidRDefault="00FA2B59" w:rsidP="00D81B31">
            <w:pPr>
              <w:jc w:val="both"/>
            </w:pPr>
            <w:r w:rsidRPr="00FA2B59">
              <w:t xml:space="preserve">The purpose of this document is to report on the effectiveness of Regional Groups as per </w:t>
            </w:r>
            <w:r w:rsidRPr="00AF139C">
              <w:rPr>
                <w:i/>
                <w:iCs/>
              </w:rPr>
              <w:t>instructs</w:t>
            </w:r>
            <w:r w:rsidRPr="00FA2B59">
              <w:t xml:space="preserve"> of Resolution 44 (WTSA-16).</w:t>
            </w:r>
          </w:p>
          <w:p w:rsidR="00FA2B59" w:rsidRPr="00813E5E" w:rsidRDefault="00FA2B59">
            <w:pPr>
              <w:pStyle w:val="Headingb"/>
            </w:pPr>
            <w:r w:rsidRPr="00813E5E">
              <w:t>Action required</w:t>
            </w:r>
          </w:p>
          <w:p w:rsidR="00FA2B59" w:rsidRPr="00813E5E" w:rsidRDefault="00FA2B59" w:rsidP="00FA2B59">
            <w:pPr>
              <w:spacing w:after="120"/>
            </w:pPr>
            <w:r w:rsidRPr="00294B26">
              <w:t xml:space="preserve">The Council is invited to </w:t>
            </w:r>
            <w:r w:rsidRPr="00294B26">
              <w:rPr>
                <w:b/>
                <w:bCs/>
              </w:rPr>
              <w:t>note</w:t>
            </w:r>
            <w:r w:rsidRPr="00294B26">
              <w:t xml:space="preserve"> this report.</w:t>
            </w:r>
          </w:p>
          <w:p w:rsidR="00FA2B59" w:rsidRPr="00813E5E" w:rsidRDefault="00FA2B59">
            <w:pPr>
              <w:pStyle w:val="Table"/>
              <w:keepNext w:val="0"/>
              <w:spacing w:before="0" w:after="0"/>
              <w:rPr>
                <w:rFonts w:ascii="Calibri" w:hAnsi="Calibri"/>
                <w:caps w:val="0"/>
                <w:sz w:val="22"/>
              </w:rPr>
            </w:pPr>
            <w:r w:rsidRPr="00813E5E">
              <w:rPr>
                <w:rFonts w:ascii="Calibri" w:hAnsi="Calibri"/>
                <w:caps w:val="0"/>
                <w:sz w:val="22"/>
              </w:rPr>
              <w:t>____________</w:t>
            </w:r>
          </w:p>
          <w:p w:rsidR="00FA2B59" w:rsidRPr="00813E5E" w:rsidRDefault="00FA2B59">
            <w:pPr>
              <w:pStyle w:val="Headingb"/>
            </w:pPr>
            <w:r w:rsidRPr="00813E5E">
              <w:t>References</w:t>
            </w:r>
          </w:p>
          <w:p w:rsidR="00FA2B59" w:rsidRPr="00813E5E" w:rsidRDefault="002C2A4B" w:rsidP="00FA2B59">
            <w:pPr>
              <w:spacing w:after="120"/>
              <w:rPr>
                <w:i/>
                <w:iCs/>
              </w:rPr>
            </w:pPr>
            <w:hyperlink r:id="rId9" w:history="1">
              <w:r w:rsidR="00FA2B59" w:rsidRPr="009B3C8B">
                <w:rPr>
                  <w:rStyle w:val="Hyperlink"/>
                </w:rPr>
                <w:t>WTSA Resolution 44 (Rev. Hammamet, 2016)</w:t>
              </w:r>
            </w:hyperlink>
          </w:p>
        </w:tc>
      </w:tr>
    </w:tbl>
    <w:p w:rsidR="00FA2B59" w:rsidRPr="00D224DB" w:rsidRDefault="00FA2B59" w:rsidP="008060CD">
      <w:pPr>
        <w:pStyle w:val="Heading1"/>
        <w:keepNext w:val="0"/>
        <w:keepLines w:val="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709" w:hanging="709"/>
      </w:pPr>
      <w:bookmarkStart w:id="8" w:name="dstart"/>
      <w:bookmarkStart w:id="9" w:name="dbreak"/>
      <w:bookmarkEnd w:id="8"/>
      <w:bookmarkEnd w:id="9"/>
      <w:r>
        <w:t>1</w:t>
      </w:r>
      <w:r>
        <w:tab/>
      </w:r>
      <w:r w:rsidRPr="00D224DB">
        <w:t>Background</w:t>
      </w:r>
    </w:p>
    <w:p w:rsidR="00FA2B59" w:rsidRPr="00326FF5" w:rsidRDefault="00FA2B59" w:rsidP="00E1016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</w:pPr>
      <w:r>
        <w:t>1.1</w:t>
      </w:r>
      <w:r>
        <w:tab/>
        <w:t xml:space="preserve">PP-14 revised Resolution 123 on </w:t>
      </w:r>
      <w:r w:rsidRPr="00294B26">
        <w:rPr>
          <w:i/>
          <w:iCs/>
        </w:rPr>
        <w:t>Bridging the Standardization Gap between Developing and Developed Countries</w:t>
      </w:r>
      <w:r>
        <w:t xml:space="preserve">, recognizing that the implementation of Recommendations of the ITU Radiocommunication Sector (ITU-R) and the ITU Telecommunication Standardization Sector (ITU-T) is a basic step towards bridging the standardization gap between developed and developing countries. It further instructs the Secretary-General and the Directors of the three Bureaux to work closely with each other on the follow-up and implementation of this </w:t>
      </w:r>
      <w:r w:rsidR="00E1016D">
        <w:t>R</w:t>
      </w:r>
      <w:r>
        <w:t>esolution and related resolutions, and in pursuing initiatives intended to enhance efforts to bridge the standardization gap between developing and developed countries.</w:t>
      </w:r>
    </w:p>
    <w:p w:rsidR="00FA2B59" w:rsidRDefault="00FA2B59" w:rsidP="00D81B3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rFonts w:eastAsia="Arial Unicode MS" w:cstheme="minorHAnsi"/>
          <w:szCs w:val="24"/>
        </w:rPr>
      </w:pPr>
      <w:r>
        <w:rPr>
          <w:rFonts w:eastAsia="Arial Unicode MS" w:cstheme="minorHAnsi"/>
          <w:szCs w:val="24"/>
        </w:rPr>
        <w:t>1.2</w:t>
      </w:r>
      <w:r w:rsidR="00E1016D">
        <w:rPr>
          <w:rFonts w:eastAsia="Arial Unicode MS" w:cstheme="minorHAnsi"/>
          <w:szCs w:val="24"/>
        </w:rPr>
        <w:tab/>
      </w:r>
      <w:r w:rsidRPr="00F74ED4">
        <w:rPr>
          <w:rFonts w:eastAsia="Arial Unicode MS" w:cstheme="minorHAnsi"/>
          <w:szCs w:val="24"/>
        </w:rPr>
        <w:t>Resolution 1353 of the Council recognizes that telecommunications and ICT are essential</w:t>
      </w:r>
      <w:r>
        <w:rPr>
          <w:rFonts w:eastAsia="Arial Unicode MS" w:cstheme="minorHAnsi"/>
          <w:szCs w:val="24"/>
        </w:rPr>
        <w:t xml:space="preserve"> c</w:t>
      </w:r>
      <w:r w:rsidRPr="00F74ED4">
        <w:rPr>
          <w:rFonts w:eastAsia="Arial Unicode MS" w:cstheme="minorHAnsi"/>
          <w:szCs w:val="24"/>
        </w:rPr>
        <w:t>omponents for developed and developing countries for achieving sustainable development, and instructs the</w:t>
      </w:r>
      <w:r>
        <w:rPr>
          <w:rFonts w:eastAsia="Arial Unicode MS" w:cstheme="minorHAnsi"/>
          <w:szCs w:val="24"/>
        </w:rPr>
        <w:t xml:space="preserve"> </w:t>
      </w:r>
      <w:r w:rsidRPr="00F74ED4">
        <w:rPr>
          <w:rFonts w:eastAsia="Arial Unicode MS" w:cstheme="minorHAnsi"/>
          <w:szCs w:val="24"/>
        </w:rPr>
        <w:t>Secretary-General, in collaboration with the Directors of the Bureaux, to identify new activities to be</w:t>
      </w:r>
      <w:r>
        <w:rPr>
          <w:rFonts w:eastAsia="Arial Unicode MS" w:cstheme="minorHAnsi"/>
          <w:szCs w:val="24"/>
        </w:rPr>
        <w:t xml:space="preserve"> </w:t>
      </w:r>
      <w:r w:rsidRPr="00F74ED4">
        <w:rPr>
          <w:rFonts w:eastAsia="Arial Unicode MS" w:cstheme="minorHAnsi"/>
          <w:szCs w:val="24"/>
        </w:rPr>
        <w:t>undertaken by ITU to support the developing countries to achieve sustainable development through</w:t>
      </w:r>
      <w:r>
        <w:rPr>
          <w:rFonts w:eastAsia="Arial Unicode MS" w:cstheme="minorHAnsi"/>
          <w:szCs w:val="24"/>
        </w:rPr>
        <w:t xml:space="preserve"> </w:t>
      </w:r>
      <w:r w:rsidRPr="00F74ED4">
        <w:rPr>
          <w:rFonts w:eastAsia="Arial Unicode MS" w:cstheme="minorHAnsi"/>
          <w:szCs w:val="24"/>
        </w:rPr>
        <w:t>telecommunications and IC</w:t>
      </w:r>
      <w:r w:rsidR="00E1016D">
        <w:rPr>
          <w:rFonts w:eastAsia="Arial Unicode MS" w:cstheme="minorHAnsi"/>
          <w:szCs w:val="24"/>
        </w:rPr>
        <w:t>T</w:t>
      </w:r>
      <w:r w:rsidR="00D81B31">
        <w:rPr>
          <w:rFonts w:eastAsia="Arial Unicode MS" w:cstheme="minorHAnsi"/>
          <w:szCs w:val="24"/>
        </w:rPr>
        <w:t>s</w:t>
      </w:r>
      <w:r w:rsidR="00E1016D">
        <w:rPr>
          <w:rFonts w:eastAsia="Arial Unicode MS" w:cstheme="minorHAnsi"/>
          <w:szCs w:val="24"/>
        </w:rPr>
        <w:t>.</w:t>
      </w:r>
    </w:p>
    <w:p w:rsidR="00FA2B59" w:rsidRDefault="00E1016D" w:rsidP="00D81B3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rFonts w:eastAsia="Arial Unicode MS" w:cstheme="minorHAnsi"/>
          <w:szCs w:val="24"/>
        </w:rPr>
      </w:pPr>
      <w:r>
        <w:rPr>
          <w:rFonts w:eastAsia="Arial Unicode MS" w:cstheme="minorHAnsi"/>
          <w:szCs w:val="24"/>
        </w:rPr>
        <w:t>1.3</w:t>
      </w:r>
      <w:r w:rsidR="00FA2B59">
        <w:rPr>
          <w:rFonts w:eastAsia="Arial Unicode MS" w:cstheme="minorHAnsi"/>
          <w:szCs w:val="24"/>
        </w:rPr>
        <w:tab/>
        <w:t>WTSA-16</w:t>
      </w:r>
      <w:r w:rsidR="00FA2B59" w:rsidRPr="00880883">
        <w:rPr>
          <w:rFonts w:eastAsia="Arial Unicode MS" w:cstheme="minorHAnsi"/>
          <w:szCs w:val="24"/>
        </w:rPr>
        <w:t xml:space="preserve"> revised Resolution </w:t>
      </w:r>
      <w:r w:rsidR="00FA2B59">
        <w:rPr>
          <w:rFonts w:eastAsia="Arial Unicode MS" w:cstheme="minorHAnsi"/>
          <w:szCs w:val="24"/>
        </w:rPr>
        <w:t>54</w:t>
      </w:r>
      <w:r w:rsidR="00FA2B59" w:rsidRPr="00880883">
        <w:rPr>
          <w:rFonts w:eastAsia="Arial Unicode MS" w:cstheme="minorHAnsi"/>
          <w:szCs w:val="24"/>
        </w:rPr>
        <w:t xml:space="preserve"> on </w:t>
      </w:r>
      <w:r w:rsidR="00FA2B59">
        <w:rPr>
          <w:rFonts w:eastAsia="Arial Unicode MS" w:cstheme="minorHAnsi"/>
          <w:szCs w:val="24"/>
        </w:rPr>
        <w:t xml:space="preserve">the </w:t>
      </w:r>
      <w:r w:rsidR="00FA2B59" w:rsidRPr="00E03091">
        <w:rPr>
          <w:rFonts w:eastAsia="Arial Unicode MS" w:cstheme="minorHAnsi"/>
          <w:szCs w:val="24"/>
        </w:rPr>
        <w:t>Creation of, and assistance to, regional groups</w:t>
      </w:r>
      <w:r w:rsidR="00FA2B59">
        <w:rPr>
          <w:rFonts w:eastAsia="Arial Unicode MS" w:cstheme="minorHAnsi"/>
          <w:szCs w:val="24"/>
        </w:rPr>
        <w:t>, and</w:t>
      </w:r>
      <w:r w:rsidR="00FA2B59" w:rsidRPr="00294B26">
        <w:rPr>
          <w:rFonts w:eastAsia="Arial Unicode MS" w:cstheme="minorHAnsi"/>
          <w:i/>
          <w:iCs/>
          <w:szCs w:val="24"/>
        </w:rPr>
        <w:t xml:space="preserve"> resolves</w:t>
      </w:r>
      <w:r w:rsidR="00FA2B59" w:rsidRPr="00E03091">
        <w:rPr>
          <w:rFonts w:eastAsia="Arial Unicode MS" w:cstheme="minorHAnsi"/>
          <w:szCs w:val="24"/>
        </w:rPr>
        <w:t xml:space="preserve"> to support the creation of regional groups in Study Group</w:t>
      </w:r>
      <w:r w:rsidR="00FA2B59">
        <w:rPr>
          <w:rFonts w:eastAsia="Arial Unicode MS" w:cstheme="minorHAnsi"/>
          <w:szCs w:val="24"/>
        </w:rPr>
        <w:t>s.</w:t>
      </w:r>
    </w:p>
    <w:p w:rsidR="00FA2B59" w:rsidRDefault="00FA2B59" w:rsidP="00E1016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rFonts w:eastAsia="Arial Unicode MS" w:cstheme="minorHAnsi"/>
          <w:szCs w:val="24"/>
        </w:rPr>
      </w:pPr>
      <w:r>
        <w:lastRenderedPageBreak/>
        <w:t>1.4</w:t>
      </w:r>
      <w:r>
        <w:tab/>
      </w:r>
      <w:r>
        <w:rPr>
          <w:rFonts w:eastAsia="Arial Unicode MS" w:cstheme="minorHAnsi"/>
          <w:szCs w:val="24"/>
        </w:rPr>
        <w:t>WTSA-16</w:t>
      </w:r>
      <w:r w:rsidRPr="00880883">
        <w:rPr>
          <w:rFonts w:eastAsia="Arial Unicode MS" w:cstheme="minorHAnsi"/>
          <w:szCs w:val="24"/>
        </w:rPr>
        <w:t xml:space="preserve"> revised Resolution </w:t>
      </w:r>
      <w:r>
        <w:rPr>
          <w:rFonts w:eastAsia="Arial Unicode MS" w:cstheme="minorHAnsi"/>
          <w:szCs w:val="24"/>
        </w:rPr>
        <w:t>44</w:t>
      </w:r>
      <w:r w:rsidRPr="00880883">
        <w:rPr>
          <w:rFonts w:eastAsia="Arial Unicode MS" w:cstheme="minorHAnsi"/>
          <w:szCs w:val="24"/>
        </w:rPr>
        <w:t xml:space="preserve"> </w:t>
      </w:r>
      <w:r>
        <w:t xml:space="preserve">and its </w:t>
      </w:r>
      <w:r w:rsidRPr="00D108DD">
        <w:t>Action Plan to further address the disparity in standardization between developed and developing countries, includ</w:t>
      </w:r>
      <w:r>
        <w:t xml:space="preserve">ing least developed countries, </w:t>
      </w:r>
      <w:r w:rsidR="00E1016D">
        <w:t>Small Island</w:t>
      </w:r>
      <w:r w:rsidRPr="00D108DD">
        <w:t xml:space="preserve"> developing States and countries with economies in transition. </w:t>
      </w:r>
    </w:p>
    <w:p w:rsidR="00FA2B59" w:rsidRDefault="00FA2B59" w:rsidP="00E1016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rFonts w:eastAsia="Arial Unicode MS" w:cstheme="minorHAnsi"/>
          <w:szCs w:val="24"/>
        </w:rPr>
      </w:pPr>
      <w:r w:rsidRPr="0035234E">
        <w:rPr>
          <w:rFonts w:eastAsia="Arial Unicode MS" w:cstheme="minorHAnsi"/>
          <w:szCs w:val="24"/>
        </w:rPr>
        <w:t>1.</w:t>
      </w:r>
      <w:r>
        <w:rPr>
          <w:rFonts w:eastAsia="Arial Unicode MS" w:cstheme="minorHAnsi"/>
          <w:szCs w:val="24"/>
        </w:rPr>
        <w:t>5</w:t>
      </w:r>
      <w:r w:rsidRPr="0035234E">
        <w:rPr>
          <w:rFonts w:eastAsia="Arial Unicode MS" w:cstheme="minorHAnsi"/>
          <w:szCs w:val="24"/>
        </w:rPr>
        <w:tab/>
        <w:t xml:space="preserve">This report sets forth information </w:t>
      </w:r>
      <w:r>
        <w:rPr>
          <w:rFonts w:eastAsia="Arial Unicode MS" w:cstheme="minorHAnsi"/>
          <w:szCs w:val="24"/>
        </w:rPr>
        <w:t>on the effectiveness of regional groups as instructed by WTSA-16</w:t>
      </w:r>
      <w:r w:rsidRPr="00880883">
        <w:rPr>
          <w:rFonts w:eastAsia="Arial Unicode MS" w:cstheme="minorHAnsi"/>
          <w:szCs w:val="24"/>
        </w:rPr>
        <w:t xml:space="preserve"> Resolution </w:t>
      </w:r>
      <w:r>
        <w:rPr>
          <w:rFonts w:eastAsia="Arial Unicode MS" w:cstheme="minorHAnsi"/>
          <w:szCs w:val="24"/>
        </w:rPr>
        <w:t>44.</w:t>
      </w:r>
    </w:p>
    <w:p w:rsidR="00FA2B59" w:rsidRDefault="00FA2B59" w:rsidP="00E1016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rFonts w:eastAsia="Arial Unicode MS" w:cstheme="minorHAnsi"/>
          <w:szCs w:val="24"/>
        </w:rPr>
      </w:pPr>
      <w:r>
        <w:rPr>
          <w:rFonts w:eastAsia="Arial Unicode MS" w:cstheme="minorHAnsi"/>
          <w:szCs w:val="24"/>
        </w:rPr>
        <w:t>1.6</w:t>
      </w:r>
      <w:r>
        <w:rPr>
          <w:rFonts w:eastAsia="Arial Unicode MS" w:cstheme="minorHAnsi"/>
          <w:szCs w:val="24"/>
        </w:rPr>
        <w:tab/>
        <w:t>Finally, this</w:t>
      </w:r>
      <w:r w:rsidRPr="00F74ED4">
        <w:rPr>
          <w:rFonts w:eastAsia="Arial Unicode MS" w:cstheme="minorHAnsi"/>
          <w:szCs w:val="24"/>
        </w:rPr>
        <w:t xml:space="preserve"> document is supplemented by Information </w:t>
      </w:r>
      <w:r w:rsidRPr="00E1016D">
        <w:rPr>
          <w:rFonts w:eastAsia="Arial Unicode MS" w:cstheme="minorHAnsi"/>
          <w:szCs w:val="24"/>
        </w:rPr>
        <w:t xml:space="preserve">Document </w:t>
      </w:r>
      <w:hyperlink r:id="rId10" w:history="1">
        <w:r w:rsidR="00E1016D" w:rsidRPr="00E1016D">
          <w:rPr>
            <w:rStyle w:val="Hyperlink"/>
            <w:rFonts w:eastAsia="Arial Unicode MS" w:cstheme="minorHAnsi"/>
            <w:szCs w:val="24"/>
          </w:rPr>
          <w:t>C17/INF/9</w:t>
        </w:r>
      </w:hyperlink>
      <w:r w:rsidRPr="00F74ED4">
        <w:rPr>
          <w:rFonts w:eastAsia="Arial Unicode MS" w:cstheme="minorHAnsi"/>
          <w:szCs w:val="24"/>
        </w:rPr>
        <w:t xml:space="preserve"> that contains</w:t>
      </w:r>
      <w:r>
        <w:rPr>
          <w:rFonts w:eastAsia="Arial Unicode MS" w:cstheme="minorHAnsi"/>
          <w:szCs w:val="24"/>
        </w:rPr>
        <w:t xml:space="preserve"> a presentation on ITU-T regional groups.</w:t>
      </w:r>
    </w:p>
    <w:p w:rsidR="00FA2B59" w:rsidRDefault="00FA2B59" w:rsidP="008060CD">
      <w:pPr>
        <w:pStyle w:val="Heading1"/>
        <w:keepNext w:val="0"/>
        <w:keepLines w:val="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before="600" w:after="120"/>
        <w:ind w:left="709" w:hanging="709"/>
        <w:rPr>
          <w:rFonts w:eastAsia="Arial Unicode MS"/>
        </w:rPr>
      </w:pPr>
      <w:r>
        <w:t>2</w:t>
      </w:r>
      <w:r>
        <w:tab/>
        <w:t>History of Regional groups and upcoming 50-year anniversary</w:t>
      </w:r>
    </w:p>
    <w:p w:rsidR="00FA2B59" w:rsidRDefault="00FA2B59" w:rsidP="00E1016D">
      <w:pPr>
        <w:shd w:val="clear" w:color="auto" w:fill="FFFFFF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</w:pPr>
      <w:r>
        <w:t>Next year, in</w:t>
      </w:r>
      <w:r w:rsidRPr="003279AF">
        <w:t xml:space="preserve"> 2018, ITU will celebrate 50 years of </w:t>
      </w:r>
      <w:r>
        <w:t xml:space="preserve">the </w:t>
      </w:r>
      <w:r w:rsidRPr="003279AF">
        <w:t xml:space="preserve">existence of regional groups. SG3 Regional groups were </w:t>
      </w:r>
      <w:r>
        <w:t xml:space="preserve">first </w:t>
      </w:r>
      <w:r w:rsidRPr="003279AF">
        <w:t xml:space="preserve">established in 1968 for </w:t>
      </w:r>
      <w:r w:rsidR="00E1016D">
        <w:t>four</w:t>
      </w:r>
      <w:r w:rsidRPr="003279AF">
        <w:t xml:space="preserve"> different regions, namely</w:t>
      </w:r>
      <w:r>
        <w:t xml:space="preserve"> for the </w:t>
      </w:r>
      <w:r w:rsidRPr="003279AF">
        <w:rPr>
          <w:shd w:val="clear" w:color="auto" w:fill="FFFFFF"/>
        </w:rPr>
        <w:t>Africa</w:t>
      </w:r>
      <w:r>
        <w:rPr>
          <w:shd w:val="clear" w:color="auto" w:fill="FFFFFF"/>
        </w:rPr>
        <w:t>n</w:t>
      </w:r>
      <w:r w:rsidRPr="003279AF">
        <w:rPr>
          <w:shd w:val="clear" w:color="auto" w:fill="FFFFFF"/>
        </w:rPr>
        <w:t xml:space="preserve"> region, Europe and Mediterranean region, Latin America and Caribbean region, and</w:t>
      </w:r>
      <w:r>
        <w:rPr>
          <w:shd w:val="clear" w:color="auto" w:fill="FFFFFF"/>
        </w:rPr>
        <w:t xml:space="preserve"> the</w:t>
      </w:r>
      <w:r w:rsidRPr="003279AF">
        <w:rPr>
          <w:shd w:val="clear" w:color="auto" w:fill="FFFFFF"/>
        </w:rPr>
        <w:t xml:space="preserve"> Asia and Oceania region. The figure below illustrate</w:t>
      </w:r>
      <w:r>
        <w:rPr>
          <w:shd w:val="clear" w:color="auto" w:fill="FFFFFF"/>
        </w:rPr>
        <w:t>s</w:t>
      </w:r>
      <w:r w:rsidRPr="003279AF">
        <w:rPr>
          <w:shd w:val="clear" w:color="auto" w:fill="FFFFFF"/>
        </w:rPr>
        <w:t xml:space="preserve"> the history of the establishment of ITU-T regional groups</w:t>
      </w:r>
      <w:r>
        <w:rPr>
          <w:shd w:val="clear" w:color="auto" w:fill="FFFFFF"/>
        </w:rPr>
        <w:t xml:space="preserve"> from 1968 to the present.</w:t>
      </w:r>
    </w:p>
    <w:p w:rsidR="00FA2B59" w:rsidRDefault="00FA2B59" w:rsidP="00FA2B59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History of Regional groups 1968-2016</w:t>
      </w:r>
    </w:p>
    <w:p w:rsidR="00FA2B59" w:rsidRDefault="00FA2B59" w:rsidP="00FA2B59">
      <w:pPr>
        <w:shd w:val="clear" w:color="auto" w:fill="FFFFFF"/>
        <w:spacing w:line="400" w:lineRule="atLeast"/>
        <w:jc w:val="center"/>
      </w:pPr>
      <w:r w:rsidRPr="007C2FC8">
        <w:rPr>
          <w:noProof/>
          <w:lang w:val="en-US" w:eastAsia="zh-CN"/>
        </w:rPr>
        <w:drawing>
          <wp:inline distT="0" distB="0" distL="0" distR="0" wp14:anchorId="2B69A801" wp14:editId="0F5EE7D6">
            <wp:extent cx="4974819" cy="29083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487" cy="29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59" w:rsidRDefault="00FA2B59" w:rsidP="00FA2B59">
      <w:pPr>
        <w:pStyle w:val="Caption"/>
        <w:keepNext/>
        <w:jc w:val="center"/>
      </w:pPr>
      <w:r>
        <w:lastRenderedPageBreak/>
        <w:t>Figure 2: Evolution of the number of Regional groups 1968-</w:t>
      </w:r>
      <w:r w:rsidR="006A393D">
        <w:t xml:space="preserve">March 2017. The year indicated refers to the </w:t>
      </w:r>
      <w:r w:rsidR="00F14D8E">
        <w:t xml:space="preserve">entire </w:t>
      </w:r>
      <w:r w:rsidR="006A393D">
        <w:t>study period</w:t>
      </w:r>
      <w:r w:rsidR="00F14D8E">
        <w:t>, e.g.  ITU-T SG2, SG3 and SG12 were created in the study period 2004-2008 etc.</w:t>
      </w:r>
    </w:p>
    <w:p w:rsidR="00FA2B59" w:rsidRPr="00294B26" w:rsidRDefault="006A393D" w:rsidP="00572AC2">
      <w:pPr>
        <w:jc w:val="center"/>
      </w:pPr>
      <w:r w:rsidRPr="006A393D">
        <w:t xml:space="preserve"> </w:t>
      </w:r>
      <w:r>
        <w:rPr>
          <w:noProof/>
          <w:lang w:val="en-US" w:eastAsia="zh-CN"/>
        </w:rPr>
        <w:drawing>
          <wp:inline distT="0" distB="0" distL="0" distR="0">
            <wp:extent cx="6120765" cy="3577634"/>
            <wp:effectExtent l="0" t="0" r="0" b="3810"/>
            <wp:docPr id="3" name="Picture 3" descr="cid:image001.jpg@01D2B2A3.03902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2B2A3.03902F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59" w:rsidRDefault="00FA2B59" w:rsidP="008060CD">
      <w:pPr>
        <w:pStyle w:val="Heading1"/>
        <w:keepNext w:val="0"/>
        <w:keepLines w:val="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before="600" w:after="120"/>
        <w:ind w:left="709" w:hanging="709"/>
        <w:rPr>
          <w:rFonts w:eastAsia="Arial Unicode MS"/>
        </w:rPr>
      </w:pPr>
      <w:r>
        <w:t>3</w:t>
      </w:r>
      <w:r>
        <w:tab/>
        <w:t>Regional group</w:t>
      </w:r>
      <w:r w:rsidR="00BD065E">
        <w:t>s</w:t>
      </w:r>
      <w:r>
        <w:t xml:space="preserve"> </w:t>
      </w:r>
      <w:r w:rsidR="00BD065E">
        <w:t xml:space="preserve">up to 30 March 2017 and regional group </w:t>
      </w:r>
      <w:r>
        <w:t>meetings 2013</w:t>
      </w:r>
      <w:r w:rsidR="00A47612">
        <w:t xml:space="preserve"> – </w:t>
      </w:r>
      <w:r>
        <w:t>2016</w:t>
      </w:r>
    </w:p>
    <w:p w:rsidR="00A47612" w:rsidRPr="00BC78CD" w:rsidRDefault="00FA2B59" w:rsidP="0043604C">
      <w:pPr>
        <w:rPr>
          <w:shd w:val="clear" w:color="auto" w:fill="FFFFFF"/>
        </w:rPr>
      </w:pPr>
      <w:r>
        <w:rPr>
          <w:shd w:val="clear" w:color="auto" w:fill="FFFFFF"/>
        </w:rPr>
        <w:t xml:space="preserve">As at 1 March 2017, </w:t>
      </w:r>
      <w:r w:rsidRPr="00E8666E">
        <w:rPr>
          <w:shd w:val="clear" w:color="auto" w:fill="FFFFFF"/>
        </w:rPr>
        <w:t>ITU-T ha</w:t>
      </w:r>
      <w:r>
        <w:rPr>
          <w:shd w:val="clear" w:color="auto" w:fill="FFFFFF"/>
        </w:rPr>
        <w:t>d</w:t>
      </w:r>
      <w:r w:rsidRPr="00E8666E">
        <w:rPr>
          <w:shd w:val="clear" w:color="auto" w:fill="FFFFFF"/>
        </w:rPr>
        <w:t xml:space="preserve"> </w:t>
      </w:r>
      <w:r w:rsidR="00A47612">
        <w:rPr>
          <w:shd w:val="clear" w:color="auto" w:fill="FFFFFF"/>
        </w:rPr>
        <w:t>18</w:t>
      </w:r>
      <w:r w:rsidRPr="00E8666E">
        <w:rPr>
          <w:shd w:val="clear" w:color="auto" w:fill="FFFFFF"/>
        </w:rPr>
        <w:t xml:space="preserve"> regional groups: s</w:t>
      </w:r>
      <w:r w:rsidR="00BD065E">
        <w:rPr>
          <w:shd w:val="clear" w:color="auto" w:fill="FFFFFF"/>
        </w:rPr>
        <w:t>even</w:t>
      </w:r>
      <w:r w:rsidRPr="00E8666E">
        <w:rPr>
          <w:shd w:val="clear" w:color="auto" w:fill="FFFFFF"/>
        </w:rPr>
        <w:t xml:space="preserve"> for Africa (Study Groups 2, 3, 5, </w:t>
      </w:r>
      <w:r w:rsidR="00A47612">
        <w:rPr>
          <w:shd w:val="clear" w:color="auto" w:fill="FFFFFF"/>
        </w:rPr>
        <w:t xml:space="preserve">11, </w:t>
      </w:r>
      <w:r w:rsidRPr="00E8666E">
        <w:rPr>
          <w:shd w:val="clear" w:color="auto" w:fill="FFFFFF"/>
        </w:rPr>
        <w:t>12, 13, and 17), three for the Americas (Study Groups 2, 3</w:t>
      </w:r>
      <w:r w:rsidR="00D81B31">
        <w:rPr>
          <w:shd w:val="clear" w:color="auto" w:fill="FFFFFF"/>
        </w:rPr>
        <w:t>,</w:t>
      </w:r>
      <w:r w:rsidRPr="00E8666E">
        <w:rPr>
          <w:shd w:val="clear" w:color="auto" w:fill="FFFFFF"/>
        </w:rPr>
        <w:t xml:space="preserve"> and 5), three for the Arab region (Study Groups 2, 3</w:t>
      </w:r>
      <w:r w:rsidR="00D81B31">
        <w:rPr>
          <w:shd w:val="clear" w:color="auto" w:fill="FFFFFF"/>
        </w:rPr>
        <w:t>,</w:t>
      </w:r>
      <w:r w:rsidRPr="00E8666E">
        <w:rPr>
          <w:shd w:val="clear" w:color="auto" w:fill="FFFFFF"/>
        </w:rPr>
        <w:t xml:space="preserve"> and 5), two for Asia and the Pacific (Study Groups 3 and 5)</w:t>
      </w:r>
      <w:r w:rsidR="00BD065E">
        <w:rPr>
          <w:shd w:val="clear" w:color="auto" w:fill="FFFFFF"/>
        </w:rPr>
        <w:t>,</w:t>
      </w:r>
      <w:r w:rsidRPr="00E8666E">
        <w:rPr>
          <w:shd w:val="clear" w:color="auto" w:fill="FFFFFF"/>
        </w:rPr>
        <w:t xml:space="preserve"> one</w:t>
      </w:r>
      <w:r>
        <w:rPr>
          <w:shd w:val="clear" w:color="auto" w:fill="FFFFFF"/>
        </w:rPr>
        <w:t xml:space="preserve"> (Study Group 3)</w:t>
      </w:r>
      <w:r w:rsidRPr="00E8666E">
        <w:rPr>
          <w:shd w:val="clear" w:color="auto" w:fill="FFFFFF"/>
        </w:rPr>
        <w:t xml:space="preserve"> for the Regional Commonwealth in the field of Communications</w:t>
      </w:r>
      <w:r>
        <w:rPr>
          <w:shd w:val="clear" w:color="auto" w:fill="FFFFFF"/>
        </w:rPr>
        <w:t xml:space="preserve"> and the CIS region (RCC/CIS)</w:t>
      </w:r>
      <w:r w:rsidR="00A47612">
        <w:rPr>
          <w:shd w:val="clear" w:color="auto" w:fill="FFFFFF"/>
        </w:rPr>
        <w:t>,</w:t>
      </w:r>
      <w:r w:rsidR="006A393D">
        <w:rPr>
          <w:shd w:val="clear" w:color="auto" w:fill="FFFFFF"/>
        </w:rPr>
        <w:t xml:space="preserve"> one (Study Group 11) for RCC,</w:t>
      </w:r>
      <w:r w:rsidR="00A47612">
        <w:rPr>
          <w:shd w:val="clear" w:color="auto" w:fill="FFFFFF"/>
        </w:rPr>
        <w:t xml:space="preserve"> and </w:t>
      </w:r>
      <w:r w:rsidR="0043604C">
        <w:rPr>
          <w:shd w:val="clear" w:color="auto" w:fill="FFFFFF"/>
        </w:rPr>
        <w:t xml:space="preserve">one (Study Group 3) for </w:t>
      </w:r>
      <w:r w:rsidR="0043604C">
        <w:t>Europe and the Mediterranean Basin</w:t>
      </w:r>
      <w:r w:rsidRPr="00E8666E">
        <w:rPr>
          <w:shd w:val="clear" w:color="auto" w:fill="FFFFFF"/>
        </w:rPr>
        <w:t>.</w:t>
      </w:r>
      <w:r w:rsidR="00DA24C1">
        <w:rPr>
          <w:shd w:val="clear" w:color="auto" w:fill="FFFFFF"/>
        </w:rPr>
        <w:t xml:space="preserve"> Five new regional groups were set up in March 2017</w:t>
      </w:r>
      <w:r w:rsidR="0043604C">
        <w:rPr>
          <w:shd w:val="clear" w:color="auto" w:fill="FFFFFF"/>
        </w:rPr>
        <w:t xml:space="preserve">, bringing the total to 23 regional groups – </w:t>
      </w:r>
      <w:r w:rsidR="00DA24C1">
        <w:rPr>
          <w:shd w:val="clear" w:color="auto" w:fill="FFFFFF"/>
        </w:rPr>
        <w:t>four by ITU-T SG20:</w:t>
      </w:r>
      <w:r w:rsidRPr="005D5202">
        <w:rPr>
          <w:shd w:val="clear" w:color="auto" w:fill="FFFFFF"/>
        </w:rPr>
        <w:t xml:space="preserve"> </w:t>
      </w:r>
      <w:hyperlink r:id="rId14" w:history="1">
        <w:r w:rsidR="00D634A8">
          <w:rPr>
            <w:rStyle w:val="Hyperlink"/>
          </w:rPr>
          <w:t>Regional Group for Latin America (RG-LATAM)</w:t>
        </w:r>
      </w:hyperlink>
      <w:r w:rsidR="00D634A8">
        <w:t xml:space="preserve">; </w:t>
      </w:r>
      <w:hyperlink r:id="rId15" w:history="1">
        <w:r w:rsidR="00D634A8">
          <w:rPr>
            <w:rStyle w:val="Hyperlink"/>
          </w:rPr>
          <w:t>Regional Group for the African Region</w:t>
        </w:r>
      </w:hyperlink>
      <w:r w:rsidR="00D634A8">
        <w:t xml:space="preserve"> (RG-AFR); </w:t>
      </w:r>
      <w:hyperlink r:id="rId16" w:history="1">
        <w:r w:rsidR="00D634A8">
          <w:rPr>
            <w:rStyle w:val="Hyperlink"/>
          </w:rPr>
          <w:t>Regional Group for the Arab Region</w:t>
        </w:r>
      </w:hyperlink>
      <w:r w:rsidR="00D634A8">
        <w:t xml:space="preserve"> (RG-ARB); </w:t>
      </w:r>
      <w:hyperlink r:id="rId17" w:history="1">
        <w:r w:rsidR="00D634A8">
          <w:rPr>
            <w:rStyle w:val="Hyperlink"/>
          </w:rPr>
          <w:t>Regional Group for Eastern Europe, Central Asia and Transcaucasia</w:t>
        </w:r>
      </w:hyperlink>
      <w:r w:rsidR="00D634A8">
        <w:t xml:space="preserve"> (RG-EECAT); and one </w:t>
      </w:r>
      <w:r w:rsidR="00D634A8" w:rsidRPr="00BC78CD">
        <w:rPr>
          <w:shd w:val="clear" w:color="auto" w:fill="FFFFFF"/>
        </w:rPr>
        <w:t>by ITU-T SG17 for the</w:t>
      </w:r>
      <w:r w:rsidR="0043604C">
        <w:rPr>
          <w:shd w:val="clear" w:color="auto" w:fill="FFFFFF"/>
        </w:rPr>
        <w:t xml:space="preserve"> Arab region (</w:t>
      </w:r>
      <w:r w:rsidR="00D634A8" w:rsidRPr="00BC78CD">
        <w:rPr>
          <w:shd w:val="clear" w:color="auto" w:fill="FFFFFF"/>
        </w:rPr>
        <w:t>RG-ARB).</w:t>
      </w:r>
    </w:p>
    <w:p w:rsidR="00FA2B59" w:rsidRPr="008060CD" w:rsidRDefault="00FA2B59" w:rsidP="00E1016D">
      <w:pPr>
        <w:shd w:val="clear" w:color="auto" w:fill="FFFFFF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spacing w:val="-2"/>
          <w:shd w:val="clear" w:color="auto" w:fill="FFFFFF"/>
        </w:rPr>
      </w:pPr>
      <w:r w:rsidRPr="008060CD">
        <w:rPr>
          <w:spacing w:val="-2"/>
          <w:shd w:val="clear" w:color="auto" w:fill="FFFFFF"/>
        </w:rPr>
        <w:t xml:space="preserve">Regional Groups for ITU-T Study Groups have proven effective mechanisms to assist in bridging the standardization gap by stimulating effective participation in ITU-T Study Groups and increasing the </w:t>
      </w:r>
      <w:r w:rsidRPr="008060CD">
        <w:rPr>
          <w:spacing w:val="-4"/>
          <w:shd w:val="clear" w:color="auto" w:fill="FFFFFF"/>
        </w:rPr>
        <w:t>number and quality of contributions from developing countries that could eventually lead to standards.</w:t>
      </w:r>
    </w:p>
    <w:p w:rsidR="00FA2B59" w:rsidRDefault="00FA2B59" w:rsidP="008060CD">
      <w:pPr>
        <w:shd w:val="clear" w:color="auto" w:fill="FFFFFF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shd w:val="clear" w:color="auto" w:fill="FFFFFF"/>
        </w:rPr>
      </w:pPr>
      <w:r>
        <w:rPr>
          <w:shd w:val="clear" w:color="auto" w:fill="FFFFFF"/>
        </w:rPr>
        <w:t>Key figures and statistics on Regional Groups and meetings</w:t>
      </w:r>
      <w:r w:rsidRPr="005D520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are set out in the figures below. </w:t>
      </w:r>
    </w:p>
    <w:p w:rsidR="00FA2B59" w:rsidRPr="0036049B" w:rsidRDefault="00FA2B59" w:rsidP="008060CD">
      <w:pPr>
        <w:pStyle w:val="Caption"/>
        <w:keepNext/>
        <w:spacing w:before="480" w:after="0"/>
        <w:jc w:val="center"/>
        <w:rPr>
          <w:noProof/>
        </w:rPr>
      </w:pPr>
      <w:r w:rsidRPr="0036049B">
        <w:rPr>
          <w:noProof/>
        </w:rPr>
        <w:lastRenderedPageBreak/>
        <w:t xml:space="preserve">Figure </w:t>
      </w:r>
      <w:r>
        <w:rPr>
          <w:noProof/>
        </w:rPr>
        <w:t>3</w:t>
      </w:r>
      <w:r w:rsidRPr="0036049B">
        <w:rPr>
          <w:noProof/>
        </w:rPr>
        <w:t xml:space="preserve"> : Study group Regional group meetings: Total number, duration and participation, 2013-2016</w:t>
      </w:r>
    </w:p>
    <w:p w:rsidR="00FA2B59" w:rsidRPr="008060CD" w:rsidRDefault="00FA2B59" w:rsidP="008060C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pacing w:before="0" w:line="360" w:lineRule="auto"/>
        <w:jc w:val="center"/>
        <w:rPr>
          <w:sz w:val="16"/>
          <w:szCs w:val="16"/>
        </w:rPr>
      </w:pPr>
      <w:r w:rsidRPr="006F6C3A">
        <w:rPr>
          <w:noProof/>
          <w:color w:val="FF0000"/>
          <w:szCs w:val="24"/>
          <w:lang w:val="en-US" w:eastAsia="zh-CN"/>
        </w:rPr>
        <w:drawing>
          <wp:inline distT="0" distB="0" distL="0" distR="0" wp14:anchorId="0385AD06" wp14:editId="3A4B7DBF">
            <wp:extent cx="2584450" cy="691472"/>
            <wp:effectExtent l="76200" t="133350" r="273050" b="29972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51" cy="701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B59" w:rsidRPr="0036049B" w:rsidRDefault="00FA2B59" w:rsidP="008060CD">
      <w:pPr>
        <w:pStyle w:val="Caption"/>
        <w:keepNext/>
        <w:keepLines/>
        <w:spacing w:after="0"/>
        <w:jc w:val="center"/>
        <w:rPr>
          <w:noProof/>
        </w:rPr>
      </w:pPr>
      <w:r w:rsidRPr="0036049B">
        <w:rPr>
          <w:noProof/>
        </w:rPr>
        <w:t>Figure</w:t>
      </w:r>
      <w:r>
        <w:rPr>
          <w:noProof/>
        </w:rPr>
        <w:t xml:space="preserve"> 4</w:t>
      </w:r>
      <w:r w:rsidRPr="0036049B">
        <w:rPr>
          <w:noProof/>
        </w:rPr>
        <w:t xml:space="preserve"> : Study Group Regional Group Meetings: Location, number and participation, 2013-2016</w:t>
      </w:r>
    </w:p>
    <w:p w:rsidR="00FA2B59" w:rsidRDefault="00FA2B59" w:rsidP="008060CD">
      <w:pPr>
        <w:keepNext/>
        <w:keepLines/>
        <w:shd w:val="clear" w:color="auto" w:fill="FFFFFF"/>
        <w:spacing w:line="400" w:lineRule="atLeast"/>
        <w:jc w:val="center"/>
        <w:rPr>
          <w:szCs w:val="24"/>
          <w:shd w:val="clear" w:color="auto" w:fill="FFFFFF"/>
        </w:rPr>
      </w:pPr>
      <w:r w:rsidRPr="0036049B">
        <w:rPr>
          <w:noProof/>
          <w:szCs w:val="24"/>
          <w:shd w:val="clear" w:color="auto" w:fill="FFFFFF"/>
          <w:lang w:val="en-US" w:eastAsia="zh-CN"/>
        </w:rPr>
        <w:drawing>
          <wp:inline distT="0" distB="0" distL="0" distR="0" wp14:anchorId="7D23D58F" wp14:editId="62C4D299">
            <wp:extent cx="4762500" cy="1783158"/>
            <wp:effectExtent l="0" t="0" r="0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4038" cy="178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59" w:rsidRDefault="00FA2B59" w:rsidP="008060CD">
      <w:pPr>
        <w:shd w:val="clear" w:color="auto" w:fill="FFFFFF"/>
        <w:spacing w:before="480" w:line="400" w:lineRule="atLeast"/>
        <w:rPr>
          <w:szCs w:val="24"/>
          <w:shd w:val="clear" w:color="auto" w:fill="FFFFFF"/>
        </w:rPr>
      </w:pPr>
    </w:p>
    <w:p w:rsidR="00FA2B59" w:rsidRDefault="00FA2B59" w:rsidP="008060CD">
      <w:pPr>
        <w:pStyle w:val="Caption"/>
        <w:keepNext/>
        <w:spacing w:after="120"/>
        <w:jc w:val="center"/>
      </w:pPr>
      <w:r>
        <w:t>Figure 5</w:t>
      </w:r>
      <w:r>
        <w:rPr>
          <w:noProof/>
        </w:rPr>
        <w:t xml:space="preserve">: </w:t>
      </w:r>
      <w:r w:rsidRPr="00E90C28">
        <w:rPr>
          <w:noProof/>
        </w:rPr>
        <w:t>Study Group Regional Group Meetings: Lo</w:t>
      </w:r>
      <w:r>
        <w:rPr>
          <w:noProof/>
        </w:rPr>
        <w:t>cation and dates</w:t>
      </w:r>
      <w:r w:rsidRPr="00E90C28">
        <w:rPr>
          <w:noProof/>
        </w:rPr>
        <w:t>, 2013-2016</w:t>
      </w:r>
    </w:p>
    <w:p w:rsidR="00FA2B59" w:rsidRPr="001648FA" w:rsidRDefault="00FA2B59" w:rsidP="00FA2B59">
      <w:pPr>
        <w:tabs>
          <w:tab w:val="left" w:pos="709"/>
        </w:tabs>
        <w:jc w:val="both"/>
        <w:rPr>
          <w:rFonts w:ascii="Times New Roman" w:hAnsi="Times New Roman"/>
          <w:szCs w:val="24"/>
        </w:rPr>
      </w:pPr>
      <w:r w:rsidRPr="00650DB3">
        <w:rPr>
          <w:noProof/>
          <w:lang w:val="en-US" w:eastAsia="zh-CN"/>
        </w:rPr>
        <w:drawing>
          <wp:inline distT="0" distB="0" distL="0" distR="0" wp14:anchorId="33D016F8" wp14:editId="510DE456">
            <wp:extent cx="6120765" cy="2896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59" w:rsidRDefault="008060CD" w:rsidP="008060CD">
      <w:pPr>
        <w:pStyle w:val="Heading1"/>
        <w:keepNext w:val="0"/>
        <w:keepLines w:val="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709" w:hanging="709"/>
      </w:pPr>
      <w:r>
        <w:t>4</w:t>
      </w:r>
      <w:r w:rsidR="00E1016D">
        <w:tab/>
      </w:r>
      <w:r w:rsidR="00FA2B59">
        <w:t>Forums held in association with Regional group meetings (2013-2016)</w:t>
      </w:r>
    </w:p>
    <w:p w:rsidR="00FA2B59" w:rsidRDefault="00FA2B59" w:rsidP="00D81B3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</w:pPr>
      <w:r w:rsidRPr="00FC5519">
        <w:t>4.1</w:t>
      </w:r>
      <w:r>
        <w:tab/>
      </w:r>
      <w:r w:rsidRPr="00484141">
        <w:t>BDT and TSB have been jointly organizing Regional Economic and Financial Forums that are held back-</w:t>
      </w:r>
      <w:r w:rsidRPr="003279AF">
        <w:t xml:space="preserve">to-back with SG3 Regional Groups, since the 1990s. Every year, four such joint meetings </w:t>
      </w:r>
      <w:r>
        <w:t>were being held i</w:t>
      </w:r>
      <w:r w:rsidRPr="003279AF">
        <w:t>n the four regions of Africa, Asia-Oceania, Arab States, and La</w:t>
      </w:r>
      <w:r w:rsidR="008060CD">
        <w:t xml:space="preserve">tin America and the Caribbean. </w:t>
      </w:r>
      <w:r w:rsidRPr="003279AF">
        <w:t>Based on requests from regional members</w:t>
      </w:r>
      <w:r w:rsidR="00D81B31">
        <w:t>hip</w:t>
      </w:r>
      <w:r w:rsidRPr="003279AF">
        <w:t xml:space="preserve"> on adapting the content of the Regional Forums to their standardization needs</w:t>
      </w:r>
      <w:r>
        <w:t>,</w:t>
      </w:r>
      <w:r w:rsidRPr="003279AF">
        <w:t xml:space="preserve"> with a view to building greater cohesion in the progression of technology and policy, Regional Standardization Forums (RSF</w:t>
      </w:r>
      <w:r>
        <w:t>s</w:t>
      </w:r>
      <w:r w:rsidRPr="003279AF">
        <w:t>) are</w:t>
      </w:r>
      <w:r>
        <w:t xml:space="preserve"> being </w:t>
      </w:r>
      <w:r w:rsidRPr="003279AF">
        <w:t>held back-to</w:t>
      </w:r>
      <w:r w:rsidR="00D81B31">
        <w:t>-</w:t>
      </w:r>
      <w:r w:rsidRPr="003279AF">
        <w:t xml:space="preserve">back with </w:t>
      </w:r>
      <w:r w:rsidRPr="003279AF">
        <w:lastRenderedPageBreak/>
        <w:t>SG3 Regional Groups in Asia-Oceania, Arab States, and Latin America and the Caribbean</w:t>
      </w:r>
      <w:r>
        <w:t xml:space="preserve"> in collaboration with ITU Regional offices.</w:t>
      </w:r>
    </w:p>
    <w:p w:rsidR="00FA2B59" w:rsidRDefault="00FA2B59" w:rsidP="008060CD">
      <w:pPr>
        <w:keepNext/>
        <w:keepLines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</w:pPr>
      <w:r w:rsidRPr="00FC5519">
        <w:t>4.2</w:t>
      </w:r>
      <w:r w:rsidR="00FC5519">
        <w:tab/>
      </w:r>
      <w:r>
        <w:t>T</w:t>
      </w:r>
      <w:r w:rsidRPr="001648FA">
        <w:t>here were 12 Regional Standardization Forums</w:t>
      </w:r>
      <w:r>
        <w:t xml:space="preserve"> (figure below)</w:t>
      </w:r>
      <w:r w:rsidRPr="001648FA">
        <w:t xml:space="preserve"> held for</w:t>
      </w:r>
      <w:r>
        <w:t>,</w:t>
      </w:r>
      <w:r w:rsidRPr="001648FA">
        <w:t xml:space="preserve"> or in</w:t>
      </w:r>
      <w:r>
        <w:t>,</w:t>
      </w:r>
      <w:r w:rsidRPr="001648FA">
        <w:t xml:space="preserve"> developing countries during th</w:t>
      </w:r>
      <w:r>
        <w:t xml:space="preserve">e past </w:t>
      </w:r>
      <w:r w:rsidRPr="001648FA">
        <w:t>study period (2013-2016)</w:t>
      </w:r>
      <w:r>
        <w:t xml:space="preserve">, covering a </w:t>
      </w:r>
      <w:r w:rsidRPr="001648FA">
        <w:t xml:space="preserve">wide range of themes, including Human exposure to EMF, Quality of Service, Smart Water Management, International Mobile </w:t>
      </w:r>
      <w:r w:rsidRPr="008060CD">
        <w:rPr>
          <w:spacing w:val="2"/>
        </w:rPr>
        <w:t>Roaming, Mobile financial services, digital identify and big data</w:t>
      </w:r>
      <w:r w:rsidR="00D81B31">
        <w:rPr>
          <w:spacing w:val="2"/>
        </w:rPr>
        <w:t>,</w:t>
      </w:r>
      <w:r w:rsidRPr="008060CD">
        <w:rPr>
          <w:spacing w:val="2"/>
        </w:rPr>
        <w:t xml:space="preserve"> etc., as well as tutorials on the</w:t>
      </w:r>
      <w:r w:rsidRPr="001648FA">
        <w:t xml:space="preserve"> ITU-T working methods.</w:t>
      </w:r>
    </w:p>
    <w:p w:rsidR="00FA2B59" w:rsidRDefault="00FA2B59" w:rsidP="008060CD">
      <w:pPr>
        <w:pStyle w:val="Caption"/>
        <w:keepNext/>
        <w:keepLines/>
        <w:spacing w:after="0"/>
        <w:jc w:val="center"/>
        <w:rPr>
          <w:noProof/>
        </w:rPr>
      </w:pPr>
      <w:r>
        <w:t>Figure 6</w:t>
      </w:r>
      <w:r>
        <w:rPr>
          <w:noProof/>
        </w:rPr>
        <w:t xml:space="preserve">: ITU-T REGIONAL STANDARDIZATION FORUMS FOR BSG </w:t>
      </w:r>
    </w:p>
    <w:p w:rsidR="00FA2B59" w:rsidRDefault="00FA2B59" w:rsidP="008060CD">
      <w:pPr>
        <w:pStyle w:val="Caption"/>
        <w:keepNext/>
        <w:keepLines/>
        <w:spacing w:after="120"/>
        <w:jc w:val="center"/>
        <w:rPr>
          <w:color w:val="4A442A" w:themeColor="background2" w:themeShade="40"/>
          <w:szCs w:val="16"/>
        </w:rPr>
      </w:pPr>
      <w:r w:rsidRPr="00EF481C">
        <w:rPr>
          <w:color w:val="4A442A" w:themeColor="background2" w:themeShade="40"/>
          <w:szCs w:val="16"/>
        </w:rPr>
        <w:t>Meetings and Participants by Region (2013-</w:t>
      </w:r>
      <w:r>
        <w:rPr>
          <w:color w:val="4A442A" w:themeColor="background2" w:themeShade="40"/>
          <w:szCs w:val="16"/>
        </w:rPr>
        <w:t xml:space="preserve"> </w:t>
      </w:r>
      <w:r w:rsidRPr="00EF481C">
        <w:rPr>
          <w:color w:val="4A442A" w:themeColor="background2" w:themeShade="40"/>
          <w:szCs w:val="16"/>
        </w:rPr>
        <w:t>2016)</w:t>
      </w:r>
    </w:p>
    <w:p w:rsidR="00FA2B59" w:rsidRDefault="00FA2B59" w:rsidP="008060CD">
      <w:pPr>
        <w:keepNext/>
        <w:keepLines/>
        <w:jc w:val="center"/>
      </w:pPr>
      <w:r>
        <w:rPr>
          <w:noProof/>
          <w:lang w:val="en-US" w:eastAsia="zh-CN"/>
        </w:rPr>
        <w:drawing>
          <wp:inline distT="0" distB="0" distL="0" distR="0" wp14:anchorId="1CFD9295" wp14:editId="46ED21B7">
            <wp:extent cx="4777704" cy="17145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48" cy="17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B59" w:rsidRPr="001648FA" w:rsidRDefault="00FA2B59" w:rsidP="00FA2B59">
      <w:pPr>
        <w:jc w:val="center"/>
      </w:pPr>
    </w:p>
    <w:p w:rsidR="00FA2B59" w:rsidRDefault="00FA2B59" w:rsidP="008060CD">
      <w:pPr>
        <w:pStyle w:val="Heading1"/>
        <w:keepNext w:val="0"/>
        <w:keepLines w:val="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before="360" w:after="120"/>
        <w:ind w:left="709" w:hanging="709"/>
      </w:pPr>
      <w:r>
        <w:t>5</w:t>
      </w:r>
      <w:r w:rsidR="008060CD">
        <w:tab/>
      </w:r>
      <w:r>
        <w:t xml:space="preserve">Capacity building in standardization </w:t>
      </w:r>
    </w:p>
    <w:p w:rsidR="00FA2B59" w:rsidRDefault="00FA2B59" w:rsidP="00E1016D">
      <w:pPr>
        <w:shd w:val="clear" w:color="auto" w:fill="FFFFFF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jc w:val="both"/>
        <w:rPr>
          <w:shd w:val="clear" w:color="auto" w:fill="FFFFFF"/>
        </w:rPr>
      </w:pPr>
      <w:r w:rsidRPr="007E7E1C">
        <w:rPr>
          <w:noProof/>
          <w:lang w:val="en-US" w:eastAsia="zh-CN"/>
        </w:rPr>
        <w:drawing>
          <wp:anchor distT="0" distB="215900" distL="114300" distR="114300" simplePos="0" relativeHeight="251659264" behindDoc="0" locked="0" layoutInCell="1" allowOverlap="1" wp14:anchorId="12333D2E" wp14:editId="52BEBD11">
            <wp:simplePos x="0" y="0"/>
            <wp:positionH relativeFrom="margin">
              <wp:posOffset>3810</wp:posOffset>
            </wp:positionH>
            <wp:positionV relativeFrom="paragraph">
              <wp:posOffset>1000760</wp:posOffset>
            </wp:positionV>
            <wp:extent cx="6112800" cy="1580400"/>
            <wp:effectExtent l="0" t="0" r="2540" b="1270"/>
            <wp:wrapTopAndBottom/>
            <wp:docPr id="14" name="Picture 14" descr="Developing the right skil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eloping the right skills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</w:t>
      </w:r>
      <w:r w:rsidRPr="00517DE4">
        <w:t xml:space="preserve"> successful hands-on capacity-building</w:t>
      </w:r>
      <w:r>
        <w:t xml:space="preserve"> and effectiveness sessions</w:t>
      </w:r>
      <w:r w:rsidRPr="00517DE4">
        <w:t xml:space="preserve"> conducted by ITU</w:t>
      </w:r>
      <w:r w:rsidRPr="00517DE4">
        <w:noBreakHyphen/>
        <w:t xml:space="preserve">T SG3 since early 2014 has </w:t>
      </w:r>
      <w:r>
        <w:t xml:space="preserve">now </w:t>
      </w:r>
      <w:r w:rsidRPr="00517DE4">
        <w:t>been extended to other study groups and their regional groups.</w:t>
      </w:r>
      <w:r>
        <w:t xml:space="preserve"> These </w:t>
      </w:r>
      <w:r w:rsidRPr="007E7E1C">
        <w:rPr>
          <w:shd w:val="clear" w:color="auto" w:fill="FFFFFF"/>
        </w:rPr>
        <w:t xml:space="preserve">BSG Hands-On sessions </w:t>
      </w:r>
      <w:r>
        <w:rPr>
          <w:shd w:val="clear" w:color="auto" w:fill="FFFFFF"/>
        </w:rPr>
        <w:t xml:space="preserve">are </w:t>
      </w:r>
      <w:r w:rsidRPr="007E7E1C">
        <w:rPr>
          <w:shd w:val="clear" w:color="auto" w:fill="FFFFFF"/>
        </w:rPr>
        <w:t xml:space="preserve">geared towards assisting developing countries in acquiring the right skills and capabilities for international standards-making and to draft contributions for </w:t>
      </w:r>
      <w:r>
        <w:rPr>
          <w:shd w:val="clear" w:color="auto" w:fill="FFFFFF"/>
        </w:rPr>
        <w:t xml:space="preserve">submission to Study Group </w:t>
      </w:r>
      <w:r w:rsidR="008060CD">
        <w:rPr>
          <w:shd w:val="clear" w:color="auto" w:fill="FFFFFF"/>
        </w:rPr>
        <w:t xml:space="preserve">meetings. </w:t>
      </w:r>
      <w:r w:rsidRPr="007E7E1C">
        <w:rPr>
          <w:shd w:val="clear" w:color="auto" w:fill="FFFFFF"/>
        </w:rPr>
        <w:t>The sessions focus on the development of practical skills to maximize the effectiveness of developing countries’ participation in the ITU-T standardization process, covering topics</w:t>
      </w:r>
      <w:r>
        <w:rPr>
          <w:shd w:val="clear" w:color="auto" w:fill="FFFFFF"/>
        </w:rPr>
        <w:t xml:space="preserve"> such as</w:t>
      </w:r>
      <w:r w:rsidRPr="007E7E1C">
        <w:rPr>
          <w:shd w:val="clear" w:color="auto" w:fill="FFFFFF"/>
        </w:rPr>
        <w:t xml:space="preserve"> strategies for participation in Study Groups, drafting </w:t>
      </w:r>
      <w:r>
        <w:rPr>
          <w:shd w:val="clear" w:color="auto" w:fill="FFFFFF"/>
        </w:rPr>
        <w:t>c</w:t>
      </w:r>
      <w:r w:rsidRPr="007E7E1C">
        <w:rPr>
          <w:shd w:val="clear" w:color="auto" w:fill="FFFFFF"/>
        </w:rPr>
        <w:t>ontributions, presenting proposals, gaining support</w:t>
      </w:r>
      <w:r w:rsidR="00D81B31">
        <w:rPr>
          <w:shd w:val="clear" w:color="auto" w:fill="FFFFFF"/>
        </w:rPr>
        <w:t>,</w:t>
      </w:r>
      <w:r w:rsidRPr="007E7E1C">
        <w:rPr>
          <w:shd w:val="clear" w:color="auto" w:fill="FFFFFF"/>
        </w:rPr>
        <w:t xml:space="preserve"> and building consensus. </w: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80738" wp14:editId="03E9EB94">
                <wp:simplePos x="0" y="0"/>
                <wp:positionH relativeFrom="column">
                  <wp:posOffset>-104775</wp:posOffset>
                </wp:positionH>
                <wp:positionV relativeFrom="paragraph">
                  <wp:posOffset>569595</wp:posOffset>
                </wp:positionV>
                <wp:extent cx="6698615" cy="457200"/>
                <wp:effectExtent l="0" t="0" r="6985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B59" w:rsidRDefault="00FA2B59" w:rsidP="00FA2B59">
                            <w:pPr>
                              <w:pStyle w:val="Caption"/>
                              <w:jc w:val="center"/>
                            </w:pPr>
                          </w:p>
                          <w:p w:rsidR="00FA2B59" w:rsidRDefault="00FA2B59" w:rsidP="00FA2B5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7: </w:t>
                            </w:r>
                            <w:r w:rsidRPr="004A40D0">
                              <w:t>KEY ASPECTS OF BSG HANDS-ON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6807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8.25pt;margin-top:44.85pt;width:527.4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" stroked="f">
                <v:textbox inset="0,0,0,0">
                  <w:txbxContent>
                    <w:p w:rsidR="00FA2B59" w:rsidRDefault="00FA2B59" w:rsidP="00FA2B59">
                      <w:pPr>
                        <w:pStyle w:val="Caption"/>
                        <w:jc w:val="center"/>
                      </w:pPr>
                    </w:p>
                    <w:p w:rsidR="00FA2B59" w:rsidRDefault="00FA2B59" w:rsidP="00FA2B5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7: </w:t>
                      </w:r>
                      <w:r w:rsidRPr="004A40D0">
                        <w:t>KEY ASPECTS OF BSG HANDS-ON SESSIONS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077DD">
        <w:rPr>
          <w:shd w:val="clear" w:color="auto" w:fill="FFFFFF"/>
        </w:rPr>
        <w:t>The</w:t>
      </w:r>
      <w:r>
        <w:rPr>
          <w:shd w:val="clear" w:color="auto" w:fill="FFFFFF"/>
        </w:rPr>
        <w:t xml:space="preserve"> content of these sessions is outlined in the five </w:t>
      </w:r>
      <w:r w:rsidR="008060CD">
        <w:rPr>
          <w:shd w:val="clear" w:color="auto" w:fill="FFFFFF"/>
        </w:rPr>
        <w:t>key areas in the figure above.</w:t>
      </w:r>
    </w:p>
    <w:p w:rsidR="00264425" w:rsidRDefault="00FA2B59" w:rsidP="009B3C8B">
      <w:pPr>
        <w:spacing w:before="0"/>
        <w:rPr>
          <w:rStyle w:val="Hyperlink"/>
          <w:i/>
          <w:iCs/>
          <w:sz w:val="22"/>
          <w:szCs w:val="18"/>
        </w:rPr>
      </w:pPr>
      <w:r w:rsidRPr="009B3C8B">
        <w:rPr>
          <w:i/>
          <w:iCs/>
          <w:sz w:val="22"/>
          <w:szCs w:val="18"/>
        </w:rPr>
        <w:t xml:space="preserve">For more information about the Bridging the Standardization Gap (BSG) Programme, please see Section 16 of the Director’s report to WTSA-16 available here: </w:t>
      </w:r>
      <w:hyperlink r:id="rId23" w:history="1">
        <w:r w:rsidRPr="009B3C8B">
          <w:rPr>
            <w:rStyle w:val="Hyperlink"/>
            <w:i/>
            <w:iCs/>
            <w:sz w:val="22"/>
            <w:szCs w:val="18"/>
          </w:rPr>
          <w:t>https://www.itu.int/md/T13-WTSA.16-C-0028/en</w:t>
        </w:r>
      </w:hyperlink>
    </w:p>
    <w:p w:rsidR="009B3C8B" w:rsidRPr="007E7E1C" w:rsidRDefault="009B3C8B" w:rsidP="009B3C8B">
      <w:pPr>
        <w:shd w:val="clear" w:color="auto" w:fill="FFFFFF"/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before="0"/>
        <w:jc w:val="center"/>
        <w:rPr>
          <w:shd w:val="clear" w:color="auto" w:fill="FFFFFF"/>
        </w:rPr>
      </w:pPr>
      <w:r>
        <w:rPr>
          <w:shd w:val="clear" w:color="auto" w:fill="FFFFFF"/>
        </w:rPr>
        <w:t>_________________</w:t>
      </w:r>
      <w:bookmarkStart w:id="10" w:name="_GoBack"/>
      <w:bookmarkEnd w:id="10"/>
    </w:p>
    <w:sectPr w:rsidR="009B3C8B" w:rsidRPr="007E7E1C" w:rsidSect="004D1851">
      <w:headerReference w:type="default" r:id="rId24"/>
      <w:footerReference w:type="first" r:id="rId2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132" w:rsidRDefault="00793132">
      <w:r>
        <w:separator/>
      </w:r>
    </w:p>
  </w:endnote>
  <w:endnote w:type="continuationSeparator" w:id="0">
    <w:p w:rsidR="00793132" w:rsidRDefault="0079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D0D" w:rsidRDefault="00322D0D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132" w:rsidRDefault="00793132">
      <w:r>
        <w:t>____________________</w:t>
      </w:r>
    </w:p>
  </w:footnote>
  <w:footnote w:type="continuationSeparator" w:id="0">
    <w:p w:rsidR="00793132" w:rsidRDefault="00793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D0D" w:rsidRDefault="006535F1" w:rsidP="00CE433C">
    <w:pPr>
      <w:pStyle w:val="Header"/>
    </w:pPr>
    <w:r>
      <w:fldChar w:fldCharType="begin"/>
    </w:r>
    <w:r>
      <w:instrText>PAGE</w:instrText>
    </w:r>
    <w:r>
      <w:fldChar w:fldCharType="separate"/>
    </w:r>
    <w:r w:rsidR="002C2A4B">
      <w:rPr>
        <w:noProof/>
      </w:rPr>
      <w:t>5</w:t>
    </w:r>
    <w:r>
      <w:rPr>
        <w:noProof/>
      </w:rPr>
      <w:fldChar w:fldCharType="end"/>
    </w:r>
  </w:p>
  <w:p w:rsidR="00322D0D" w:rsidRDefault="00FA2B59" w:rsidP="005243FF">
    <w:pPr>
      <w:pStyle w:val="Header"/>
    </w:pPr>
    <w:r>
      <w:t>C17/72-E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59"/>
    <w:rsid w:val="00016A51"/>
    <w:rsid w:val="000210D4"/>
    <w:rsid w:val="00063016"/>
    <w:rsid w:val="00066795"/>
    <w:rsid w:val="00076AF6"/>
    <w:rsid w:val="00085CF2"/>
    <w:rsid w:val="000B1705"/>
    <w:rsid w:val="000D75B2"/>
    <w:rsid w:val="001121F5"/>
    <w:rsid w:val="001400DC"/>
    <w:rsid w:val="00140CE1"/>
    <w:rsid w:val="0017539C"/>
    <w:rsid w:val="00175AC2"/>
    <w:rsid w:val="0017609F"/>
    <w:rsid w:val="001C628E"/>
    <w:rsid w:val="001E0F7B"/>
    <w:rsid w:val="002119FD"/>
    <w:rsid w:val="002130E0"/>
    <w:rsid w:val="00264425"/>
    <w:rsid w:val="00265875"/>
    <w:rsid w:val="0027303B"/>
    <w:rsid w:val="0028109B"/>
    <w:rsid w:val="002B1F58"/>
    <w:rsid w:val="002C1C7A"/>
    <w:rsid w:val="002C2A4B"/>
    <w:rsid w:val="002E5E04"/>
    <w:rsid w:val="0030160F"/>
    <w:rsid w:val="00322D0D"/>
    <w:rsid w:val="003942D4"/>
    <w:rsid w:val="003958A8"/>
    <w:rsid w:val="003C2533"/>
    <w:rsid w:val="0040435A"/>
    <w:rsid w:val="00416A24"/>
    <w:rsid w:val="00431D9E"/>
    <w:rsid w:val="00433CE8"/>
    <w:rsid w:val="00434A5C"/>
    <w:rsid w:val="0043604C"/>
    <w:rsid w:val="004544D9"/>
    <w:rsid w:val="00490E72"/>
    <w:rsid w:val="00491157"/>
    <w:rsid w:val="004921C8"/>
    <w:rsid w:val="004D1851"/>
    <w:rsid w:val="004D599D"/>
    <w:rsid w:val="004E2EA5"/>
    <w:rsid w:val="004E3AEB"/>
    <w:rsid w:val="0050223C"/>
    <w:rsid w:val="005243FF"/>
    <w:rsid w:val="00564FBC"/>
    <w:rsid w:val="00572AC2"/>
    <w:rsid w:val="00582442"/>
    <w:rsid w:val="0064737F"/>
    <w:rsid w:val="006535F1"/>
    <w:rsid w:val="0065557D"/>
    <w:rsid w:val="00662984"/>
    <w:rsid w:val="006716BB"/>
    <w:rsid w:val="006A393D"/>
    <w:rsid w:val="006B6680"/>
    <w:rsid w:val="006B6DCC"/>
    <w:rsid w:val="00702DEF"/>
    <w:rsid w:val="00706861"/>
    <w:rsid w:val="0075051B"/>
    <w:rsid w:val="00793132"/>
    <w:rsid w:val="00794D34"/>
    <w:rsid w:val="008060CD"/>
    <w:rsid w:val="00813E5E"/>
    <w:rsid w:val="008216D5"/>
    <w:rsid w:val="0083581B"/>
    <w:rsid w:val="00864AFF"/>
    <w:rsid w:val="008B4A6A"/>
    <w:rsid w:val="008C7E27"/>
    <w:rsid w:val="009173EF"/>
    <w:rsid w:val="00924ACB"/>
    <w:rsid w:val="00931233"/>
    <w:rsid w:val="00932906"/>
    <w:rsid w:val="00961B0B"/>
    <w:rsid w:val="00975E81"/>
    <w:rsid w:val="009B38C3"/>
    <w:rsid w:val="009B3C8B"/>
    <w:rsid w:val="009C0022"/>
    <w:rsid w:val="009E17BD"/>
    <w:rsid w:val="00A04CEC"/>
    <w:rsid w:val="00A27F92"/>
    <w:rsid w:val="00A32257"/>
    <w:rsid w:val="00A36D20"/>
    <w:rsid w:val="00A47612"/>
    <w:rsid w:val="00A55622"/>
    <w:rsid w:val="00A83502"/>
    <w:rsid w:val="00AD15B3"/>
    <w:rsid w:val="00AD2275"/>
    <w:rsid w:val="00AF139C"/>
    <w:rsid w:val="00AF6E49"/>
    <w:rsid w:val="00B01019"/>
    <w:rsid w:val="00B04A67"/>
    <w:rsid w:val="00B0583C"/>
    <w:rsid w:val="00B40A81"/>
    <w:rsid w:val="00B44910"/>
    <w:rsid w:val="00B72267"/>
    <w:rsid w:val="00B76EB6"/>
    <w:rsid w:val="00B7737B"/>
    <w:rsid w:val="00B824C8"/>
    <w:rsid w:val="00BC251A"/>
    <w:rsid w:val="00BC78CD"/>
    <w:rsid w:val="00BD032B"/>
    <w:rsid w:val="00BD065E"/>
    <w:rsid w:val="00BE2640"/>
    <w:rsid w:val="00C01189"/>
    <w:rsid w:val="00C374DE"/>
    <w:rsid w:val="00C47AD4"/>
    <w:rsid w:val="00C52D81"/>
    <w:rsid w:val="00C55198"/>
    <w:rsid w:val="00CA6393"/>
    <w:rsid w:val="00CB18FF"/>
    <w:rsid w:val="00CD0C08"/>
    <w:rsid w:val="00CE03FB"/>
    <w:rsid w:val="00CE433C"/>
    <w:rsid w:val="00CF33F3"/>
    <w:rsid w:val="00D06183"/>
    <w:rsid w:val="00D22C42"/>
    <w:rsid w:val="00D634A8"/>
    <w:rsid w:val="00D65041"/>
    <w:rsid w:val="00D77ED2"/>
    <w:rsid w:val="00D81B31"/>
    <w:rsid w:val="00D826E7"/>
    <w:rsid w:val="00DA24C1"/>
    <w:rsid w:val="00DB384B"/>
    <w:rsid w:val="00E1016D"/>
    <w:rsid w:val="00E10E80"/>
    <w:rsid w:val="00E124F0"/>
    <w:rsid w:val="00E60F04"/>
    <w:rsid w:val="00E854E4"/>
    <w:rsid w:val="00EB0BB4"/>
    <w:rsid w:val="00EB0D6F"/>
    <w:rsid w:val="00EB2232"/>
    <w:rsid w:val="00EC5337"/>
    <w:rsid w:val="00EE0A16"/>
    <w:rsid w:val="00F14D8E"/>
    <w:rsid w:val="00F2150A"/>
    <w:rsid w:val="00F231D8"/>
    <w:rsid w:val="00F46C5F"/>
    <w:rsid w:val="00F94A63"/>
    <w:rsid w:val="00FA1C28"/>
    <w:rsid w:val="00FA2B59"/>
    <w:rsid w:val="00FB7596"/>
    <w:rsid w:val="00FC5519"/>
    <w:rsid w:val="00FE4077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16AF9A68-2AC4-4735-8F4A-53BA3838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E5E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paragraph" w:customStyle="1" w:styleId="Equation">
    <w:name w:val="Equation"/>
    <w:basedOn w:val="Normal"/>
    <w:rsid w:val="004D1851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8060CD"/>
    <w:pPr>
      <w:framePr w:hSpace="180" w:wrap="around" w:hAnchor="margin" w:y="-675"/>
      <w:spacing w:before="84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paragraph" w:customStyle="1" w:styleId="Reasons">
    <w:name w:val="Reasons"/>
    <w:basedOn w:val="Normal"/>
    <w:rsid w:val="00813E5E"/>
  </w:style>
  <w:style w:type="character" w:styleId="Hyperlink">
    <w:name w:val="Hyperlink"/>
    <w:basedOn w:val="DefaultParagraphFont"/>
    <w:rsid w:val="00813E5E"/>
    <w:rPr>
      <w:color w:val="0000FF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813E5E"/>
    <w:pPr>
      <w:framePr w:wrap="around"/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813E5E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pPr>
      <w:framePr w:wrap="around"/>
    </w:pPr>
    <w:rPr>
      <w:caps w:val="0"/>
    </w:rPr>
  </w:style>
  <w:style w:type="paragraph" w:customStyle="1" w:styleId="Title4">
    <w:name w:val="Title 4"/>
    <w:basedOn w:val="Title3"/>
    <w:next w:val="Heading1"/>
    <w:rsid w:val="004D1851"/>
    <w:pPr>
      <w:framePr w:wrap="around"/>
    </w:pPr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Equationlegend">
    <w:name w:val="Equation_legend"/>
    <w:basedOn w:val="Normal"/>
    <w:rsid w:val="004D1851"/>
    <w:pPr>
      <w:tabs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4D1851"/>
  </w:style>
  <w:style w:type="paragraph" w:customStyle="1" w:styleId="RepNo">
    <w:name w:val="Rep_No"/>
    <w:basedOn w:val="RecNo"/>
    <w:next w:val="Reptitle"/>
    <w:rsid w:val="004D1851"/>
  </w:style>
  <w:style w:type="paragraph" w:customStyle="1" w:styleId="Reptitle">
    <w:name w:val="Rep_title"/>
    <w:basedOn w:val="Rectitle"/>
    <w:next w:val="Repref"/>
    <w:rsid w:val="004D1851"/>
  </w:style>
  <w:style w:type="paragraph" w:customStyle="1" w:styleId="Repref">
    <w:name w:val="Rep_ref"/>
    <w:basedOn w:val="Recref"/>
    <w:next w:val="Repdate"/>
    <w:rsid w:val="004D1851"/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SpecialFooter">
    <w:name w:val="Special Footer"/>
    <w:basedOn w:val="Footer"/>
    <w:rsid w:val="004D1851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paragraph" w:customStyle="1" w:styleId="Table">
    <w:name w:val="Table_#"/>
    <w:basedOn w:val="Normal"/>
    <w:next w:val="Normal"/>
    <w:rsid w:val="00FA2B59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character" w:customStyle="1" w:styleId="Heading1Char">
    <w:name w:val="Heading 1 Char"/>
    <w:basedOn w:val="DefaultParagraphFont"/>
    <w:link w:val="Heading1"/>
    <w:rsid w:val="00FA2B59"/>
    <w:rPr>
      <w:rFonts w:ascii="Calibri" w:hAnsi="Calibri"/>
      <w:b/>
      <w:sz w:val="28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FA2B59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 w:after="200"/>
      <w:textAlignment w:val="auto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n-US" w:eastAsia="zh-CN"/>
    </w:rPr>
  </w:style>
  <w:style w:type="paragraph" w:styleId="BalloonText">
    <w:name w:val="Balloon Text"/>
    <w:basedOn w:val="Normal"/>
    <w:link w:val="BalloonTextChar"/>
    <w:semiHidden/>
    <w:unhideWhenUsed/>
    <w:rsid w:val="00D81B3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81B31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jpg@01D2B2A3.03902F40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itu.int/en/ITU-T/studygroups/2017-2020/20/sg20rgeecat/Pages/default.aspx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tu.int/en/ITU-T/studygroups/2017-2020/20/sg20rgarb/Pages/default.aspx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en/ITU-T/studygroups/2017-2020/20/sg20rgafr/Pages/default.aspx" TargetMode="External"/><Relationship Id="rId23" Type="http://schemas.openxmlformats.org/officeDocument/2006/relationships/hyperlink" Target="https://www.itu.int/md/T13-WTSA.16-C-0028/en" TargetMode="External"/><Relationship Id="rId10" Type="http://schemas.openxmlformats.org/officeDocument/2006/relationships/hyperlink" Target="https://www.itu.int/md/S17-CL-INF-0009/en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itu.int/pub/T-RES-T.44-2016" TargetMode="External"/><Relationship Id="rId14" Type="http://schemas.openxmlformats.org/officeDocument/2006/relationships/hyperlink" Target="http://www.itu.int/en/ITU-T/studygroups/2017-2020/20/sg20rglatam/Pages/default.aspx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68057-3FA0-4FD6-BA86-2F010321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Effectiveness of regional groups for bridging the standardization gap</vt:lpstr>
    </vt:vector>
  </TitlesOfParts>
  <Manager>General Secretariat - Pool</Manager>
  <Company>International Telecommunication Union (ITU)</Company>
  <LinksUpToDate>false</LinksUpToDate>
  <CharactersWithSpaces>7589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Effectiveness of regional groups for bridging the standardization gap</dc:title>
  <dc:subject>Council 2017</dc:subject>
  <dc:creator>Brouard, Ricarda</dc:creator>
  <cp:keywords>C2017, C17</cp:keywords>
  <dc:description/>
  <cp:lastModifiedBy>Janin</cp:lastModifiedBy>
  <cp:revision>2</cp:revision>
  <cp:lastPrinted>2000-07-18T13:30:00Z</cp:lastPrinted>
  <dcterms:created xsi:type="dcterms:W3CDTF">2017-04-24T06:18:00Z</dcterms:created>
  <dcterms:modified xsi:type="dcterms:W3CDTF">2017-04-24T06:18:00Z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