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B8693C">
        <w:trPr>
          <w:cantSplit/>
        </w:trPr>
        <w:tc>
          <w:tcPr>
            <w:tcW w:w="6912" w:type="dxa"/>
          </w:tcPr>
          <w:p w:rsidR="00093EEB" w:rsidRPr="00B8693C" w:rsidRDefault="00093EEB" w:rsidP="00093EEB">
            <w:pPr>
              <w:spacing w:before="360"/>
              <w:rPr>
                <w:szCs w:val="24"/>
                <w:lang w:val="es-ES"/>
              </w:rPr>
            </w:pPr>
            <w:bookmarkStart w:id="0" w:name="dc06"/>
            <w:bookmarkStart w:id="1" w:name="dbluepink" w:colFirst="0" w:colLast="0"/>
            <w:bookmarkEnd w:id="0"/>
            <w:r w:rsidRPr="00B8693C">
              <w:rPr>
                <w:b/>
                <w:bCs/>
                <w:sz w:val="30"/>
                <w:szCs w:val="30"/>
                <w:lang w:val="es-ES"/>
              </w:rPr>
              <w:t>Consejo 2017</w:t>
            </w:r>
            <w:r w:rsidRPr="00B8693C">
              <w:rPr>
                <w:b/>
                <w:bCs/>
                <w:sz w:val="26"/>
                <w:szCs w:val="26"/>
                <w:lang w:val="es-ES"/>
              </w:rPr>
              <w:br/>
            </w:r>
            <w:r w:rsidRPr="00B8693C">
              <w:rPr>
                <w:b/>
                <w:bCs/>
                <w:szCs w:val="24"/>
                <w:lang w:val="es-ES"/>
              </w:rPr>
              <w:t>Ginebra, 15-25 de mayo de 2017</w:t>
            </w:r>
          </w:p>
        </w:tc>
        <w:tc>
          <w:tcPr>
            <w:tcW w:w="3261" w:type="dxa"/>
          </w:tcPr>
          <w:p w:rsidR="00093EEB" w:rsidRPr="00B8693C" w:rsidRDefault="00093EEB" w:rsidP="00093EEB">
            <w:pPr>
              <w:spacing w:before="0"/>
              <w:jc w:val="right"/>
              <w:rPr>
                <w:szCs w:val="24"/>
                <w:lang w:val="es-ES"/>
              </w:rPr>
            </w:pPr>
            <w:bookmarkStart w:id="2" w:name="ditulogo"/>
            <w:bookmarkEnd w:id="2"/>
            <w:r w:rsidRPr="00B8693C">
              <w:rPr>
                <w:rFonts w:cstheme="minorHAnsi"/>
                <w:b/>
                <w:bCs/>
                <w:noProof/>
                <w:szCs w:val="24"/>
                <w:lang w:val="en-US" w:eastAsia="zh-CN"/>
              </w:rPr>
              <w:drawing>
                <wp:inline distT="0" distB="0" distL="0" distR="0" wp14:anchorId="20716D67" wp14:editId="3A7EBAD8">
                  <wp:extent cx="1771650" cy="695325"/>
                  <wp:effectExtent l="0" t="0" r="0" b="9525"/>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093EEB" w:rsidRPr="00B8693C">
        <w:trPr>
          <w:cantSplit/>
          <w:trHeight w:val="20"/>
        </w:trPr>
        <w:tc>
          <w:tcPr>
            <w:tcW w:w="10173" w:type="dxa"/>
            <w:gridSpan w:val="2"/>
            <w:tcBorders>
              <w:bottom w:val="single" w:sz="12" w:space="0" w:color="auto"/>
            </w:tcBorders>
          </w:tcPr>
          <w:p w:rsidR="00093EEB" w:rsidRPr="00B8693C" w:rsidRDefault="00093EEB">
            <w:pPr>
              <w:spacing w:before="0"/>
              <w:rPr>
                <w:b/>
                <w:bCs/>
                <w:szCs w:val="24"/>
                <w:lang w:val="es-ES"/>
              </w:rPr>
            </w:pPr>
          </w:p>
        </w:tc>
      </w:tr>
      <w:tr w:rsidR="00093EEB" w:rsidRPr="00B8693C">
        <w:trPr>
          <w:cantSplit/>
          <w:trHeight w:val="20"/>
        </w:trPr>
        <w:tc>
          <w:tcPr>
            <w:tcW w:w="6912" w:type="dxa"/>
            <w:tcBorders>
              <w:top w:val="single" w:sz="12" w:space="0" w:color="auto"/>
            </w:tcBorders>
          </w:tcPr>
          <w:p w:rsidR="00093EEB" w:rsidRPr="00B8693C" w:rsidRDefault="00093EEB">
            <w:pPr>
              <w:tabs>
                <w:tab w:val="clear" w:pos="2268"/>
                <w:tab w:val="left" w:pos="1560"/>
                <w:tab w:val="left" w:pos="2269"/>
                <w:tab w:val="left" w:pos="3544"/>
                <w:tab w:val="left" w:pos="3969"/>
              </w:tabs>
              <w:spacing w:before="0" w:line="240" w:lineRule="atLeast"/>
              <w:rPr>
                <w:b/>
                <w:smallCaps/>
                <w:szCs w:val="24"/>
                <w:lang w:val="es-ES"/>
              </w:rPr>
            </w:pPr>
          </w:p>
        </w:tc>
        <w:tc>
          <w:tcPr>
            <w:tcW w:w="3261" w:type="dxa"/>
            <w:tcBorders>
              <w:top w:val="single" w:sz="12" w:space="0" w:color="auto"/>
            </w:tcBorders>
          </w:tcPr>
          <w:p w:rsidR="00093EEB" w:rsidRPr="00B8693C" w:rsidRDefault="00093EEB">
            <w:pPr>
              <w:spacing w:before="0"/>
              <w:rPr>
                <w:b/>
                <w:bCs/>
                <w:szCs w:val="24"/>
                <w:lang w:val="es-ES"/>
              </w:rPr>
            </w:pPr>
          </w:p>
        </w:tc>
      </w:tr>
      <w:tr w:rsidR="00093EEB" w:rsidRPr="00B8693C">
        <w:trPr>
          <w:cantSplit/>
          <w:trHeight w:val="20"/>
        </w:trPr>
        <w:tc>
          <w:tcPr>
            <w:tcW w:w="6912" w:type="dxa"/>
            <w:shd w:val="clear" w:color="auto" w:fill="auto"/>
          </w:tcPr>
          <w:p w:rsidR="00093EEB" w:rsidRPr="00B8693C" w:rsidRDefault="00B8270F">
            <w:pPr>
              <w:tabs>
                <w:tab w:val="clear" w:pos="2268"/>
                <w:tab w:val="left" w:pos="1560"/>
                <w:tab w:val="left" w:pos="2269"/>
                <w:tab w:val="left" w:pos="3544"/>
                <w:tab w:val="left" w:pos="3969"/>
              </w:tabs>
              <w:spacing w:before="0" w:line="240" w:lineRule="atLeast"/>
              <w:rPr>
                <w:rFonts w:cs="Times"/>
                <w:b/>
                <w:szCs w:val="24"/>
                <w:lang w:val="es-ES"/>
              </w:rPr>
            </w:pPr>
            <w:bookmarkStart w:id="3" w:name="dnum" w:colFirst="1" w:colLast="1"/>
            <w:bookmarkStart w:id="4" w:name="dmeeting" w:colFirst="0" w:colLast="0"/>
            <w:r w:rsidRPr="00B8693C">
              <w:rPr>
                <w:b/>
                <w:lang w:val="es-ES"/>
              </w:rPr>
              <w:t>Punto del orden del día: PL 1.11</w:t>
            </w:r>
          </w:p>
        </w:tc>
        <w:tc>
          <w:tcPr>
            <w:tcW w:w="3261" w:type="dxa"/>
          </w:tcPr>
          <w:p w:rsidR="00093EEB" w:rsidRPr="00B8693C" w:rsidRDefault="00093EEB" w:rsidP="00B8270F">
            <w:pPr>
              <w:spacing w:before="0"/>
              <w:rPr>
                <w:b/>
                <w:bCs/>
                <w:szCs w:val="24"/>
                <w:lang w:val="es-ES"/>
              </w:rPr>
            </w:pPr>
            <w:r w:rsidRPr="00B8693C">
              <w:rPr>
                <w:b/>
                <w:bCs/>
                <w:szCs w:val="24"/>
                <w:lang w:val="es-ES"/>
              </w:rPr>
              <w:t>Documento C17/</w:t>
            </w:r>
            <w:r w:rsidR="00B8270F" w:rsidRPr="00B8693C">
              <w:rPr>
                <w:b/>
                <w:bCs/>
                <w:szCs w:val="24"/>
                <w:lang w:val="es-ES"/>
              </w:rPr>
              <w:t>71</w:t>
            </w:r>
            <w:r w:rsidRPr="00B8693C">
              <w:rPr>
                <w:b/>
                <w:bCs/>
                <w:szCs w:val="24"/>
                <w:lang w:val="es-ES"/>
              </w:rPr>
              <w:t>-S</w:t>
            </w:r>
          </w:p>
        </w:tc>
      </w:tr>
      <w:tr w:rsidR="00093EEB" w:rsidRPr="00B8693C">
        <w:trPr>
          <w:cantSplit/>
          <w:trHeight w:val="20"/>
        </w:trPr>
        <w:tc>
          <w:tcPr>
            <w:tcW w:w="6912" w:type="dxa"/>
            <w:shd w:val="clear" w:color="auto" w:fill="auto"/>
          </w:tcPr>
          <w:p w:rsidR="00093EEB" w:rsidRPr="00B8693C" w:rsidRDefault="00093EEB">
            <w:pPr>
              <w:shd w:val="solid" w:color="FFFFFF" w:fill="FFFFFF"/>
              <w:spacing w:before="0"/>
              <w:rPr>
                <w:smallCaps/>
                <w:szCs w:val="24"/>
                <w:lang w:val="es-ES"/>
              </w:rPr>
            </w:pPr>
            <w:bookmarkStart w:id="5" w:name="ddate" w:colFirst="1" w:colLast="1"/>
            <w:bookmarkEnd w:id="3"/>
            <w:bookmarkEnd w:id="4"/>
          </w:p>
        </w:tc>
        <w:tc>
          <w:tcPr>
            <w:tcW w:w="3261" w:type="dxa"/>
          </w:tcPr>
          <w:p w:rsidR="00093EEB" w:rsidRPr="00B8693C" w:rsidRDefault="00B8270F" w:rsidP="00093EEB">
            <w:pPr>
              <w:spacing w:before="0"/>
              <w:rPr>
                <w:b/>
                <w:bCs/>
                <w:szCs w:val="24"/>
                <w:lang w:val="es-ES"/>
              </w:rPr>
            </w:pPr>
            <w:r w:rsidRPr="00B8693C">
              <w:rPr>
                <w:b/>
                <w:lang w:val="es-ES"/>
              </w:rPr>
              <w:t>10 de abril</w:t>
            </w:r>
            <w:r w:rsidR="00093EEB" w:rsidRPr="00B8693C">
              <w:rPr>
                <w:b/>
                <w:bCs/>
                <w:szCs w:val="24"/>
                <w:lang w:val="es-ES"/>
              </w:rPr>
              <w:t xml:space="preserve"> de 2017</w:t>
            </w:r>
          </w:p>
        </w:tc>
      </w:tr>
      <w:tr w:rsidR="00093EEB" w:rsidRPr="00B8693C">
        <w:trPr>
          <w:cantSplit/>
          <w:trHeight w:val="20"/>
        </w:trPr>
        <w:tc>
          <w:tcPr>
            <w:tcW w:w="6912" w:type="dxa"/>
            <w:shd w:val="clear" w:color="auto" w:fill="auto"/>
          </w:tcPr>
          <w:p w:rsidR="00093EEB" w:rsidRPr="00B8693C" w:rsidRDefault="00093EEB">
            <w:pPr>
              <w:shd w:val="solid" w:color="FFFFFF" w:fill="FFFFFF"/>
              <w:spacing w:before="0"/>
              <w:rPr>
                <w:smallCaps/>
                <w:szCs w:val="24"/>
                <w:lang w:val="es-ES"/>
              </w:rPr>
            </w:pPr>
            <w:bookmarkStart w:id="6" w:name="dorlang" w:colFirst="1" w:colLast="1"/>
            <w:bookmarkEnd w:id="5"/>
          </w:p>
        </w:tc>
        <w:tc>
          <w:tcPr>
            <w:tcW w:w="3261" w:type="dxa"/>
          </w:tcPr>
          <w:p w:rsidR="00093EEB" w:rsidRPr="00B8693C" w:rsidRDefault="00093EEB" w:rsidP="00093EEB">
            <w:pPr>
              <w:spacing w:before="0"/>
              <w:rPr>
                <w:b/>
                <w:bCs/>
                <w:szCs w:val="24"/>
                <w:lang w:val="es-ES"/>
              </w:rPr>
            </w:pPr>
            <w:r w:rsidRPr="00B8693C">
              <w:rPr>
                <w:b/>
                <w:bCs/>
                <w:szCs w:val="24"/>
                <w:lang w:val="es-ES"/>
              </w:rPr>
              <w:t>Original: inglés</w:t>
            </w:r>
          </w:p>
        </w:tc>
      </w:tr>
      <w:tr w:rsidR="00093EEB" w:rsidRPr="00B8693C">
        <w:trPr>
          <w:cantSplit/>
        </w:trPr>
        <w:tc>
          <w:tcPr>
            <w:tcW w:w="10173" w:type="dxa"/>
            <w:gridSpan w:val="2"/>
          </w:tcPr>
          <w:p w:rsidR="00093EEB" w:rsidRPr="00B8693C" w:rsidRDefault="00B8270F">
            <w:pPr>
              <w:pStyle w:val="Source"/>
              <w:rPr>
                <w:lang w:val="es-ES"/>
              </w:rPr>
            </w:pPr>
            <w:bookmarkStart w:id="7" w:name="dsource" w:colFirst="0" w:colLast="0"/>
            <w:bookmarkEnd w:id="1"/>
            <w:bookmarkEnd w:id="6"/>
            <w:r w:rsidRPr="00B8693C">
              <w:rPr>
                <w:lang w:val="es-ES"/>
              </w:rPr>
              <w:t>Informe del Secretario General</w:t>
            </w:r>
          </w:p>
        </w:tc>
      </w:tr>
      <w:tr w:rsidR="00093EEB" w:rsidRPr="00B8693C">
        <w:trPr>
          <w:cantSplit/>
        </w:trPr>
        <w:tc>
          <w:tcPr>
            <w:tcW w:w="10173" w:type="dxa"/>
            <w:gridSpan w:val="2"/>
          </w:tcPr>
          <w:p w:rsidR="00093EEB" w:rsidRPr="00B8693C" w:rsidRDefault="00B8270F" w:rsidP="00B8270F">
            <w:pPr>
              <w:pStyle w:val="Title1"/>
              <w:rPr>
                <w:lang w:val="es-ES"/>
              </w:rPr>
            </w:pPr>
            <w:bookmarkStart w:id="8" w:name="dtitle1" w:colFirst="0" w:colLast="0"/>
            <w:bookmarkEnd w:id="7"/>
            <w:r w:rsidRPr="00B8693C">
              <w:rPr>
                <w:szCs w:val="28"/>
                <w:lang w:val="es-ES"/>
              </w:rPr>
              <w:t>Examen de la política de igualdad e integración de género</w:t>
            </w:r>
            <w:r w:rsidRPr="00B8693C">
              <w:rPr>
                <w:szCs w:val="28"/>
                <w:lang w:val="es-ES"/>
              </w:rPr>
              <w:br/>
              <w:t>(IIG) de la UIT y propuesta de plan de aplicación para 2017</w:t>
            </w:r>
          </w:p>
        </w:tc>
      </w:tr>
      <w:bookmarkEnd w:id="8"/>
    </w:tbl>
    <w:p w:rsidR="00093EEB" w:rsidRPr="00B8693C" w:rsidRDefault="00093EEB">
      <w:pPr>
        <w:rPr>
          <w:lang w:val="es-ES"/>
        </w:rPr>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093EEB" w:rsidRPr="00B8693C">
        <w:trPr>
          <w:trHeight w:val="3372"/>
        </w:trPr>
        <w:tc>
          <w:tcPr>
            <w:tcW w:w="8080" w:type="dxa"/>
            <w:tcBorders>
              <w:top w:val="single" w:sz="12" w:space="0" w:color="auto"/>
              <w:left w:val="single" w:sz="12" w:space="0" w:color="auto"/>
              <w:bottom w:val="single" w:sz="12" w:space="0" w:color="auto"/>
              <w:right w:val="single" w:sz="12" w:space="0" w:color="auto"/>
            </w:tcBorders>
          </w:tcPr>
          <w:p w:rsidR="00093EEB" w:rsidRPr="00B8693C" w:rsidRDefault="00093EEB">
            <w:pPr>
              <w:pStyle w:val="Headingb"/>
              <w:rPr>
                <w:lang w:val="es-ES"/>
              </w:rPr>
            </w:pPr>
            <w:r w:rsidRPr="00B8693C">
              <w:rPr>
                <w:lang w:val="es-ES"/>
              </w:rPr>
              <w:t>Resumen</w:t>
            </w:r>
          </w:p>
          <w:p w:rsidR="00093EEB" w:rsidRPr="00B8693C" w:rsidRDefault="00B8270F">
            <w:pPr>
              <w:rPr>
                <w:lang w:val="es-ES"/>
              </w:rPr>
            </w:pPr>
            <w:r w:rsidRPr="00B8693C">
              <w:rPr>
                <w:szCs w:val="24"/>
                <w:lang w:val="es-ES"/>
              </w:rPr>
              <w:t>El presente documento informa del proceso y los resultados del examen cuatrienal de la Política de Igualdad e Integración de Género de la UIT y presenta un plan para 2017 destinado a impulsar la conformidad de la UIT con los indicadores ONU-SWAP en 2017.</w:t>
            </w:r>
          </w:p>
          <w:p w:rsidR="00093EEB" w:rsidRPr="00B8693C" w:rsidRDefault="00093EEB">
            <w:pPr>
              <w:pStyle w:val="Headingb"/>
              <w:rPr>
                <w:lang w:val="es-ES"/>
              </w:rPr>
            </w:pPr>
            <w:r w:rsidRPr="00B8693C">
              <w:rPr>
                <w:lang w:val="es-ES"/>
              </w:rPr>
              <w:t>Acción solicitada</w:t>
            </w:r>
          </w:p>
          <w:p w:rsidR="00093EEB" w:rsidRPr="00B8693C" w:rsidRDefault="00B8270F">
            <w:pPr>
              <w:rPr>
                <w:lang w:val="es-ES"/>
              </w:rPr>
            </w:pPr>
            <w:r w:rsidRPr="00B8693C">
              <w:rPr>
                <w:szCs w:val="24"/>
                <w:lang w:val="es-ES"/>
              </w:rPr>
              <w:t xml:space="preserve">Se invita al Consejo a </w:t>
            </w:r>
            <w:r w:rsidRPr="00B8693C">
              <w:rPr>
                <w:b/>
                <w:szCs w:val="24"/>
                <w:lang w:val="es-ES"/>
              </w:rPr>
              <w:t>tomar nota del presente documento y a refrendar el plan de acción para 2017</w:t>
            </w:r>
            <w:r w:rsidRPr="00B8693C">
              <w:rPr>
                <w:szCs w:val="24"/>
                <w:lang w:val="es-ES"/>
              </w:rPr>
              <w:t>.</w:t>
            </w:r>
          </w:p>
          <w:p w:rsidR="00093EEB" w:rsidRPr="00B8693C" w:rsidRDefault="00093EEB">
            <w:pPr>
              <w:pStyle w:val="Table"/>
              <w:keepNext w:val="0"/>
              <w:spacing w:before="0" w:after="0"/>
              <w:rPr>
                <w:caps w:val="0"/>
                <w:sz w:val="22"/>
                <w:lang w:val="es-ES"/>
              </w:rPr>
            </w:pPr>
            <w:r w:rsidRPr="00B8693C">
              <w:rPr>
                <w:caps w:val="0"/>
                <w:sz w:val="22"/>
                <w:lang w:val="es-ES"/>
              </w:rPr>
              <w:t>____________</w:t>
            </w:r>
          </w:p>
          <w:p w:rsidR="00093EEB" w:rsidRPr="00B8693C" w:rsidRDefault="00093EEB">
            <w:pPr>
              <w:pStyle w:val="Headingb"/>
              <w:rPr>
                <w:lang w:val="es-ES"/>
              </w:rPr>
            </w:pPr>
            <w:r w:rsidRPr="00B8693C">
              <w:rPr>
                <w:lang w:val="es-ES"/>
              </w:rPr>
              <w:t>Referencia</w:t>
            </w:r>
          </w:p>
          <w:p w:rsidR="00093EEB" w:rsidRPr="00B8693C" w:rsidRDefault="00B8270F" w:rsidP="00B8270F">
            <w:pPr>
              <w:spacing w:after="120"/>
              <w:rPr>
                <w:i/>
                <w:iCs/>
                <w:lang w:val="es-ES"/>
              </w:rPr>
            </w:pPr>
            <w:bookmarkStart w:id="9" w:name="lt_pId019"/>
            <w:r w:rsidRPr="00B8693C">
              <w:rPr>
                <w:i/>
                <w:iCs/>
                <w:szCs w:val="24"/>
                <w:lang w:val="es-ES"/>
              </w:rPr>
              <w:t xml:space="preserve">Conferencia de Plenipotenciarios </w:t>
            </w:r>
            <w:hyperlink r:id="rId8" w:history="1">
              <w:r w:rsidRPr="00B8693C">
                <w:rPr>
                  <w:rStyle w:val="Hyperlink"/>
                  <w:i/>
                  <w:iCs/>
                  <w:szCs w:val="24"/>
                  <w:lang w:val="es-ES"/>
                </w:rPr>
                <w:t>Resolución 70 (Rev. Busán, 2014)</w:t>
              </w:r>
            </w:hyperlink>
            <w:r w:rsidRPr="00B8693C">
              <w:rPr>
                <w:i/>
                <w:iCs/>
                <w:szCs w:val="24"/>
                <w:lang w:val="es-ES"/>
              </w:rPr>
              <w:t>;</w:t>
            </w:r>
            <w:bookmarkEnd w:id="9"/>
            <w:r w:rsidRPr="00B8693C">
              <w:rPr>
                <w:i/>
                <w:iCs/>
                <w:szCs w:val="24"/>
                <w:lang w:val="es-ES"/>
              </w:rPr>
              <w:t xml:space="preserve"> </w:t>
            </w:r>
            <w:bookmarkStart w:id="10" w:name="lt_pId020"/>
            <w:r w:rsidRPr="00B8693C">
              <w:rPr>
                <w:i/>
                <w:iCs/>
                <w:szCs w:val="24"/>
                <w:lang w:val="es-ES"/>
              </w:rPr>
              <w:t xml:space="preserve">Documentos del Consejo </w:t>
            </w:r>
            <w:hyperlink r:id="rId9" w:history="1">
              <w:r w:rsidRPr="00B8693C">
                <w:rPr>
                  <w:rStyle w:val="Hyperlink"/>
                  <w:i/>
                  <w:iCs/>
                  <w:szCs w:val="24"/>
                  <w:lang w:val="es-ES"/>
                </w:rPr>
                <w:t>C13/39</w:t>
              </w:r>
            </w:hyperlink>
            <w:r w:rsidRPr="00B8693C">
              <w:rPr>
                <w:i/>
                <w:iCs/>
                <w:szCs w:val="24"/>
                <w:lang w:val="es-ES"/>
              </w:rPr>
              <w:t xml:space="preserve">, </w:t>
            </w:r>
            <w:hyperlink r:id="rId10" w:history="1">
              <w:r w:rsidRPr="00B8693C">
                <w:rPr>
                  <w:rStyle w:val="Hyperlink"/>
                  <w:i/>
                  <w:iCs/>
                  <w:szCs w:val="24"/>
                  <w:lang w:val="es-ES"/>
                </w:rPr>
                <w:t>C17/INF/7</w:t>
              </w:r>
            </w:hyperlink>
            <w:bookmarkEnd w:id="10"/>
          </w:p>
        </w:tc>
        <w:bookmarkStart w:id="11" w:name="_GoBack"/>
        <w:bookmarkEnd w:id="11"/>
      </w:tr>
    </w:tbl>
    <w:p w:rsidR="00B8270F" w:rsidRPr="00B8693C" w:rsidRDefault="00B8693C" w:rsidP="00B8693C">
      <w:pPr>
        <w:pStyle w:val="Heading1"/>
        <w:rPr>
          <w:sz w:val="24"/>
          <w:szCs w:val="24"/>
          <w:lang w:val="es-ES"/>
        </w:rPr>
      </w:pPr>
      <w:r w:rsidRPr="00B8693C">
        <w:rPr>
          <w:sz w:val="24"/>
          <w:szCs w:val="24"/>
          <w:lang w:val="es-ES"/>
        </w:rPr>
        <w:t>1</w:t>
      </w:r>
      <w:r w:rsidRPr="00B8693C">
        <w:rPr>
          <w:sz w:val="24"/>
          <w:szCs w:val="24"/>
          <w:lang w:val="es-ES"/>
        </w:rPr>
        <w:tab/>
      </w:r>
      <w:r w:rsidR="00B8270F" w:rsidRPr="00B8693C">
        <w:rPr>
          <w:sz w:val="24"/>
          <w:szCs w:val="24"/>
          <w:lang w:val="es-ES"/>
        </w:rPr>
        <w:t>Introducción</w:t>
      </w:r>
    </w:p>
    <w:p w:rsidR="00B8270F" w:rsidRPr="00B8693C" w:rsidRDefault="00B8270F" w:rsidP="00B8693C">
      <w:pPr>
        <w:rPr>
          <w:lang w:val="es-ES"/>
        </w:rPr>
      </w:pPr>
      <w:r w:rsidRPr="00B8693C">
        <w:rPr>
          <w:lang w:val="es-ES"/>
        </w:rPr>
        <w:t xml:space="preserve">La </w:t>
      </w:r>
      <w:hyperlink r:id="rId11" w:history="1">
        <w:r w:rsidRPr="00B8693C">
          <w:rPr>
            <w:rStyle w:val="Hyperlink"/>
            <w:rFonts w:cstheme="minorHAnsi"/>
            <w:szCs w:val="24"/>
            <w:lang w:val="es-ES"/>
          </w:rPr>
          <w:t>Política de Igualdad e Integración de Género (IIG)</w:t>
        </w:r>
      </w:hyperlink>
      <w:r w:rsidRPr="00B8693C">
        <w:rPr>
          <w:lang w:val="es-ES"/>
        </w:rPr>
        <w:t xml:space="preserve"> de la UIT fue adoptada en la reunión del Consejo de 2013. Al observar que esta Política es un documento activo que debe revisarse cada cuatro años, el Consejo 2016 encargó al Secretario General que pusiera en marcha el examen de esta Política a través del Grupo de Trabajo del Consejo sobre Recursos Humanos y Financieros y que informase al Consejo 2017. Por ello, la Secretaría emprendió: (1) un proceso de revisión incluido el análisis de la conformidad de la UIT con el Plan de Acción para todo el Sistema de las Naciones Unidas (ONU-SWAP) sobre la Igualdad de Género y el Empoderamiento de las Mujeres, refrendado en abril de 2012 por la Junta de los Jefes Ejecutivos (JJE) del Sistema de las Naciones Unidas para la Coordinación; (2) una auditoría interna sobre la Política de IIG; así como (3) una amplia consulta al personal. En este documento se presenta un resumen del examen y de sus </w:t>
      </w:r>
      <w:proofErr w:type="gramStart"/>
      <w:r w:rsidRPr="00B8693C">
        <w:rPr>
          <w:lang w:val="es-ES"/>
        </w:rPr>
        <w:t>conclusiones</w:t>
      </w:r>
      <w:proofErr w:type="gramEnd"/>
      <w:r w:rsidRPr="00B8693C">
        <w:rPr>
          <w:lang w:val="es-ES"/>
        </w:rPr>
        <w:t>, y se propone un plan de aplicación de la IIG para 2017 a fin de que la UIT mejore en todos los Indicadores de rendimiento del ONU-SWAP en 2017.</w:t>
      </w:r>
    </w:p>
    <w:p w:rsidR="00B8270F" w:rsidRPr="00B8693C" w:rsidRDefault="00B8693C" w:rsidP="00B8693C">
      <w:pPr>
        <w:pStyle w:val="Heading1"/>
        <w:rPr>
          <w:rFonts w:cstheme="minorHAnsi"/>
          <w:b w:val="0"/>
          <w:bCs/>
          <w:sz w:val="24"/>
          <w:szCs w:val="24"/>
          <w:lang w:val="es-ES"/>
        </w:rPr>
      </w:pPr>
      <w:r>
        <w:rPr>
          <w:rFonts w:cstheme="minorHAnsi"/>
          <w:bCs/>
          <w:sz w:val="24"/>
          <w:szCs w:val="24"/>
          <w:lang w:val="es-ES"/>
        </w:rPr>
        <w:lastRenderedPageBreak/>
        <w:t>2</w:t>
      </w:r>
      <w:r>
        <w:rPr>
          <w:rFonts w:cstheme="minorHAnsi"/>
          <w:bCs/>
          <w:sz w:val="24"/>
          <w:szCs w:val="24"/>
          <w:lang w:val="es-ES"/>
        </w:rPr>
        <w:tab/>
      </w:r>
      <w:r w:rsidR="00B8270F" w:rsidRPr="00B8693C">
        <w:rPr>
          <w:rFonts w:cstheme="minorHAnsi"/>
          <w:bCs/>
          <w:sz w:val="24"/>
          <w:szCs w:val="24"/>
          <w:lang w:val="es-ES"/>
        </w:rPr>
        <w:t>Conformidad de la UIT con el ONU-SWAP</w:t>
      </w:r>
    </w:p>
    <w:p w:rsidR="003B798E" w:rsidRDefault="00B8270F" w:rsidP="003B798E">
      <w:pPr>
        <w:rPr>
          <w:lang w:val="es-ES"/>
        </w:rPr>
      </w:pPr>
      <w:r w:rsidRPr="00B8693C">
        <w:rPr>
          <w:lang w:val="es-ES"/>
        </w:rPr>
        <w:t xml:space="preserve">La Junta de los Jefes Ejecutivos de las Naciones Unidas estableció 2017 como objetivo para que el sistema de las Naciones Unidas satisficiera los 15 indicadores de rendimiento del ONU-SWAP agrupados en seis amplias áreas funcionales, con respecto a las cuales informan anualmente las entidades a ONU Mujeres a través de un sistema de presentación de informes en línea. ONU Mujeres examina todos los informes y la documentación adjunta para verificar la exactitud de las calificaciones, y facilita un análisis con el formato de una carta con recomendaciones dirigida a los correspondientes Jefes de los Organismos de las Naciones Unidas. El acuse de recibo y el examen del informe de la UIT correspondiente a 2015 se recogen en el Documento </w:t>
      </w:r>
      <w:hyperlink r:id="rId12" w:history="1">
        <w:r w:rsidRPr="00B8693C">
          <w:rPr>
            <w:rStyle w:val="Hyperlink"/>
            <w:rFonts w:cstheme="minorHAnsi"/>
            <w:szCs w:val="24"/>
            <w:lang w:val="es-ES"/>
          </w:rPr>
          <w:t>C17/INF/7</w:t>
        </w:r>
      </w:hyperlink>
      <w:r w:rsidRPr="00B8693C">
        <w:rPr>
          <w:lang w:val="es-ES"/>
        </w:rPr>
        <w:t>.</w:t>
      </w:r>
    </w:p>
    <w:p w:rsidR="00B8270F" w:rsidRPr="00B8693C" w:rsidRDefault="00B8270F" w:rsidP="003B798E">
      <w:pPr>
        <w:rPr>
          <w:lang w:val="es-ES"/>
        </w:rPr>
      </w:pPr>
      <w:r w:rsidRPr="00B8693C">
        <w:rPr>
          <w:lang w:val="es-ES"/>
        </w:rPr>
        <w:t xml:space="preserve">La revisión de la Política de IIG constituye una oportunidad de que la secretaría reflexione sobre los últimos informes anuales de la UIT relativos a la aplicación del ONU-SWAP así como sobre el análisis de ONU Mujeres sobre los informes presentados por la UIT. En enero de 2017, la UIT informó de que </w:t>
      </w:r>
      <w:r w:rsidR="00B8693C" w:rsidRPr="00B8693C">
        <w:rPr>
          <w:lang w:val="es-ES"/>
        </w:rPr>
        <w:t>"</w:t>
      </w:r>
      <w:r w:rsidRPr="00B8693C">
        <w:rPr>
          <w:lang w:val="es-ES"/>
        </w:rPr>
        <w:t>cumple los requisitos</w:t>
      </w:r>
      <w:r w:rsidR="00B8693C" w:rsidRPr="00B8693C">
        <w:rPr>
          <w:lang w:val="es-ES"/>
        </w:rPr>
        <w:t>"</w:t>
      </w:r>
      <w:r w:rsidRPr="00B8693C">
        <w:rPr>
          <w:lang w:val="es-ES"/>
        </w:rPr>
        <w:t xml:space="preserve"> de cinco indicadores de rendimiento, </w:t>
      </w:r>
      <w:r w:rsidR="00B8693C" w:rsidRPr="00B8693C">
        <w:rPr>
          <w:lang w:val="es-ES"/>
        </w:rPr>
        <w:t>"</w:t>
      </w:r>
      <w:r w:rsidRPr="00B8693C">
        <w:rPr>
          <w:lang w:val="es-ES"/>
        </w:rPr>
        <w:t>casi cumple los requisitos</w:t>
      </w:r>
      <w:r w:rsidR="00B8693C" w:rsidRPr="00B8693C">
        <w:rPr>
          <w:lang w:val="es-ES"/>
        </w:rPr>
        <w:t>"</w:t>
      </w:r>
      <w:r w:rsidRPr="00B8693C">
        <w:rPr>
          <w:lang w:val="es-ES"/>
        </w:rPr>
        <w:t xml:space="preserve"> de seis indicadores, y le </w:t>
      </w:r>
      <w:r w:rsidR="00B8693C" w:rsidRPr="00B8693C">
        <w:rPr>
          <w:lang w:val="es-ES"/>
        </w:rPr>
        <w:t>"</w:t>
      </w:r>
      <w:r w:rsidRPr="00B8693C">
        <w:rPr>
          <w:lang w:val="es-ES"/>
        </w:rPr>
        <w:t>faltan</w:t>
      </w:r>
      <w:r w:rsidR="00B8693C" w:rsidRPr="00B8693C">
        <w:rPr>
          <w:lang w:val="es-ES"/>
        </w:rPr>
        <w:t>"</w:t>
      </w:r>
      <w:r w:rsidRPr="00B8693C">
        <w:rPr>
          <w:lang w:val="es-ES"/>
        </w:rPr>
        <w:t xml:space="preserve"> tres indicadores. Los tres indicadores de rendimiento que faltan son: (1) auditoría con perspectiva de género, (2) atribución de recursos financieros, y (3) evaluación de la capacidad.</w:t>
      </w:r>
    </w:p>
    <w:p w:rsidR="00B8270F" w:rsidRPr="00B8693C" w:rsidRDefault="00B8693C" w:rsidP="00B8693C">
      <w:pPr>
        <w:pStyle w:val="Heading1"/>
        <w:rPr>
          <w:rFonts w:cstheme="minorHAnsi"/>
          <w:b w:val="0"/>
          <w:bCs/>
          <w:sz w:val="24"/>
          <w:szCs w:val="24"/>
          <w:lang w:val="es-ES"/>
        </w:rPr>
      </w:pPr>
      <w:r>
        <w:rPr>
          <w:rFonts w:cstheme="minorHAnsi"/>
          <w:bCs/>
          <w:sz w:val="24"/>
          <w:szCs w:val="24"/>
          <w:lang w:val="es-ES"/>
        </w:rPr>
        <w:t>3</w:t>
      </w:r>
      <w:r>
        <w:rPr>
          <w:rFonts w:cstheme="minorHAnsi"/>
          <w:bCs/>
          <w:sz w:val="24"/>
          <w:szCs w:val="24"/>
          <w:lang w:val="es-ES"/>
        </w:rPr>
        <w:tab/>
      </w:r>
      <w:r w:rsidR="00B8270F" w:rsidRPr="00B8693C">
        <w:rPr>
          <w:rFonts w:cstheme="minorHAnsi"/>
          <w:bCs/>
          <w:sz w:val="24"/>
          <w:szCs w:val="24"/>
          <w:lang w:val="es-ES"/>
        </w:rPr>
        <w:t>Auditoría interna sobre la igualdad e integración de género en la UIT</w:t>
      </w:r>
    </w:p>
    <w:p w:rsidR="00B8270F" w:rsidRPr="00B8693C" w:rsidRDefault="00B8270F" w:rsidP="00B8693C">
      <w:pPr>
        <w:rPr>
          <w:lang w:val="es-ES"/>
        </w:rPr>
      </w:pPr>
      <w:r w:rsidRPr="00B8693C">
        <w:rPr>
          <w:lang w:val="es-ES"/>
        </w:rPr>
        <w:t xml:space="preserve">Con el fin de poner remedio a uno de los tres indicadores del ONU-SWAP que faltan, la Unidad de Auditoría Interna llevó a cabo a principios de 2017 una auditoría sobre la igualdad e integración de género en la UIT. Las conclusiones preliminares de esta auditoría plantean la armonización de la Política de IIG de la UIT con el ONU-SWAP, especialmente en lo que se refiere a la capacidad y la coherencia; el conocimiento y la información, y la rendición de cuentas. Además, la auditoría propone, entre otras cosas, reconsiderar el posicionamiento, el mandato, la composición y la rendición de cuentas del Grupo Especial de la UIT sobre cuestiones de género, encargado de supervisar la aplicación de esta Política para reforzar su misión y relevancia en la UIT. </w:t>
      </w:r>
    </w:p>
    <w:p w:rsidR="00B8270F" w:rsidRPr="00B8693C" w:rsidRDefault="00B8693C" w:rsidP="00B8693C">
      <w:pPr>
        <w:pStyle w:val="Heading1"/>
        <w:rPr>
          <w:rFonts w:cstheme="minorHAnsi"/>
          <w:b w:val="0"/>
          <w:bCs/>
          <w:sz w:val="24"/>
          <w:szCs w:val="24"/>
          <w:lang w:val="es-ES"/>
        </w:rPr>
      </w:pPr>
      <w:r>
        <w:rPr>
          <w:rFonts w:cstheme="minorHAnsi"/>
          <w:bCs/>
          <w:sz w:val="24"/>
          <w:szCs w:val="24"/>
          <w:lang w:val="es-ES"/>
        </w:rPr>
        <w:t>4</w:t>
      </w:r>
      <w:r>
        <w:rPr>
          <w:rFonts w:cstheme="minorHAnsi"/>
          <w:bCs/>
          <w:sz w:val="24"/>
          <w:szCs w:val="24"/>
          <w:lang w:val="es-ES"/>
        </w:rPr>
        <w:tab/>
      </w:r>
      <w:r w:rsidR="00B8270F" w:rsidRPr="00B8693C">
        <w:rPr>
          <w:rFonts w:cstheme="minorHAnsi"/>
          <w:bCs/>
          <w:sz w:val="24"/>
          <w:szCs w:val="24"/>
          <w:lang w:val="es-ES"/>
        </w:rPr>
        <w:t xml:space="preserve">La consulta al personal de la UIT </w:t>
      </w:r>
    </w:p>
    <w:p w:rsidR="00B8270F" w:rsidRPr="00B8693C" w:rsidRDefault="00B8270F" w:rsidP="00B8693C">
      <w:pPr>
        <w:rPr>
          <w:lang w:val="es-ES"/>
        </w:rPr>
      </w:pPr>
      <w:r w:rsidRPr="00B8693C">
        <w:rPr>
          <w:lang w:val="es-ES"/>
        </w:rPr>
        <w:t>El Secretario General de la UIT y el Presidente del Consejo del Personal invitaron al personal de la UIT a formular sus observaciones sobre la Política de IIG y sus propuestas de nuevas medidas a través de la plataforma de consulta en línea en inglés y francés, con la posibilidad de anonimato. Esta plataforma se presentó al Grupo de Trabajo del Consejo sobre Recursos Humanos y Financieros en el Documento</w:t>
      </w:r>
      <w:r w:rsidR="00B8693C" w:rsidRPr="00B8693C">
        <w:rPr>
          <w:lang w:val="es-ES"/>
        </w:rPr>
        <w:t xml:space="preserve"> </w:t>
      </w:r>
      <w:hyperlink r:id="rId13" w:history="1">
        <w:r w:rsidRPr="00B8693C">
          <w:rPr>
            <w:rStyle w:val="Hyperlink"/>
            <w:rFonts w:cstheme="minorHAnsi"/>
            <w:szCs w:val="24"/>
            <w:lang w:val="es-ES"/>
          </w:rPr>
          <w:t>CWG-FHR-INF 5/2</w:t>
        </w:r>
      </w:hyperlink>
      <w:r w:rsidRPr="00B8693C">
        <w:rPr>
          <w:lang w:val="es-ES"/>
        </w:rPr>
        <w:t>.</w:t>
      </w:r>
    </w:p>
    <w:p w:rsidR="00B8270F" w:rsidRPr="00B8693C" w:rsidRDefault="00B8270F" w:rsidP="00B8693C">
      <w:pPr>
        <w:rPr>
          <w:lang w:val="es-ES"/>
        </w:rPr>
      </w:pPr>
      <w:r w:rsidRPr="00B8693C">
        <w:rPr>
          <w:lang w:val="es-ES"/>
        </w:rPr>
        <w:t>La secretaría también emprendió consultas con los coordinadores del Grupo Especial sobre cuestiones de género, el Departamento de Gestión de los Recursos Humanos y el Oficial de Ética. Asimismo, la secretaría llevó a cabo un amplio examen de otras políticas de género y prácticas óptimas del sistema de las Naciones Unidas.</w:t>
      </w:r>
    </w:p>
    <w:p w:rsidR="00B8270F" w:rsidRPr="00B8693C" w:rsidRDefault="00B8270F" w:rsidP="00B8693C">
      <w:pPr>
        <w:rPr>
          <w:lang w:val="es-ES"/>
        </w:rPr>
      </w:pPr>
      <w:r w:rsidRPr="00B8693C">
        <w:rPr>
          <w:lang w:val="es-ES"/>
        </w:rPr>
        <w:t>Aunque el personal suele agradecer esta Política por su brevedad y amplitud de miras, se considera que la falta de detalle supone un freno para su aplicación. En las observaciones formuladas por el personal también destaca la necesidad de que se recoja el principio de igualdad género como derecho humano establecido por las Naciones Unidas, la importancia de la igualdad del personal en las políticas de equilibrio del trabajo y la vida personal, la necesidad de revisar los procesos de contratación, y la falta de representación femenina especialmente en el nivel D y entre los funcionarios de elección.</w:t>
      </w:r>
    </w:p>
    <w:p w:rsidR="00B8270F" w:rsidRPr="00B8693C" w:rsidRDefault="00B8693C" w:rsidP="00B8693C">
      <w:pPr>
        <w:pStyle w:val="Heading1"/>
        <w:rPr>
          <w:rFonts w:cstheme="minorHAnsi"/>
          <w:b w:val="0"/>
          <w:bCs/>
          <w:sz w:val="24"/>
          <w:szCs w:val="24"/>
          <w:lang w:val="es-ES"/>
        </w:rPr>
      </w:pPr>
      <w:r>
        <w:rPr>
          <w:rFonts w:cstheme="minorHAnsi"/>
          <w:bCs/>
          <w:sz w:val="24"/>
          <w:szCs w:val="24"/>
          <w:lang w:val="es-ES"/>
        </w:rPr>
        <w:lastRenderedPageBreak/>
        <w:t>5</w:t>
      </w:r>
      <w:r>
        <w:rPr>
          <w:rFonts w:cstheme="minorHAnsi"/>
          <w:bCs/>
          <w:sz w:val="24"/>
          <w:szCs w:val="24"/>
          <w:lang w:val="es-ES"/>
        </w:rPr>
        <w:tab/>
      </w:r>
      <w:r w:rsidR="00B8270F" w:rsidRPr="00B8693C">
        <w:rPr>
          <w:rFonts w:cstheme="minorHAnsi"/>
          <w:bCs/>
          <w:sz w:val="24"/>
          <w:szCs w:val="24"/>
          <w:lang w:val="es-ES"/>
        </w:rPr>
        <w:t>Propuesta de aplicación del plan de IIG en la UIT para 2017</w:t>
      </w:r>
    </w:p>
    <w:p w:rsidR="003B798E" w:rsidRDefault="00B8270F" w:rsidP="00B8693C">
      <w:pPr>
        <w:rPr>
          <w:lang w:val="es-ES"/>
        </w:rPr>
      </w:pPr>
      <w:r w:rsidRPr="00B8693C">
        <w:rPr>
          <w:lang w:val="es-ES"/>
        </w:rPr>
        <w:t xml:space="preserve">El examen de esta Política suele reflejar los análisis de anteriores políticas de género llevados a cabo por ONU Mujeres a nivel de todo el sistema. Las denominadas políticas de género </w:t>
      </w:r>
      <w:r w:rsidR="00B8693C" w:rsidRPr="00B8693C">
        <w:rPr>
          <w:lang w:val="es-ES"/>
        </w:rPr>
        <w:t>"</w:t>
      </w:r>
      <w:r w:rsidRPr="00B8693C">
        <w:rPr>
          <w:lang w:val="es-ES"/>
        </w:rPr>
        <w:t>de la primera generación</w:t>
      </w:r>
      <w:r w:rsidR="00B8693C" w:rsidRPr="00B8693C">
        <w:rPr>
          <w:lang w:val="es-ES"/>
        </w:rPr>
        <w:t>"</w:t>
      </w:r>
      <w:r w:rsidRPr="00B8693C">
        <w:rPr>
          <w:lang w:val="es-ES"/>
        </w:rPr>
        <w:t>: 1) No incluían sistemáticamente todos los indicadores de rendimiento; 2) no estaban armonizadas con la planificación estratégica central; y 3) tenían planes de aplicación incompletos a los que les faltaban plazos, recursos y capacidad de ejecución. Por esa razón, la secretaría ha desarrollado un plan de aplicación para 2017 que otorga prioridad a los elementos y medidas específicas de impulso de los indicadores del ONU-SWAP en 2017. En cada uno de los indicadores siguientes se definen los requisitos del ONU-SWAP, a continuación se presentan las medidas para la UIT con resultados y plazos, haciendo hincapié en la necesidad de la rendición de cuentas. Este plan contempla también dos nuevos indicadores que se prevé recoja la versión 2.0 del ONU-SWAP que debe aparecer a finales de 2017 (véanse los indicadores 2 y 12, más adelante). Uno de los objetivos fundamentales es mejorar la conformidad con los requisitos del ONU-SWAP. Este planteamiento incorpora las prácticas óptimas consolidadas en las Naciones Unidas y racionaliza la presentación de los informes dirigidos al Consejo y al ONU-SWAP, además de reforzar los mecanismos internos de supervisión y rendición de cuentas.</w:t>
      </w:r>
    </w:p>
    <w:p w:rsidR="003B798E" w:rsidRDefault="003B798E">
      <w:pPr>
        <w:tabs>
          <w:tab w:val="clear" w:pos="567"/>
          <w:tab w:val="clear" w:pos="1134"/>
          <w:tab w:val="clear" w:pos="1701"/>
          <w:tab w:val="clear" w:pos="2268"/>
          <w:tab w:val="clear" w:pos="2835"/>
        </w:tabs>
        <w:overflowPunct/>
        <w:autoSpaceDE/>
        <w:autoSpaceDN/>
        <w:adjustRightInd/>
        <w:spacing w:before="0"/>
        <w:textAlignment w:val="auto"/>
        <w:rPr>
          <w:lang w:val="es-ES"/>
        </w:rPr>
      </w:pPr>
      <w:r>
        <w:rPr>
          <w:lang w:val="es-ES"/>
        </w:rPr>
        <w:br w:type="page"/>
      </w:r>
    </w:p>
    <w:p w:rsidR="00B8270F" w:rsidRPr="003B798E" w:rsidRDefault="00B8270F" w:rsidP="00B8693C">
      <w:pPr>
        <w:pStyle w:val="Title4"/>
        <w:rPr>
          <w:sz w:val="24"/>
          <w:szCs w:val="24"/>
          <w:lang w:val="es-ES"/>
        </w:rPr>
      </w:pPr>
      <w:r w:rsidRPr="003B798E">
        <w:rPr>
          <w:sz w:val="24"/>
          <w:szCs w:val="24"/>
          <w:lang w:val="es-ES"/>
        </w:rPr>
        <w:lastRenderedPageBreak/>
        <w:t>Plan de aplicación de la Igualdad e Integración de Género (IIG) para 2017</w:t>
      </w:r>
    </w:p>
    <w:p w:rsidR="00B8270F" w:rsidRPr="00B8693C" w:rsidRDefault="00B8693C" w:rsidP="00B8693C">
      <w:pPr>
        <w:keepNext/>
        <w:keepLines/>
        <w:pBdr>
          <w:bottom w:val="single" w:sz="4" w:space="1" w:color="auto"/>
        </w:pBdr>
        <w:tabs>
          <w:tab w:val="right" w:pos="9639"/>
        </w:tabs>
        <w:spacing w:before="240"/>
        <w:rPr>
          <w:color w:val="000000" w:themeColor="text1"/>
          <w:lang w:val="es-ES"/>
        </w:rPr>
      </w:pPr>
      <w:r>
        <w:rPr>
          <w:b/>
          <w:bCs/>
          <w:color w:val="000000" w:themeColor="text1"/>
          <w:lang w:val="es-ES"/>
        </w:rPr>
        <w:t>1</w:t>
      </w:r>
      <w:r>
        <w:rPr>
          <w:b/>
          <w:bCs/>
          <w:color w:val="000000" w:themeColor="text1"/>
          <w:lang w:val="es-ES"/>
        </w:rPr>
        <w:tab/>
      </w:r>
      <w:r w:rsidR="00B8270F" w:rsidRPr="00B8693C">
        <w:rPr>
          <w:b/>
          <w:bCs/>
          <w:color w:val="000000" w:themeColor="text1"/>
          <w:lang w:val="es-ES"/>
        </w:rPr>
        <w:t>La Política y el Plan</w:t>
      </w:r>
      <w:r>
        <w:rPr>
          <w:b/>
          <w:bCs/>
          <w:color w:val="000000" w:themeColor="text1"/>
          <w:lang w:val="es-ES"/>
        </w:rPr>
        <w:tab/>
      </w:r>
      <w:r>
        <w:rPr>
          <w:b/>
          <w:bCs/>
          <w:color w:val="000000" w:themeColor="text1"/>
          <w:lang w:val="es-ES"/>
        </w:rPr>
        <w:tab/>
      </w:r>
      <w:r w:rsidR="00B8270F" w:rsidRPr="00B8693C">
        <w:rPr>
          <w:b/>
          <w:bCs/>
          <w:color w:val="000000" w:themeColor="text1"/>
          <w:lang w:val="es-ES"/>
        </w:rPr>
        <w:t xml:space="preserve">Estado del SWAP en </w:t>
      </w:r>
      <w:proofErr w:type="gramStart"/>
      <w:r w:rsidR="00B8270F" w:rsidRPr="00B8693C">
        <w:rPr>
          <w:b/>
          <w:bCs/>
          <w:color w:val="000000" w:themeColor="text1"/>
          <w:lang w:val="es-ES"/>
        </w:rPr>
        <w:t>2016 :</w:t>
      </w:r>
      <w:proofErr w:type="gramEnd"/>
      <w:r w:rsidR="00B8270F" w:rsidRPr="00B8693C">
        <w:rPr>
          <w:b/>
          <w:bCs/>
          <w:color w:val="000000" w:themeColor="text1"/>
          <w:lang w:val="es-ES"/>
        </w:rPr>
        <w:t xml:space="preserve"> </w:t>
      </w:r>
      <w:r w:rsidR="00B8270F" w:rsidRPr="00B8693C">
        <w:rPr>
          <w:color w:val="000000" w:themeColor="text1"/>
          <w:lang w:val="es-ES"/>
        </w:rPr>
        <w:t>casi cumple los requisitos</w:t>
      </w:r>
    </w:p>
    <w:p w:rsidR="00B8270F" w:rsidRPr="00B8693C" w:rsidRDefault="00B8270F" w:rsidP="00B8693C">
      <w:pPr>
        <w:spacing w:after="120"/>
        <w:rPr>
          <w:lang w:val="es-ES"/>
        </w:rPr>
      </w:pPr>
      <w:r w:rsidRPr="00B8693C">
        <w:rPr>
          <w:lang w:val="es-ES"/>
        </w:rPr>
        <w:t xml:space="preserve">Para satisfacer los indicadores de rendimiento del ONU-SWAP, la UIT necesitaría tener una política o plan actualizado de igualdad de género y empleo de la mujer que contemplase tanto la integración de género como la igualdad de representación de la mujer. Su contenido tendría que armonizarse con los requisitos del ONU-SWAP e incluir la rendición de cuentas a todos los niveles, sin olvidar la alta dirección. Las prescripciones de la rendición de cuentas deberían incluir la evaluación en la valoración del rendimiento y/o los contratos del personal de alta dirección donde se especificasen sus responsabilidades. Sería necesario que el plan de aplicación incluyese la integración de las cuestiones de género, intervenciones orientadas específicamente a las cuestiones de género, y que se expresase con toda claridad la igualdad de la representación de la mujer en la dotación del personal. Además, la supervisión y evaluación de la política y el plan de acción deberían ser claras, completarse con plazos y contar con mecanismos que garantizasen que la supervisión y la evaluación se llevasen realmente a cabo y que los resultados se realimentasen en la programación. </w:t>
      </w:r>
    </w:p>
    <w:tbl>
      <w:tblPr>
        <w:tblStyle w:val="TableGrid"/>
        <w:tblW w:w="5000" w:type="pct"/>
        <w:tblLook w:val="04A0" w:firstRow="1" w:lastRow="0" w:firstColumn="1" w:lastColumn="0" w:noHBand="0" w:noVBand="1"/>
      </w:tblPr>
      <w:tblGrid>
        <w:gridCol w:w="6644"/>
        <w:gridCol w:w="1899"/>
        <w:gridCol w:w="1086"/>
      </w:tblGrid>
      <w:tr w:rsidR="00B8270F" w:rsidRPr="00B8693C" w:rsidTr="00AE5CC0">
        <w:tc>
          <w:tcPr>
            <w:tcW w:w="3461" w:type="pct"/>
          </w:tcPr>
          <w:p w:rsidR="00B8270F" w:rsidRPr="00B8693C" w:rsidRDefault="00B8270F" w:rsidP="00AE5CC0">
            <w:pPr>
              <w:keepNext/>
              <w:keepLines/>
              <w:jc w:val="both"/>
              <w:rPr>
                <w:color w:val="000000" w:themeColor="text1"/>
                <w:lang w:val="es-ES"/>
              </w:rPr>
            </w:pPr>
            <w:r w:rsidRPr="00B8693C">
              <w:rPr>
                <w:color w:val="000000" w:themeColor="text1"/>
                <w:u w:val="single"/>
                <w:lang w:val="es-ES"/>
              </w:rPr>
              <w:t>Productos</w:t>
            </w:r>
          </w:p>
        </w:tc>
        <w:tc>
          <w:tcPr>
            <w:tcW w:w="962" w:type="pct"/>
          </w:tcPr>
          <w:p w:rsidR="00B8270F" w:rsidRPr="00B8693C" w:rsidRDefault="00B8270F" w:rsidP="00AE5CC0">
            <w:pPr>
              <w:keepNext/>
              <w:keepLines/>
              <w:jc w:val="center"/>
              <w:rPr>
                <w:color w:val="000000" w:themeColor="text1"/>
                <w:lang w:val="es-ES"/>
              </w:rPr>
            </w:pPr>
            <w:r w:rsidRPr="00B8693C">
              <w:rPr>
                <w:color w:val="000000" w:themeColor="text1"/>
                <w:u w:val="single"/>
                <w:lang w:val="es-ES"/>
              </w:rPr>
              <w:t>Titular/Implicado</w:t>
            </w:r>
          </w:p>
        </w:tc>
        <w:tc>
          <w:tcPr>
            <w:tcW w:w="576" w:type="pct"/>
          </w:tcPr>
          <w:p w:rsidR="00B8270F" w:rsidRPr="00B8693C" w:rsidRDefault="00B8270F" w:rsidP="00AE5CC0">
            <w:pPr>
              <w:keepNext/>
              <w:keepLines/>
              <w:jc w:val="center"/>
              <w:rPr>
                <w:color w:val="000000" w:themeColor="text1"/>
                <w:lang w:val="es-ES"/>
              </w:rPr>
            </w:pPr>
            <w:r w:rsidRPr="00B8693C">
              <w:rPr>
                <w:color w:val="000000" w:themeColor="text1"/>
                <w:u w:val="single"/>
                <w:lang w:val="es-ES"/>
              </w:rPr>
              <w:t>Plazo</w:t>
            </w:r>
          </w:p>
        </w:tc>
      </w:tr>
      <w:tr w:rsidR="00B8270F" w:rsidRPr="00B8693C" w:rsidTr="00AE5CC0">
        <w:tc>
          <w:tcPr>
            <w:tcW w:w="3461" w:type="pct"/>
          </w:tcPr>
          <w:p w:rsidR="00B8270F" w:rsidRPr="00B8693C" w:rsidRDefault="00B8270F" w:rsidP="00B8693C">
            <w:pPr>
              <w:keepNext/>
              <w:keepLines/>
              <w:rPr>
                <w:color w:val="000000" w:themeColor="text1"/>
                <w:lang w:val="es-ES"/>
              </w:rPr>
            </w:pPr>
            <w:r w:rsidRPr="00B8693C">
              <w:rPr>
                <w:rFonts w:eastAsia="Times New Roman" w:cs="Times New Roman"/>
                <w:color w:val="000000" w:themeColor="text1"/>
                <w:lang w:val="es-ES"/>
              </w:rPr>
              <w:t>1.1</w:t>
            </w:r>
            <w:r w:rsidR="00B8693C">
              <w:rPr>
                <w:rFonts w:eastAsia="Times New Roman" w:cs="Times New Roman"/>
                <w:color w:val="000000" w:themeColor="text1"/>
                <w:lang w:val="es-ES"/>
              </w:rPr>
              <w:tab/>
            </w:r>
            <w:r w:rsidRPr="00B8693C">
              <w:rPr>
                <w:rFonts w:eastAsia="Times New Roman" w:cs="Times New Roman"/>
                <w:color w:val="000000" w:themeColor="text1"/>
                <w:lang w:val="es-ES"/>
              </w:rPr>
              <w:t>Examen de la Política de IIG</w:t>
            </w:r>
          </w:p>
        </w:tc>
        <w:tc>
          <w:tcPr>
            <w:tcW w:w="962" w:type="pct"/>
          </w:tcPr>
          <w:p w:rsidR="00B8270F" w:rsidRPr="00B8693C" w:rsidRDefault="00B8270F" w:rsidP="00AE5CC0">
            <w:pPr>
              <w:keepNext/>
              <w:keepLines/>
              <w:jc w:val="center"/>
              <w:rPr>
                <w:color w:val="000000" w:themeColor="text1"/>
                <w:lang w:val="es-ES"/>
              </w:rPr>
            </w:pPr>
            <w:r w:rsidRPr="00B8693C">
              <w:rPr>
                <w:rFonts w:eastAsia="Times New Roman" w:cs="Times New Roman"/>
                <w:color w:val="000000" w:themeColor="text1"/>
                <w:lang w:val="es-ES"/>
              </w:rPr>
              <w:t>GTF</w:t>
            </w:r>
          </w:p>
        </w:tc>
        <w:tc>
          <w:tcPr>
            <w:tcW w:w="576" w:type="pct"/>
          </w:tcPr>
          <w:p w:rsidR="00B8270F" w:rsidRPr="00B8693C" w:rsidRDefault="00B8270F" w:rsidP="00AE5CC0">
            <w:pPr>
              <w:keepNext/>
              <w:keepLines/>
              <w:jc w:val="center"/>
              <w:rPr>
                <w:color w:val="000000" w:themeColor="text1"/>
                <w:lang w:val="es-ES"/>
              </w:rPr>
            </w:pPr>
            <w:r w:rsidRPr="00B8693C">
              <w:rPr>
                <w:rFonts w:eastAsia="Times New Roman" w:cs="Times New Roman"/>
                <w:color w:val="000000" w:themeColor="text1"/>
                <w:lang w:val="es-ES"/>
              </w:rPr>
              <w:t>Ene-Mar</w:t>
            </w:r>
          </w:p>
        </w:tc>
      </w:tr>
      <w:tr w:rsidR="00B8270F" w:rsidRPr="00B8693C" w:rsidTr="00AE5CC0">
        <w:tc>
          <w:tcPr>
            <w:tcW w:w="3461" w:type="pct"/>
          </w:tcPr>
          <w:p w:rsidR="00B8270F" w:rsidRPr="00B8693C" w:rsidRDefault="00B8270F" w:rsidP="00B8693C">
            <w:pPr>
              <w:keepNext/>
              <w:keepLines/>
              <w:rPr>
                <w:color w:val="000000" w:themeColor="text1"/>
                <w:lang w:val="es-ES"/>
              </w:rPr>
            </w:pPr>
            <w:r w:rsidRPr="00B8693C">
              <w:rPr>
                <w:rFonts w:eastAsia="Times New Roman" w:cs="Times New Roman"/>
                <w:color w:val="000000" w:themeColor="text1"/>
                <w:lang w:val="es-ES"/>
              </w:rPr>
              <w:t>1.2</w:t>
            </w:r>
            <w:r w:rsidR="00B8693C">
              <w:rPr>
                <w:rFonts w:eastAsia="Times New Roman" w:cs="Times New Roman"/>
                <w:color w:val="000000" w:themeColor="text1"/>
                <w:lang w:val="es-ES"/>
              </w:rPr>
              <w:tab/>
            </w:r>
            <w:r w:rsidRPr="00B8693C">
              <w:rPr>
                <w:rFonts w:eastAsia="Times New Roman" w:cs="Times New Roman"/>
                <w:color w:val="000000" w:themeColor="text1"/>
                <w:lang w:val="es-ES"/>
              </w:rPr>
              <w:t>Plan de aplicación</w:t>
            </w:r>
          </w:p>
        </w:tc>
        <w:tc>
          <w:tcPr>
            <w:tcW w:w="962" w:type="pct"/>
          </w:tcPr>
          <w:p w:rsidR="00B8270F" w:rsidRPr="00B8693C" w:rsidRDefault="00B8270F" w:rsidP="00AE5CC0">
            <w:pPr>
              <w:keepNext/>
              <w:keepLines/>
              <w:jc w:val="center"/>
              <w:rPr>
                <w:color w:val="000000" w:themeColor="text1"/>
                <w:lang w:val="es-ES"/>
              </w:rPr>
            </w:pPr>
            <w:r w:rsidRPr="00B8693C">
              <w:rPr>
                <w:rFonts w:eastAsia="Times New Roman" w:cs="Times New Roman"/>
                <w:color w:val="000000" w:themeColor="text1"/>
                <w:lang w:val="es-ES"/>
              </w:rPr>
              <w:t>GTF</w:t>
            </w:r>
          </w:p>
        </w:tc>
        <w:tc>
          <w:tcPr>
            <w:tcW w:w="576" w:type="pct"/>
          </w:tcPr>
          <w:p w:rsidR="00B8270F" w:rsidRPr="00B8693C" w:rsidRDefault="00B8270F" w:rsidP="00AE5CC0">
            <w:pPr>
              <w:keepNext/>
              <w:keepLines/>
              <w:jc w:val="center"/>
              <w:rPr>
                <w:color w:val="000000" w:themeColor="text1"/>
                <w:lang w:val="es-ES"/>
              </w:rPr>
            </w:pPr>
            <w:r w:rsidRPr="00B8693C">
              <w:rPr>
                <w:rFonts w:eastAsia="Times New Roman" w:cs="Times New Roman"/>
                <w:color w:val="000000" w:themeColor="text1"/>
                <w:lang w:val="es-ES"/>
              </w:rPr>
              <w:t>Ene-Mar</w:t>
            </w:r>
          </w:p>
        </w:tc>
      </w:tr>
      <w:tr w:rsidR="00B8270F" w:rsidRPr="00B8693C" w:rsidTr="00AE5CC0">
        <w:tc>
          <w:tcPr>
            <w:tcW w:w="3461" w:type="pct"/>
          </w:tcPr>
          <w:p w:rsidR="00B8270F" w:rsidRPr="00B8693C" w:rsidRDefault="00B8270F" w:rsidP="00B8693C">
            <w:pPr>
              <w:keepNext/>
              <w:keepLines/>
              <w:ind w:left="567" w:hanging="567"/>
              <w:rPr>
                <w:color w:val="000000" w:themeColor="text1"/>
                <w:lang w:val="es-ES"/>
              </w:rPr>
            </w:pPr>
            <w:r w:rsidRPr="00B8693C">
              <w:rPr>
                <w:rFonts w:eastAsia="Times New Roman" w:cs="Times New Roman"/>
                <w:color w:val="000000" w:themeColor="text1"/>
                <w:lang w:val="es-ES"/>
              </w:rPr>
              <w:t>1.3</w:t>
            </w:r>
            <w:r w:rsidR="00B8693C">
              <w:rPr>
                <w:rFonts w:eastAsia="Times New Roman" w:cs="Times New Roman"/>
                <w:color w:val="000000" w:themeColor="text1"/>
                <w:lang w:val="es-ES"/>
              </w:rPr>
              <w:tab/>
            </w:r>
            <w:r w:rsidRPr="00B8693C">
              <w:rPr>
                <w:rFonts w:eastAsia="Times New Roman" w:cs="Times New Roman"/>
                <w:color w:val="000000" w:themeColor="text1"/>
                <w:lang w:val="es-ES"/>
              </w:rPr>
              <w:t>Desarrollo del mecanismo o estructura de rendición de cuentas</w:t>
            </w:r>
          </w:p>
        </w:tc>
        <w:tc>
          <w:tcPr>
            <w:tcW w:w="962" w:type="pct"/>
          </w:tcPr>
          <w:p w:rsidR="00B8270F" w:rsidRPr="00B8693C" w:rsidRDefault="00B8270F" w:rsidP="00AE5CC0">
            <w:pPr>
              <w:keepNext/>
              <w:keepLines/>
              <w:jc w:val="center"/>
              <w:rPr>
                <w:color w:val="000000" w:themeColor="text1"/>
                <w:lang w:val="es-ES"/>
              </w:rPr>
            </w:pPr>
            <w:r w:rsidRPr="00B8693C">
              <w:rPr>
                <w:rFonts w:eastAsia="Times New Roman" w:cs="Times New Roman"/>
                <w:color w:val="000000" w:themeColor="text1"/>
                <w:lang w:val="es-ES"/>
              </w:rPr>
              <w:t>GTF/SGO</w:t>
            </w:r>
          </w:p>
        </w:tc>
        <w:tc>
          <w:tcPr>
            <w:tcW w:w="576" w:type="pct"/>
          </w:tcPr>
          <w:p w:rsidR="00B8270F" w:rsidRPr="00B8693C" w:rsidRDefault="00B8270F" w:rsidP="00AE5CC0">
            <w:pPr>
              <w:keepNext/>
              <w:keepLines/>
              <w:jc w:val="center"/>
              <w:rPr>
                <w:color w:val="000000" w:themeColor="text1"/>
                <w:lang w:val="es-ES"/>
              </w:rPr>
            </w:pPr>
            <w:r w:rsidRPr="00B8693C">
              <w:rPr>
                <w:rFonts w:eastAsia="Times New Roman" w:cs="Times New Roman"/>
                <w:color w:val="000000" w:themeColor="text1"/>
                <w:lang w:val="es-ES"/>
              </w:rPr>
              <w:t>Jun-</w:t>
            </w:r>
            <w:proofErr w:type="spellStart"/>
            <w:r w:rsidRPr="00B8693C">
              <w:rPr>
                <w:rFonts w:eastAsia="Times New Roman" w:cs="Times New Roman"/>
                <w:color w:val="000000" w:themeColor="text1"/>
                <w:lang w:val="es-ES"/>
              </w:rPr>
              <w:t>Ago</w:t>
            </w:r>
            <w:proofErr w:type="spellEnd"/>
          </w:p>
        </w:tc>
      </w:tr>
    </w:tbl>
    <w:p w:rsidR="00B8270F" w:rsidRPr="00B8693C" w:rsidRDefault="00B8693C" w:rsidP="00B8693C">
      <w:pPr>
        <w:keepNext/>
        <w:keepLines/>
        <w:pBdr>
          <w:bottom w:val="single" w:sz="4" w:space="1" w:color="auto"/>
        </w:pBdr>
        <w:tabs>
          <w:tab w:val="right" w:pos="9639"/>
        </w:tabs>
        <w:spacing w:before="240"/>
        <w:rPr>
          <w:color w:val="000000" w:themeColor="text1"/>
          <w:lang w:val="es-ES"/>
        </w:rPr>
      </w:pPr>
      <w:r>
        <w:rPr>
          <w:b/>
          <w:bCs/>
          <w:color w:val="000000" w:themeColor="text1"/>
          <w:lang w:val="es-ES"/>
        </w:rPr>
        <w:t>2</w:t>
      </w:r>
      <w:r>
        <w:rPr>
          <w:b/>
          <w:bCs/>
          <w:color w:val="000000" w:themeColor="text1"/>
          <w:lang w:val="es-ES"/>
        </w:rPr>
        <w:tab/>
      </w:r>
      <w:r w:rsidR="00B8270F" w:rsidRPr="00B8693C">
        <w:rPr>
          <w:b/>
          <w:bCs/>
          <w:color w:val="000000" w:themeColor="text1"/>
          <w:lang w:val="es-ES"/>
        </w:rPr>
        <w:t>Liderazgo</w:t>
      </w:r>
      <w:r>
        <w:rPr>
          <w:b/>
          <w:bCs/>
          <w:color w:val="000000" w:themeColor="text1"/>
          <w:lang w:val="es-ES"/>
        </w:rPr>
        <w:tab/>
      </w:r>
      <w:r>
        <w:rPr>
          <w:b/>
          <w:bCs/>
          <w:color w:val="000000" w:themeColor="text1"/>
          <w:lang w:val="es-ES"/>
        </w:rPr>
        <w:tab/>
      </w:r>
      <w:r>
        <w:rPr>
          <w:b/>
          <w:bCs/>
          <w:color w:val="000000" w:themeColor="text1"/>
          <w:lang w:val="es-ES"/>
        </w:rPr>
        <w:tab/>
      </w:r>
      <w:r>
        <w:rPr>
          <w:b/>
          <w:bCs/>
          <w:color w:val="000000" w:themeColor="text1"/>
          <w:lang w:val="es-ES"/>
        </w:rPr>
        <w:tab/>
        <w:t>E</w:t>
      </w:r>
      <w:r w:rsidR="00B8270F" w:rsidRPr="00B8693C">
        <w:rPr>
          <w:b/>
          <w:bCs/>
          <w:color w:val="000000" w:themeColor="text1"/>
          <w:lang w:val="es-ES"/>
        </w:rPr>
        <w:t xml:space="preserve">stado del SWAP en 2016: </w:t>
      </w:r>
      <w:r w:rsidR="00B8270F" w:rsidRPr="00B8693C">
        <w:rPr>
          <w:color w:val="000000" w:themeColor="text1"/>
          <w:lang w:val="es-ES"/>
        </w:rPr>
        <w:t>n/a;</w:t>
      </w:r>
      <w:r w:rsidR="00B8270F" w:rsidRPr="00B8693C">
        <w:rPr>
          <w:b/>
          <w:bCs/>
          <w:color w:val="000000" w:themeColor="text1"/>
          <w:lang w:val="es-ES"/>
        </w:rPr>
        <w:t xml:space="preserve"> </w:t>
      </w:r>
      <w:r w:rsidR="00B8270F" w:rsidRPr="00B8693C">
        <w:rPr>
          <w:color w:val="000000" w:themeColor="text1"/>
          <w:lang w:val="es-ES"/>
        </w:rPr>
        <w:t>nuevo indicador en 2017</w:t>
      </w:r>
    </w:p>
    <w:p w:rsidR="00B8270F" w:rsidRPr="00B8693C" w:rsidRDefault="00B8270F" w:rsidP="00C707ED">
      <w:pPr>
        <w:spacing w:after="120"/>
        <w:rPr>
          <w:lang w:val="es-ES"/>
        </w:rPr>
      </w:pPr>
      <w:r w:rsidRPr="00B8693C">
        <w:rPr>
          <w:lang w:val="es-ES"/>
        </w:rPr>
        <w:t>Para satisfacer los indicadores de rendimiento del ONU-SWAP, los altos directivos de la UIT tendrían que liderar públicamente el fomento de la igualdad de género y el empoderamiento de las mujeres, sin olvidar la igualdad de representación de las mujeres a todos los niveles. Sería necesario que la UIT informase anualmente al Consejo sobre su rendimiento en cuanto al ONU-SWAP.</w:t>
      </w:r>
    </w:p>
    <w:tbl>
      <w:tblPr>
        <w:tblStyle w:val="TableGrid"/>
        <w:tblW w:w="5000" w:type="pct"/>
        <w:tblLook w:val="04A0" w:firstRow="1" w:lastRow="0" w:firstColumn="1" w:lastColumn="0" w:noHBand="0" w:noVBand="1"/>
      </w:tblPr>
      <w:tblGrid>
        <w:gridCol w:w="6644"/>
        <w:gridCol w:w="1899"/>
        <w:gridCol w:w="1086"/>
      </w:tblGrid>
      <w:tr w:rsidR="00B8270F" w:rsidRPr="00B8693C" w:rsidTr="00AE5CC0">
        <w:tc>
          <w:tcPr>
            <w:tcW w:w="3462" w:type="pct"/>
          </w:tcPr>
          <w:p w:rsidR="00B8270F" w:rsidRPr="00B8693C" w:rsidRDefault="00B8270F" w:rsidP="00AE5CC0">
            <w:pPr>
              <w:keepNext/>
              <w:keepLines/>
              <w:jc w:val="both"/>
              <w:rPr>
                <w:color w:val="000000" w:themeColor="text1"/>
                <w:lang w:val="es-ES"/>
              </w:rPr>
            </w:pPr>
            <w:r w:rsidRPr="00B8693C">
              <w:rPr>
                <w:color w:val="000000" w:themeColor="text1"/>
                <w:u w:val="single"/>
                <w:lang w:val="es-ES"/>
              </w:rPr>
              <w:t>Productos</w:t>
            </w:r>
          </w:p>
        </w:tc>
        <w:tc>
          <w:tcPr>
            <w:tcW w:w="962" w:type="pct"/>
          </w:tcPr>
          <w:p w:rsidR="00B8270F" w:rsidRPr="00B8693C" w:rsidRDefault="00B8270F" w:rsidP="00AE5CC0">
            <w:pPr>
              <w:keepNext/>
              <w:keepLines/>
              <w:jc w:val="both"/>
              <w:rPr>
                <w:color w:val="000000" w:themeColor="text1"/>
                <w:lang w:val="es-ES"/>
              </w:rPr>
            </w:pPr>
            <w:r w:rsidRPr="00B8693C">
              <w:rPr>
                <w:color w:val="000000" w:themeColor="text1"/>
                <w:u w:val="single"/>
                <w:lang w:val="es-ES"/>
              </w:rPr>
              <w:t>Titular/Implicado</w:t>
            </w:r>
          </w:p>
        </w:tc>
        <w:tc>
          <w:tcPr>
            <w:tcW w:w="576" w:type="pct"/>
          </w:tcPr>
          <w:p w:rsidR="00B8270F" w:rsidRPr="00B8693C" w:rsidRDefault="00B8270F" w:rsidP="00AE5CC0">
            <w:pPr>
              <w:keepNext/>
              <w:keepLines/>
              <w:jc w:val="center"/>
              <w:rPr>
                <w:color w:val="000000" w:themeColor="text1"/>
                <w:lang w:val="es-ES"/>
              </w:rPr>
            </w:pPr>
            <w:r w:rsidRPr="00B8693C">
              <w:rPr>
                <w:color w:val="000000" w:themeColor="text1"/>
                <w:u w:val="single"/>
                <w:lang w:val="es-ES"/>
              </w:rPr>
              <w:t>Plazo</w:t>
            </w:r>
          </w:p>
        </w:tc>
      </w:tr>
      <w:tr w:rsidR="00B8270F" w:rsidRPr="00B8693C" w:rsidTr="00AE5CC0">
        <w:tc>
          <w:tcPr>
            <w:tcW w:w="3462" w:type="pct"/>
          </w:tcPr>
          <w:p w:rsidR="00B8270F" w:rsidRPr="00B8693C" w:rsidRDefault="003B798E" w:rsidP="003B798E">
            <w:pPr>
              <w:keepNext/>
              <w:keepLines/>
              <w:tabs>
                <w:tab w:val="clear" w:pos="1134"/>
              </w:tabs>
              <w:ind w:left="596" w:hanging="596"/>
              <w:rPr>
                <w:color w:val="000000" w:themeColor="text1"/>
                <w:lang w:val="es-ES"/>
              </w:rPr>
            </w:pPr>
            <w:r>
              <w:rPr>
                <w:rFonts w:eastAsia="Times New Roman" w:cs="Times New Roman"/>
                <w:color w:val="000000" w:themeColor="text1"/>
                <w:lang w:val="es-ES"/>
              </w:rPr>
              <w:t>2.1</w:t>
            </w:r>
            <w:r w:rsidR="00B8270F" w:rsidRPr="00B8693C">
              <w:rPr>
                <w:rFonts w:eastAsia="Times New Roman" w:cs="Times New Roman"/>
                <w:color w:val="000000" w:themeColor="text1"/>
                <w:lang w:val="es-ES"/>
              </w:rPr>
              <w:tab/>
              <w:t>Compromisos de la SG para 2017 como Campeón Internacional de la Cuestión de Género</w:t>
            </w:r>
          </w:p>
        </w:tc>
        <w:tc>
          <w:tcPr>
            <w:tcW w:w="962" w:type="pct"/>
          </w:tcPr>
          <w:p w:rsidR="00B8270F" w:rsidRPr="00B8693C" w:rsidRDefault="00B8270F" w:rsidP="00AE5CC0">
            <w:pPr>
              <w:keepNext/>
              <w:keepLines/>
              <w:jc w:val="center"/>
              <w:rPr>
                <w:color w:val="000000" w:themeColor="text1"/>
                <w:lang w:val="es-ES"/>
              </w:rPr>
            </w:pPr>
            <w:r w:rsidRPr="00B8693C">
              <w:rPr>
                <w:rFonts w:eastAsia="Times New Roman" w:cs="Times New Roman"/>
                <w:color w:val="000000" w:themeColor="text1"/>
                <w:lang w:val="es-ES"/>
              </w:rPr>
              <w:t>GTF/SGO</w:t>
            </w:r>
          </w:p>
        </w:tc>
        <w:tc>
          <w:tcPr>
            <w:tcW w:w="576" w:type="pct"/>
          </w:tcPr>
          <w:p w:rsidR="00B8270F" w:rsidRPr="00B8693C" w:rsidRDefault="00B8270F" w:rsidP="00AE5CC0">
            <w:pPr>
              <w:keepNext/>
              <w:keepLines/>
              <w:jc w:val="center"/>
              <w:rPr>
                <w:color w:val="000000" w:themeColor="text1"/>
                <w:lang w:val="es-ES"/>
              </w:rPr>
            </w:pPr>
            <w:r w:rsidRPr="00B8693C">
              <w:rPr>
                <w:rFonts w:eastAsia="Times New Roman" w:cs="Times New Roman"/>
                <w:color w:val="000000" w:themeColor="text1"/>
                <w:lang w:val="es-ES"/>
              </w:rPr>
              <w:t>Febrero</w:t>
            </w:r>
          </w:p>
        </w:tc>
      </w:tr>
      <w:tr w:rsidR="00B8270F" w:rsidRPr="00B8693C" w:rsidTr="00AE5CC0">
        <w:tc>
          <w:tcPr>
            <w:tcW w:w="3462" w:type="pct"/>
          </w:tcPr>
          <w:p w:rsidR="00B8270F" w:rsidRPr="00B8693C" w:rsidRDefault="00B8270F" w:rsidP="00C707ED">
            <w:pPr>
              <w:keepNext/>
              <w:keepLines/>
              <w:rPr>
                <w:color w:val="000000" w:themeColor="text1"/>
                <w:lang w:val="es-ES"/>
              </w:rPr>
            </w:pPr>
            <w:r w:rsidRPr="00B8693C">
              <w:rPr>
                <w:rFonts w:eastAsia="Times New Roman" w:cs="Times New Roman"/>
                <w:color w:val="000000" w:themeColor="text1"/>
                <w:lang w:val="es-ES"/>
              </w:rPr>
              <w:t>2.2</w:t>
            </w:r>
            <w:r w:rsidR="00C707ED">
              <w:rPr>
                <w:rFonts w:eastAsia="Times New Roman" w:cs="Times New Roman"/>
                <w:color w:val="000000" w:themeColor="text1"/>
                <w:lang w:val="es-ES"/>
              </w:rPr>
              <w:tab/>
            </w:r>
            <w:r w:rsidRPr="00B8693C">
              <w:rPr>
                <w:rFonts w:eastAsia="Times New Roman" w:cs="Times New Roman"/>
                <w:color w:val="000000" w:themeColor="text1"/>
                <w:lang w:val="es-ES"/>
              </w:rPr>
              <w:t>Informe al Consejo sobre el rendimiento del ONU-SWAP</w:t>
            </w:r>
          </w:p>
        </w:tc>
        <w:tc>
          <w:tcPr>
            <w:tcW w:w="962" w:type="pct"/>
          </w:tcPr>
          <w:p w:rsidR="00B8270F" w:rsidRPr="00B8693C" w:rsidRDefault="00B8270F" w:rsidP="00AE5CC0">
            <w:pPr>
              <w:keepNext/>
              <w:keepLines/>
              <w:jc w:val="center"/>
              <w:rPr>
                <w:color w:val="000000" w:themeColor="text1"/>
                <w:lang w:val="es-ES"/>
              </w:rPr>
            </w:pPr>
            <w:r w:rsidRPr="00B8693C">
              <w:rPr>
                <w:rFonts w:eastAsia="Times New Roman" w:cs="Times New Roman"/>
                <w:color w:val="000000" w:themeColor="text1"/>
                <w:lang w:val="es-ES"/>
              </w:rPr>
              <w:t>GTF</w:t>
            </w:r>
          </w:p>
        </w:tc>
        <w:tc>
          <w:tcPr>
            <w:tcW w:w="576" w:type="pct"/>
          </w:tcPr>
          <w:p w:rsidR="00B8270F" w:rsidRPr="00B8693C" w:rsidRDefault="00B8270F" w:rsidP="00AE5CC0">
            <w:pPr>
              <w:keepNext/>
              <w:keepLines/>
              <w:jc w:val="center"/>
              <w:rPr>
                <w:color w:val="000000" w:themeColor="text1"/>
                <w:lang w:val="es-ES"/>
              </w:rPr>
            </w:pPr>
            <w:r w:rsidRPr="00B8693C">
              <w:rPr>
                <w:rFonts w:eastAsia="Times New Roman" w:cs="Times New Roman"/>
                <w:color w:val="000000" w:themeColor="text1"/>
                <w:lang w:val="es-ES"/>
              </w:rPr>
              <w:t>Mayo</w:t>
            </w:r>
          </w:p>
        </w:tc>
      </w:tr>
    </w:tbl>
    <w:p w:rsidR="00B8270F" w:rsidRPr="00B8693C" w:rsidRDefault="00C707ED" w:rsidP="00C707ED">
      <w:pPr>
        <w:keepNext/>
        <w:keepLines/>
        <w:pBdr>
          <w:bottom w:val="single" w:sz="4" w:space="1" w:color="auto"/>
        </w:pBdr>
        <w:tabs>
          <w:tab w:val="right" w:pos="9639"/>
        </w:tabs>
        <w:spacing w:before="240"/>
        <w:rPr>
          <w:color w:val="000000" w:themeColor="text1"/>
          <w:lang w:val="es-ES"/>
        </w:rPr>
      </w:pPr>
      <w:r>
        <w:rPr>
          <w:b/>
          <w:bCs/>
          <w:color w:val="000000" w:themeColor="text1"/>
          <w:lang w:val="es-ES"/>
        </w:rPr>
        <w:t>3</w:t>
      </w:r>
      <w:r>
        <w:rPr>
          <w:b/>
          <w:bCs/>
          <w:color w:val="000000" w:themeColor="text1"/>
          <w:lang w:val="es-ES"/>
        </w:rPr>
        <w:tab/>
      </w:r>
      <w:r w:rsidR="00B8270F" w:rsidRPr="00B8693C">
        <w:rPr>
          <w:b/>
          <w:bCs/>
          <w:color w:val="000000" w:themeColor="text1"/>
          <w:lang w:val="es-ES"/>
        </w:rPr>
        <w:t>Gestión del rendimiento con perspectiva de género</w:t>
      </w:r>
      <w:r>
        <w:rPr>
          <w:b/>
          <w:bCs/>
          <w:color w:val="000000" w:themeColor="text1"/>
          <w:lang w:val="es-ES"/>
        </w:rPr>
        <w:tab/>
      </w:r>
      <w:r w:rsidR="00B8270F" w:rsidRPr="00B8693C">
        <w:rPr>
          <w:b/>
          <w:bCs/>
          <w:color w:val="000000" w:themeColor="text1"/>
          <w:lang w:val="es-ES"/>
        </w:rPr>
        <w:t>Estado del SWAP en 2016:</w:t>
      </w:r>
      <w:r w:rsidR="00B8270F" w:rsidRPr="00B8693C">
        <w:rPr>
          <w:color w:val="000000" w:themeColor="text1"/>
          <w:lang w:val="es-ES"/>
        </w:rPr>
        <w:t xml:space="preserve"> casi cumple</w:t>
      </w:r>
    </w:p>
    <w:p w:rsidR="00B8270F" w:rsidRPr="00B8693C" w:rsidRDefault="00B8270F" w:rsidP="00C707ED">
      <w:pPr>
        <w:spacing w:after="120"/>
        <w:rPr>
          <w:lang w:val="es-ES"/>
        </w:rPr>
      </w:pPr>
      <w:r w:rsidRPr="00B8693C">
        <w:rPr>
          <w:lang w:val="es-ES"/>
        </w:rPr>
        <w:t>Para satisfacer los indicadores de rendimiento del ONU-SWAP, la evaluación de la igualdad de género y el empoderamiento de las mujeres tendría que integrarse en los valores fundamentales y/o competencias de todo el personal, prestando una atención especial a los supervisores y a los niveles P4 y superiores.</w:t>
      </w:r>
    </w:p>
    <w:tbl>
      <w:tblPr>
        <w:tblStyle w:val="TableGrid"/>
        <w:tblW w:w="5000" w:type="pct"/>
        <w:tblLook w:val="04A0" w:firstRow="1" w:lastRow="0" w:firstColumn="1" w:lastColumn="0" w:noHBand="0" w:noVBand="1"/>
      </w:tblPr>
      <w:tblGrid>
        <w:gridCol w:w="6644"/>
        <w:gridCol w:w="1899"/>
        <w:gridCol w:w="1086"/>
      </w:tblGrid>
      <w:tr w:rsidR="00B8270F" w:rsidRPr="00B8693C" w:rsidTr="00AE5CC0">
        <w:tc>
          <w:tcPr>
            <w:tcW w:w="3462" w:type="pct"/>
          </w:tcPr>
          <w:p w:rsidR="00B8270F" w:rsidRPr="00B8693C" w:rsidRDefault="00B8270F" w:rsidP="00AE5CC0">
            <w:pPr>
              <w:keepNext/>
              <w:keepLines/>
              <w:jc w:val="both"/>
              <w:rPr>
                <w:color w:val="000000" w:themeColor="text1"/>
                <w:lang w:val="es-ES"/>
              </w:rPr>
            </w:pPr>
            <w:r w:rsidRPr="00B8693C">
              <w:rPr>
                <w:color w:val="000000" w:themeColor="text1"/>
                <w:u w:val="single"/>
                <w:lang w:val="es-ES"/>
              </w:rPr>
              <w:lastRenderedPageBreak/>
              <w:t>Productos</w:t>
            </w:r>
          </w:p>
        </w:tc>
        <w:tc>
          <w:tcPr>
            <w:tcW w:w="962" w:type="pct"/>
          </w:tcPr>
          <w:p w:rsidR="00B8270F" w:rsidRPr="00B8693C" w:rsidRDefault="00B8270F" w:rsidP="00AE5CC0">
            <w:pPr>
              <w:keepNext/>
              <w:keepLines/>
              <w:jc w:val="both"/>
              <w:rPr>
                <w:color w:val="000000" w:themeColor="text1"/>
                <w:lang w:val="es-ES"/>
              </w:rPr>
            </w:pPr>
            <w:r w:rsidRPr="00B8693C">
              <w:rPr>
                <w:color w:val="000000" w:themeColor="text1"/>
                <w:u w:val="single"/>
                <w:lang w:val="es-ES"/>
              </w:rPr>
              <w:t>Titular/Implicado</w:t>
            </w:r>
          </w:p>
        </w:tc>
        <w:tc>
          <w:tcPr>
            <w:tcW w:w="576" w:type="pct"/>
          </w:tcPr>
          <w:p w:rsidR="00B8270F" w:rsidRPr="00B8693C" w:rsidRDefault="00B8270F" w:rsidP="00AE5CC0">
            <w:pPr>
              <w:keepNext/>
              <w:keepLines/>
              <w:jc w:val="center"/>
              <w:rPr>
                <w:color w:val="000000" w:themeColor="text1"/>
                <w:lang w:val="es-ES"/>
              </w:rPr>
            </w:pPr>
            <w:r w:rsidRPr="00B8693C">
              <w:rPr>
                <w:color w:val="000000" w:themeColor="text1"/>
                <w:u w:val="single"/>
                <w:lang w:val="es-ES"/>
              </w:rPr>
              <w:t>Plazo</w:t>
            </w:r>
          </w:p>
        </w:tc>
      </w:tr>
      <w:tr w:rsidR="00B8270F" w:rsidRPr="00B8693C" w:rsidTr="00AE5CC0">
        <w:tc>
          <w:tcPr>
            <w:tcW w:w="3462" w:type="pct"/>
          </w:tcPr>
          <w:p w:rsidR="00B8270F" w:rsidRPr="00B8693C" w:rsidRDefault="00B8270F" w:rsidP="00C707ED">
            <w:pPr>
              <w:keepNext/>
              <w:keepLines/>
              <w:ind w:left="567" w:hanging="567"/>
              <w:rPr>
                <w:color w:val="000000" w:themeColor="text1"/>
                <w:lang w:val="es-ES"/>
              </w:rPr>
            </w:pPr>
            <w:r w:rsidRPr="00B8693C">
              <w:rPr>
                <w:rFonts w:eastAsia="Times New Roman" w:cs="Times New Roman"/>
                <w:color w:val="000000" w:themeColor="text1"/>
                <w:lang w:val="es-ES"/>
              </w:rPr>
              <w:t>3.1</w:t>
            </w:r>
            <w:r w:rsidR="00C707ED">
              <w:rPr>
                <w:rFonts w:eastAsia="Times New Roman" w:cs="Times New Roman"/>
                <w:color w:val="000000" w:themeColor="text1"/>
                <w:lang w:val="es-ES"/>
              </w:rPr>
              <w:tab/>
            </w:r>
            <w:r w:rsidRPr="00B8693C">
              <w:rPr>
                <w:rFonts w:eastAsia="Times New Roman" w:cs="Times New Roman"/>
                <w:color w:val="000000" w:themeColor="text1"/>
                <w:lang w:val="es-ES"/>
              </w:rPr>
              <w:t>Reflejar las cuestiones de género en los valores fundamentales/competencias de la UIT</w:t>
            </w:r>
          </w:p>
        </w:tc>
        <w:tc>
          <w:tcPr>
            <w:tcW w:w="962" w:type="pct"/>
          </w:tcPr>
          <w:p w:rsidR="00B8270F" w:rsidRPr="00B8693C" w:rsidRDefault="00B8270F" w:rsidP="00AE5CC0">
            <w:pPr>
              <w:keepNext/>
              <w:keepLines/>
              <w:jc w:val="center"/>
              <w:rPr>
                <w:color w:val="000000" w:themeColor="text1"/>
                <w:lang w:val="es-ES"/>
              </w:rPr>
            </w:pPr>
            <w:r w:rsidRPr="00B8693C">
              <w:rPr>
                <w:rFonts w:eastAsia="Times New Roman" w:cs="Times New Roman"/>
                <w:color w:val="000000" w:themeColor="text1"/>
                <w:lang w:val="es-ES"/>
              </w:rPr>
              <w:t>HRMD/GTF</w:t>
            </w:r>
          </w:p>
        </w:tc>
        <w:tc>
          <w:tcPr>
            <w:tcW w:w="576" w:type="pct"/>
          </w:tcPr>
          <w:p w:rsidR="00B8270F" w:rsidRPr="00B8693C" w:rsidRDefault="00B8270F" w:rsidP="00AE5CC0">
            <w:pPr>
              <w:keepNext/>
              <w:keepLines/>
              <w:jc w:val="center"/>
              <w:rPr>
                <w:color w:val="000000" w:themeColor="text1"/>
                <w:lang w:val="es-ES"/>
              </w:rPr>
            </w:pPr>
            <w:r w:rsidRPr="00B8693C">
              <w:rPr>
                <w:rFonts w:eastAsia="Times New Roman" w:cs="Times New Roman"/>
                <w:color w:val="000000" w:themeColor="text1"/>
                <w:lang w:val="es-ES"/>
              </w:rPr>
              <w:t>En curso</w:t>
            </w:r>
          </w:p>
        </w:tc>
      </w:tr>
    </w:tbl>
    <w:p w:rsidR="00B8270F" w:rsidRPr="00B8693C" w:rsidRDefault="00C707ED" w:rsidP="00B8693C">
      <w:pPr>
        <w:keepNext/>
        <w:keepLines/>
        <w:pBdr>
          <w:bottom w:val="single" w:sz="4" w:space="1" w:color="auto"/>
        </w:pBdr>
        <w:tabs>
          <w:tab w:val="right" w:pos="9639"/>
        </w:tabs>
        <w:spacing w:before="240"/>
        <w:rPr>
          <w:color w:val="000000" w:themeColor="text1"/>
          <w:lang w:val="es-ES"/>
        </w:rPr>
      </w:pPr>
      <w:r>
        <w:rPr>
          <w:b/>
          <w:bCs/>
          <w:color w:val="000000" w:themeColor="text1"/>
          <w:lang w:val="es-ES"/>
        </w:rPr>
        <w:t>4</w:t>
      </w:r>
      <w:r>
        <w:rPr>
          <w:b/>
          <w:bCs/>
          <w:color w:val="000000" w:themeColor="text1"/>
          <w:lang w:val="es-ES"/>
        </w:rPr>
        <w:tab/>
      </w:r>
      <w:r w:rsidR="00B8270F" w:rsidRPr="00B8693C">
        <w:rPr>
          <w:b/>
          <w:bCs/>
          <w:color w:val="000000" w:themeColor="text1"/>
          <w:lang w:val="es-ES"/>
        </w:rPr>
        <w:t>Planificación estratégica</w:t>
      </w:r>
      <w:r w:rsidR="00B8270F" w:rsidRPr="00B8693C">
        <w:rPr>
          <w:b/>
          <w:bCs/>
          <w:color w:val="000000" w:themeColor="text1"/>
          <w:lang w:val="es-ES"/>
        </w:rPr>
        <w:tab/>
        <w:t>Estado del SWAP en 2016:</w:t>
      </w:r>
      <w:r w:rsidR="00B8270F" w:rsidRPr="00B8693C">
        <w:rPr>
          <w:color w:val="000000" w:themeColor="text1"/>
          <w:lang w:val="es-ES"/>
        </w:rPr>
        <w:t xml:space="preserve"> satisface los requisitos</w:t>
      </w:r>
    </w:p>
    <w:p w:rsidR="00B8270F" w:rsidRPr="00B8693C" w:rsidRDefault="00B8270F" w:rsidP="00C707ED">
      <w:pPr>
        <w:tabs>
          <w:tab w:val="left" w:pos="426"/>
          <w:tab w:val="center" w:pos="5387"/>
        </w:tabs>
        <w:spacing w:after="120"/>
        <w:jc w:val="both"/>
        <w:rPr>
          <w:color w:val="000000" w:themeColor="text1"/>
          <w:szCs w:val="24"/>
          <w:lang w:val="es-ES"/>
        </w:rPr>
      </w:pPr>
      <w:r w:rsidRPr="00B8693C">
        <w:rPr>
          <w:color w:val="000000" w:themeColor="text1"/>
          <w:szCs w:val="24"/>
          <w:lang w:val="es-ES"/>
        </w:rPr>
        <w:t>Para satisfacer los indicadores de rendimiento del ONU-SWAP, la UIT tendría que incorporar en el plan estratégico y operacional de la Unión el análisis de género. El Plan Estratégico de la Unión tendría que incluir por lo menos un resultado específico o un logro previsto, y un indicador específico sobre la igualdad de género y el empoderamiento de las mujeres. En el resumen de orientación debería incluirse la referencia las cuestiones de género.</w:t>
      </w:r>
    </w:p>
    <w:tbl>
      <w:tblPr>
        <w:tblStyle w:val="TableGrid"/>
        <w:tblW w:w="5000" w:type="pct"/>
        <w:tblLook w:val="04A0" w:firstRow="1" w:lastRow="0" w:firstColumn="1" w:lastColumn="0" w:noHBand="0" w:noVBand="1"/>
      </w:tblPr>
      <w:tblGrid>
        <w:gridCol w:w="6644"/>
        <w:gridCol w:w="1899"/>
        <w:gridCol w:w="1086"/>
      </w:tblGrid>
      <w:tr w:rsidR="00B8270F" w:rsidRPr="00B8693C" w:rsidTr="00AE5CC0">
        <w:tc>
          <w:tcPr>
            <w:tcW w:w="3462" w:type="pct"/>
          </w:tcPr>
          <w:p w:rsidR="00B8270F" w:rsidRPr="00B8693C" w:rsidRDefault="00B8270F" w:rsidP="00AE5CC0">
            <w:pPr>
              <w:keepNext/>
              <w:keepLines/>
              <w:jc w:val="both"/>
              <w:rPr>
                <w:color w:val="000000" w:themeColor="text1"/>
                <w:lang w:val="es-ES"/>
              </w:rPr>
            </w:pPr>
            <w:r w:rsidRPr="00B8693C">
              <w:rPr>
                <w:color w:val="000000" w:themeColor="text1"/>
                <w:u w:val="single"/>
                <w:lang w:val="es-ES"/>
              </w:rPr>
              <w:t>Productos</w:t>
            </w:r>
          </w:p>
        </w:tc>
        <w:tc>
          <w:tcPr>
            <w:tcW w:w="962" w:type="pct"/>
          </w:tcPr>
          <w:p w:rsidR="00B8270F" w:rsidRPr="00B8693C" w:rsidRDefault="00B8270F" w:rsidP="00AE5CC0">
            <w:pPr>
              <w:keepNext/>
              <w:keepLines/>
              <w:jc w:val="both"/>
              <w:rPr>
                <w:color w:val="000000" w:themeColor="text1"/>
                <w:lang w:val="es-ES"/>
              </w:rPr>
            </w:pPr>
            <w:r w:rsidRPr="00B8693C">
              <w:rPr>
                <w:color w:val="000000" w:themeColor="text1"/>
                <w:u w:val="single"/>
                <w:lang w:val="es-ES"/>
              </w:rPr>
              <w:t>Titular/Implicado</w:t>
            </w:r>
          </w:p>
        </w:tc>
        <w:tc>
          <w:tcPr>
            <w:tcW w:w="576" w:type="pct"/>
          </w:tcPr>
          <w:p w:rsidR="00B8270F" w:rsidRPr="00B8693C" w:rsidRDefault="00B8270F" w:rsidP="00AE5CC0">
            <w:pPr>
              <w:keepNext/>
              <w:keepLines/>
              <w:jc w:val="center"/>
              <w:rPr>
                <w:color w:val="000000" w:themeColor="text1"/>
                <w:lang w:val="es-ES"/>
              </w:rPr>
            </w:pPr>
            <w:r w:rsidRPr="00B8693C">
              <w:rPr>
                <w:color w:val="000000" w:themeColor="text1"/>
                <w:u w:val="single"/>
                <w:lang w:val="es-ES"/>
              </w:rPr>
              <w:t>Plazo</w:t>
            </w:r>
          </w:p>
        </w:tc>
      </w:tr>
      <w:tr w:rsidR="00B8270F" w:rsidRPr="00B8693C" w:rsidTr="00AE5CC0">
        <w:tc>
          <w:tcPr>
            <w:tcW w:w="3462" w:type="pct"/>
          </w:tcPr>
          <w:p w:rsidR="00B8270F" w:rsidRPr="00B8693C" w:rsidRDefault="00B8270F" w:rsidP="00C707ED">
            <w:pPr>
              <w:keepNext/>
              <w:keepLines/>
              <w:ind w:left="567" w:hanging="567"/>
              <w:rPr>
                <w:color w:val="000000" w:themeColor="text1"/>
                <w:lang w:val="es-ES"/>
              </w:rPr>
            </w:pPr>
            <w:r w:rsidRPr="00B8693C">
              <w:rPr>
                <w:rFonts w:eastAsia="Times New Roman" w:cs="Times New Roman"/>
                <w:color w:val="000000" w:themeColor="text1"/>
                <w:lang w:val="es-ES"/>
              </w:rPr>
              <w:t>4.1</w:t>
            </w:r>
            <w:r w:rsidR="00C707ED">
              <w:rPr>
                <w:rFonts w:eastAsia="Times New Roman" w:cs="Times New Roman"/>
                <w:color w:val="000000" w:themeColor="text1"/>
                <w:lang w:val="es-ES"/>
              </w:rPr>
              <w:tab/>
            </w:r>
            <w:r w:rsidRPr="00B8693C">
              <w:rPr>
                <w:rFonts w:eastAsia="Times New Roman" w:cs="Times New Roman"/>
                <w:color w:val="000000" w:themeColor="text1"/>
                <w:lang w:val="es-ES"/>
              </w:rPr>
              <w:t>Implicación del GTF en los preparativos del próximo plan estratégico</w:t>
            </w:r>
          </w:p>
        </w:tc>
        <w:tc>
          <w:tcPr>
            <w:tcW w:w="962" w:type="pct"/>
          </w:tcPr>
          <w:p w:rsidR="00B8270F" w:rsidRPr="00B8693C" w:rsidRDefault="00B8270F" w:rsidP="00AE5CC0">
            <w:pPr>
              <w:keepNext/>
              <w:keepLines/>
              <w:jc w:val="center"/>
              <w:rPr>
                <w:color w:val="000000" w:themeColor="text1"/>
                <w:lang w:val="es-ES"/>
              </w:rPr>
            </w:pPr>
            <w:r w:rsidRPr="00B8693C">
              <w:rPr>
                <w:rFonts w:eastAsia="Times New Roman" w:cs="Times New Roman"/>
                <w:color w:val="000000" w:themeColor="text1"/>
                <w:lang w:val="es-ES"/>
              </w:rPr>
              <w:t>SPM/GTF</w:t>
            </w:r>
          </w:p>
        </w:tc>
        <w:tc>
          <w:tcPr>
            <w:tcW w:w="576" w:type="pct"/>
          </w:tcPr>
          <w:p w:rsidR="00B8270F" w:rsidRPr="00B8693C" w:rsidRDefault="00B8270F" w:rsidP="00AE5CC0">
            <w:pPr>
              <w:keepNext/>
              <w:keepLines/>
              <w:jc w:val="center"/>
              <w:rPr>
                <w:color w:val="000000" w:themeColor="text1"/>
                <w:lang w:val="es-ES"/>
              </w:rPr>
            </w:pPr>
            <w:proofErr w:type="spellStart"/>
            <w:r w:rsidRPr="00B8693C">
              <w:rPr>
                <w:rFonts w:eastAsia="Times New Roman" w:cs="Times New Roman"/>
                <w:color w:val="000000" w:themeColor="text1"/>
                <w:lang w:val="es-ES"/>
              </w:rPr>
              <w:t>May</w:t>
            </w:r>
            <w:proofErr w:type="spellEnd"/>
            <w:r w:rsidRPr="00B8693C">
              <w:rPr>
                <w:rFonts w:eastAsia="Times New Roman" w:cs="Times New Roman"/>
                <w:color w:val="000000" w:themeColor="text1"/>
                <w:lang w:val="es-ES"/>
              </w:rPr>
              <w:t>-Dic</w:t>
            </w:r>
          </w:p>
        </w:tc>
      </w:tr>
      <w:tr w:rsidR="00B8270F" w:rsidRPr="00B8693C" w:rsidTr="00AE5CC0">
        <w:tc>
          <w:tcPr>
            <w:tcW w:w="3462" w:type="pct"/>
          </w:tcPr>
          <w:p w:rsidR="00B8270F" w:rsidRPr="00B8693C" w:rsidRDefault="00B8270F" w:rsidP="00C707ED">
            <w:pPr>
              <w:keepNext/>
              <w:keepLines/>
              <w:ind w:left="567" w:hanging="567"/>
              <w:rPr>
                <w:color w:val="000000" w:themeColor="text1"/>
                <w:lang w:val="es-ES"/>
              </w:rPr>
            </w:pPr>
            <w:r w:rsidRPr="00B8693C">
              <w:rPr>
                <w:rFonts w:eastAsia="Times New Roman" w:cs="Times New Roman"/>
                <w:color w:val="000000" w:themeColor="text1"/>
                <w:lang w:val="es-ES"/>
              </w:rPr>
              <w:t>4.2</w:t>
            </w:r>
            <w:r w:rsidR="00C707ED">
              <w:rPr>
                <w:rFonts w:eastAsia="Times New Roman" w:cs="Times New Roman"/>
                <w:color w:val="000000" w:themeColor="text1"/>
                <w:lang w:val="es-ES"/>
              </w:rPr>
              <w:tab/>
            </w:r>
            <w:r w:rsidRPr="00B8693C">
              <w:rPr>
                <w:rFonts w:eastAsia="Times New Roman" w:cs="Times New Roman"/>
                <w:color w:val="000000" w:themeColor="text1"/>
                <w:lang w:val="es-ES"/>
              </w:rPr>
              <w:t>Implicación del GTF en los preparativos del próximo plan operacional</w:t>
            </w:r>
          </w:p>
        </w:tc>
        <w:tc>
          <w:tcPr>
            <w:tcW w:w="962" w:type="pct"/>
          </w:tcPr>
          <w:p w:rsidR="00B8270F" w:rsidRPr="00B8693C" w:rsidRDefault="00B8270F" w:rsidP="00AE5CC0">
            <w:pPr>
              <w:keepNext/>
              <w:keepLines/>
              <w:jc w:val="center"/>
              <w:rPr>
                <w:color w:val="000000" w:themeColor="text1"/>
                <w:lang w:val="es-ES"/>
              </w:rPr>
            </w:pPr>
            <w:r w:rsidRPr="00B8693C">
              <w:rPr>
                <w:rFonts w:eastAsia="Times New Roman" w:cs="Times New Roman"/>
                <w:color w:val="000000" w:themeColor="text1"/>
                <w:lang w:val="es-ES"/>
              </w:rPr>
              <w:t>SPM/GTF</w:t>
            </w:r>
          </w:p>
        </w:tc>
        <w:tc>
          <w:tcPr>
            <w:tcW w:w="576" w:type="pct"/>
          </w:tcPr>
          <w:p w:rsidR="00B8270F" w:rsidRPr="00B8693C" w:rsidRDefault="00B8270F" w:rsidP="00AE5CC0">
            <w:pPr>
              <w:keepNext/>
              <w:keepLines/>
              <w:jc w:val="center"/>
              <w:rPr>
                <w:color w:val="000000" w:themeColor="text1"/>
                <w:lang w:val="es-ES"/>
              </w:rPr>
            </w:pPr>
            <w:r w:rsidRPr="00B8693C">
              <w:rPr>
                <w:rFonts w:eastAsia="Times New Roman" w:cs="Times New Roman"/>
                <w:color w:val="000000" w:themeColor="text1"/>
                <w:lang w:val="es-ES"/>
              </w:rPr>
              <w:t>Ene-Mar</w:t>
            </w:r>
          </w:p>
        </w:tc>
      </w:tr>
    </w:tbl>
    <w:p w:rsidR="00B8270F" w:rsidRPr="00B8693C" w:rsidRDefault="00C707ED" w:rsidP="00C707ED">
      <w:pPr>
        <w:keepNext/>
        <w:keepLines/>
        <w:pBdr>
          <w:bottom w:val="single" w:sz="4" w:space="1" w:color="auto"/>
        </w:pBdr>
        <w:tabs>
          <w:tab w:val="left" w:pos="5670"/>
          <w:tab w:val="right" w:pos="9639"/>
        </w:tabs>
        <w:spacing w:before="240"/>
        <w:rPr>
          <w:color w:val="000000" w:themeColor="text1"/>
          <w:lang w:val="es-ES"/>
        </w:rPr>
      </w:pPr>
      <w:r>
        <w:rPr>
          <w:b/>
          <w:bCs/>
          <w:color w:val="000000" w:themeColor="text1"/>
          <w:lang w:val="es-ES"/>
        </w:rPr>
        <w:t>5</w:t>
      </w:r>
      <w:r>
        <w:rPr>
          <w:b/>
          <w:bCs/>
          <w:color w:val="000000" w:themeColor="text1"/>
          <w:lang w:val="es-ES"/>
        </w:rPr>
        <w:tab/>
      </w:r>
      <w:r w:rsidR="00B8270F" w:rsidRPr="00B8693C">
        <w:rPr>
          <w:b/>
          <w:bCs/>
          <w:color w:val="000000" w:themeColor="text1"/>
          <w:lang w:val="es-ES"/>
        </w:rPr>
        <w:t>Presentación de informes y análisis de los datos</w:t>
      </w:r>
      <w:r w:rsidR="00B8270F" w:rsidRPr="00B8693C">
        <w:rPr>
          <w:b/>
          <w:bCs/>
          <w:color w:val="000000" w:themeColor="text1"/>
          <w:lang w:val="es-ES"/>
        </w:rPr>
        <w:tab/>
        <w:t>Estado del SWAP en 2016:</w:t>
      </w:r>
      <w:r w:rsidR="00B8270F" w:rsidRPr="00B8693C">
        <w:rPr>
          <w:color w:val="000000" w:themeColor="text1"/>
          <w:lang w:val="es-ES"/>
        </w:rPr>
        <w:t xml:space="preserve"> satisface los </w:t>
      </w:r>
      <w:r>
        <w:rPr>
          <w:color w:val="000000" w:themeColor="text1"/>
          <w:lang w:val="es-ES"/>
        </w:rPr>
        <w:tab/>
      </w:r>
      <w:r>
        <w:rPr>
          <w:color w:val="000000" w:themeColor="text1"/>
          <w:lang w:val="es-ES"/>
        </w:rPr>
        <w:tab/>
      </w:r>
      <w:r>
        <w:rPr>
          <w:color w:val="000000" w:themeColor="text1"/>
          <w:lang w:val="es-ES"/>
        </w:rPr>
        <w:tab/>
      </w:r>
      <w:r>
        <w:rPr>
          <w:color w:val="000000" w:themeColor="text1"/>
          <w:lang w:val="es-ES"/>
        </w:rPr>
        <w:tab/>
      </w:r>
      <w:r>
        <w:rPr>
          <w:color w:val="000000" w:themeColor="text1"/>
          <w:lang w:val="es-ES"/>
        </w:rPr>
        <w:tab/>
      </w:r>
      <w:r>
        <w:rPr>
          <w:color w:val="000000" w:themeColor="text1"/>
          <w:lang w:val="es-ES"/>
        </w:rPr>
        <w:tab/>
      </w:r>
      <w:r w:rsidR="00B8270F" w:rsidRPr="00B8693C">
        <w:rPr>
          <w:color w:val="000000" w:themeColor="text1"/>
          <w:lang w:val="es-ES"/>
        </w:rPr>
        <w:t>requisitos</w:t>
      </w:r>
    </w:p>
    <w:p w:rsidR="00B8270F" w:rsidRPr="00B8693C" w:rsidRDefault="00B8270F" w:rsidP="00C707ED">
      <w:pPr>
        <w:spacing w:after="120"/>
        <w:rPr>
          <w:lang w:val="es-ES"/>
        </w:rPr>
      </w:pPr>
      <w:r w:rsidRPr="00B8693C">
        <w:rPr>
          <w:lang w:val="es-ES"/>
        </w:rPr>
        <w:t>Para satisfacer los indicadores de rendimiento del ONU-SWAP, la UIT tendría que informar sobre los resultados de la igualdad de género y el empoderamiento de las mujeres en relación con el documento fundamental de planificación estratégica. Todos los datos clave de la institución están desagregados por sexos, salvo que se señale un motivo específico para no desagregarlos por sexos.</w:t>
      </w:r>
    </w:p>
    <w:tbl>
      <w:tblPr>
        <w:tblStyle w:val="TableGrid"/>
        <w:tblW w:w="5000" w:type="pct"/>
        <w:tblLook w:val="04A0" w:firstRow="1" w:lastRow="0" w:firstColumn="1" w:lastColumn="0" w:noHBand="0" w:noVBand="1"/>
      </w:tblPr>
      <w:tblGrid>
        <w:gridCol w:w="6644"/>
        <w:gridCol w:w="1899"/>
        <w:gridCol w:w="1086"/>
      </w:tblGrid>
      <w:tr w:rsidR="00B8270F" w:rsidRPr="00B8693C" w:rsidTr="00AE5CC0">
        <w:tc>
          <w:tcPr>
            <w:tcW w:w="3462" w:type="pct"/>
          </w:tcPr>
          <w:p w:rsidR="00B8270F" w:rsidRPr="00B8693C" w:rsidRDefault="00B8270F" w:rsidP="00AE5CC0">
            <w:pPr>
              <w:keepNext/>
              <w:keepLines/>
              <w:jc w:val="both"/>
              <w:rPr>
                <w:color w:val="000000" w:themeColor="text1"/>
                <w:lang w:val="es-ES"/>
              </w:rPr>
            </w:pPr>
            <w:r w:rsidRPr="00B8693C">
              <w:rPr>
                <w:color w:val="000000" w:themeColor="text1"/>
                <w:u w:val="single"/>
                <w:lang w:val="es-ES"/>
              </w:rPr>
              <w:t>Productos</w:t>
            </w:r>
          </w:p>
        </w:tc>
        <w:tc>
          <w:tcPr>
            <w:tcW w:w="962" w:type="pct"/>
          </w:tcPr>
          <w:p w:rsidR="00B8270F" w:rsidRPr="00B8693C" w:rsidRDefault="00B8270F" w:rsidP="00AE5CC0">
            <w:pPr>
              <w:keepNext/>
              <w:keepLines/>
              <w:jc w:val="both"/>
              <w:rPr>
                <w:color w:val="000000" w:themeColor="text1"/>
                <w:lang w:val="es-ES"/>
              </w:rPr>
            </w:pPr>
            <w:r w:rsidRPr="00B8693C">
              <w:rPr>
                <w:color w:val="000000" w:themeColor="text1"/>
                <w:u w:val="single"/>
                <w:lang w:val="es-ES"/>
              </w:rPr>
              <w:t>Titular/Implicado</w:t>
            </w:r>
          </w:p>
        </w:tc>
        <w:tc>
          <w:tcPr>
            <w:tcW w:w="576" w:type="pct"/>
          </w:tcPr>
          <w:p w:rsidR="00B8270F" w:rsidRPr="00B8693C" w:rsidRDefault="00B8270F" w:rsidP="00AE5CC0">
            <w:pPr>
              <w:keepNext/>
              <w:keepLines/>
              <w:jc w:val="center"/>
              <w:rPr>
                <w:color w:val="000000" w:themeColor="text1"/>
                <w:lang w:val="es-ES"/>
              </w:rPr>
            </w:pPr>
            <w:r w:rsidRPr="00B8693C">
              <w:rPr>
                <w:color w:val="000000" w:themeColor="text1"/>
                <w:u w:val="single"/>
                <w:lang w:val="es-ES"/>
              </w:rPr>
              <w:t>Plazo</w:t>
            </w:r>
          </w:p>
        </w:tc>
      </w:tr>
      <w:tr w:rsidR="00B8270F" w:rsidRPr="00B8693C" w:rsidTr="00AE5CC0">
        <w:tc>
          <w:tcPr>
            <w:tcW w:w="3462" w:type="pct"/>
          </w:tcPr>
          <w:p w:rsidR="00B8270F" w:rsidRPr="00B8693C" w:rsidRDefault="00B8270F" w:rsidP="00C707ED">
            <w:pPr>
              <w:keepNext/>
              <w:keepLines/>
              <w:rPr>
                <w:color w:val="000000" w:themeColor="text1"/>
                <w:lang w:val="es-ES"/>
              </w:rPr>
            </w:pPr>
            <w:r w:rsidRPr="00B8693C">
              <w:rPr>
                <w:rFonts w:eastAsia="Times New Roman" w:cs="Times New Roman"/>
                <w:color w:val="000000" w:themeColor="text1"/>
                <w:lang w:val="es-ES"/>
              </w:rPr>
              <w:t>5.1</w:t>
            </w:r>
            <w:r w:rsidR="00C707ED">
              <w:rPr>
                <w:rFonts w:eastAsia="Times New Roman" w:cs="Times New Roman"/>
                <w:color w:val="000000" w:themeColor="text1"/>
                <w:lang w:val="es-ES"/>
              </w:rPr>
              <w:tab/>
            </w:r>
            <w:r w:rsidRPr="00B8693C">
              <w:rPr>
                <w:rFonts w:eastAsia="Times New Roman" w:cs="Times New Roman"/>
                <w:color w:val="000000" w:themeColor="text1"/>
                <w:lang w:val="es-ES"/>
              </w:rPr>
              <w:t>Examinar las carencias de datos de referencia</w:t>
            </w:r>
          </w:p>
        </w:tc>
        <w:tc>
          <w:tcPr>
            <w:tcW w:w="962" w:type="pct"/>
          </w:tcPr>
          <w:p w:rsidR="00B8270F" w:rsidRPr="00B8693C" w:rsidRDefault="00B8270F" w:rsidP="00AE5CC0">
            <w:pPr>
              <w:keepNext/>
              <w:keepLines/>
              <w:jc w:val="center"/>
              <w:rPr>
                <w:color w:val="000000" w:themeColor="text1"/>
                <w:lang w:val="es-ES"/>
              </w:rPr>
            </w:pPr>
            <w:r w:rsidRPr="00B8693C">
              <w:rPr>
                <w:rFonts w:eastAsia="Times New Roman" w:cs="Times New Roman"/>
                <w:color w:val="000000" w:themeColor="text1"/>
                <w:lang w:val="es-ES"/>
              </w:rPr>
              <w:t>GTF/BDT</w:t>
            </w:r>
          </w:p>
        </w:tc>
        <w:tc>
          <w:tcPr>
            <w:tcW w:w="576" w:type="pct"/>
          </w:tcPr>
          <w:p w:rsidR="00B8270F" w:rsidRPr="00B8693C" w:rsidRDefault="00B8270F" w:rsidP="00AE5CC0">
            <w:pPr>
              <w:keepNext/>
              <w:keepLines/>
              <w:jc w:val="center"/>
              <w:rPr>
                <w:color w:val="000000" w:themeColor="text1"/>
                <w:lang w:val="es-ES"/>
              </w:rPr>
            </w:pPr>
            <w:proofErr w:type="spellStart"/>
            <w:r w:rsidRPr="00B8693C">
              <w:rPr>
                <w:rFonts w:eastAsia="Times New Roman" w:cs="Times New Roman"/>
                <w:color w:val="000000" w:themeColor="text1"/>
                <w:lang w:val="es-ES"/>
              </w:rPr>
              <w:t>May</w:t>
            </w:r>
            <w:proofErr w:type="spellEnd"/>
            <w:r w:rsidRPr="00B8693C">
              <w:rPr>
                <w:rFonts w:eastAsia="Times New Roman" w:cs="Times New Roman"/>
                <w:color w:val="000000" w:themeColor="text1"/>
                <w:lang w:val="es-ES"/>
              </w:rPr>
              <w:t>-Jul</w:t>
            </w:r>
          </w:p>
        </w:tc>
      </w:tr>
    </w:tbl>
    <w:p w:rsidR="00B8270F" w:rsidRPr="00B8693C" w:rsidRDefault="00C707ED" w:rsidP="00B8693C">
      <w:pPr>
        <w:keepNext/>
        <w:keepLines/>
        <w:pBdr>
          <w:bottom w:val="single" w:sz="4" w:space="1" w:color="auto"/>
        </w:pBdr>
        <w:tabs>
          <w:tab w:val="right" w:pos="9639"/>
        </w:tabs>
        <w:spacing w:before="240"/>
        <w:rPr>
          <w:color w:val="000000" w:themeColor="text1"/>
          <w:lang w:val="es-ES"/>
        </w:rPr>
      </w:pPr>
      <w:r>
        <w:rPr>
          <w:b/>
          <w:bCs/>
          <w:color w:val="000000" w:themeColor="text1"/>
          <w:lang w:val="es-ES"/>
        </w:rPr>
        <w:t>6</w:t>
      </w:r>
      <w:r>
        <w:rPr>
          <w:b/>
          <w:bCs/>
          <w:color w:val="000000" w:themeColor="text1"/>
          <w:lang w:val="es-ES"/>
        </w:rPr>
        <w:tab/>
      </w:r>
      <w:r w:rsidR="00B8270F" w:rsidRPr="00B8693C">
        <w:rPr>
          <w:b/>
          <w:bCs/>
          <w:color w:val="000000" w:themeColor="text1"/>
          <w:lang w:val="es-ES"/>
        </w:rPr>
        <w:t>Evaluación</w:t>
      </w:r>
      <w:r w:rsidR="00B8270F" w:rsidRPr="00B8693C">
        <w:rPr>
          <w:b/>
          <w:bCs/>
          <w:color w:val="000000" w:themeColor="text1"/>
          <w:lang w:val="es-ES"/>
        </w:rPr>
        <w:tab/>
      </w:r>
      <w:r>
        <w:rPr>
          <w:b/>
          <w:bCs/>
          <w:color w:val="000000" w:themeColor="text1"/>
          <w:lang w:val="es-ES"/>
        </w:rPr>
        <w:tab/>
      </w:r>
      <w:r>
        <w:rPr>
          <w:b/>
          <w:bCs/>
          <w:color w:val="000000" w:themeColor="text1"/>
          <w:lang w:val="es-ES"/>
        </w:rPr>
        <w:tab/>
      </w:r>
      <w:r>
        <w:rPr>
          <w:b/>
          <w:bCs/>
          <w:color w:val="000000" w:themeColor="text1"/>
          <w:lang w:val="es-ES"/>
        </w:rPr>
        <w:tab/>
      </w:r>
      <w:r w:rsidR="00B8270F" w:rsidRPr="00B8693C">
        <w:rPr>
          <w:b/>
          <w:bCs/>
          <w:color w:val="000000" w:themeColor="text1"/>
          <w:lang w:val="es-ES"/>
        </w:rPr>
        <w:t xml:space="preserve">Estado del SWAP en 2016: </w:t>
      </w:r>
      <w:r w:rsidR="00B8270F" w:rsidRPr="00B8693C">
        <w:rPr>
          <w:color w:val="000000" w:themeColor="text1"/>
          <w:lang w:val="es-ES"/>
        </w:rPr>
        <w:t>N/A</w:t>
      </w:r>
    </w:p>
    <w:p w:rsidR="00B8270F" w:rsidRPr="00B8693C" w:rsidRDefault="00B8270F" w:rsidP="00C707ED">
      <w:pPr>
        <w:spacing w:after="120"/>
        <w:rPr>
          <w:lang w:val="es-ES"/>
        </w:rPr>
      </w:pPr>
      <w:r w:rsidRPr="00B8693C">
        <w:rPr>
          <w:lang w:val="es-ES"/>
        </w:rPr>
        <w:t>Para satisfacer los indicadores de rendimiento del ONU-SWAP, la UIT tendría que cumplir las normas y los estándares del Grupo de Evaluación de las Naciones Unidas (UNEG) relacionados con las cuestiones de género.</w:t>
      </w:r>
      <w:r w:rsidR="00B8693C" w:rsidRPr="00B8693C">
        <w:rPr>
          <w:lang w:val="es-ES"/>
        </w:rPr>
        <w:t xml:space="preserve"> </w:t>
      </w:r>
      <w:r w:rsidRPr="00B8693C">
        <w:rPr>
          <w:lang w:val="es-ES"/>
        </w:rPr>
        <w:t>Con referencia a la propuesta de colocar una función de evaluación institucional fundamental en el seno de la Unidad de Auditoría Interna, formulada por el Grupo de Coordinación de la Gestión de la UIT, se llevó a cabo un estudio durante el cuarto trimestre de 2016 y el primer trimestre de 2017 para: (1) elaborar una Política de Evaluación y un plan de trabajo; (2) evaluar las necesidad de capacidad; y (3) proponer etapas adicionales para el establecimiento de la función de evaluación, inspirados en las prácticas óptimas de funciones de evaluación de otras organizaciones de las Naciones Unidas y en las normas y estándares del Grupo de Evaluación de las Naciones Unidas (UNEG).</w:t>
      </w:r>
    </w:p>
    <w:tbl>
      <w:tblPr>
        <w:tblStyle w:val="TableGrid"/>
        <w:tblW w:w="5000" w:type="pct"/>
        <w:tblLook w:val="04A0" w:firstRow="1" w:lastRow="0" w:firstColumn="1" w:lastColumn="0" w:noHBand="0" w:noVBand="1"/>
      </w:tblPr>
      <w:tblGrid>
        <w:gridCol w:w="6514"/>
        <w:gridCol w:w="1899"/>
        <w:gridCol w:w="1216"/>
      </w:tblGrid>
      <w:tr w:rsidR="00B8270F" w:rsidRPr="00B8693C" w:rsidTr="00AE5CC0">
        <w:tc>
          <w:tcPr>
            <w:tcW w:w="3462" w:type="pct"/>
          </w:tcPr>
          <w:p w:rsidR="00B8270F" w:rsidRPr="00B8693C" w:rsidRDefault="00B8270F" w:rsidP="00AE5CC0">
            <w:pPr>
              <w:keepNext/>
              <w:keepLines/>
              <w:jc w:val="both"/>
              <w:rPr>
                <w:color w:val="000000" w:themeColor="text1"/>
                <w:lang w:val="es-ES"/>
              </w:rPr>
            </w:pPr>
            <w:r w:rsidRPr="00B8693C">
              <w:rPr>
                <w:color w:val="000000" w:themeColor="text1"/>
                <w:u w:val="single"/>
                <w:lang w:val="es-ES"/>
              </w:rPr>
              <w:lastRenderedPageBreak/>
              <w:t>Productos</w:t>
            </w:r>
          </w:p>
        </w:tc>
        <w:tc>
          <w:tcPr>
            <w:tcW w:w="962" w:type="pct"/>
          </w:tcPr>
          <w:p w:rsidR="00B8270F" w:rsidRPr="00B8693C" w:rsidRDefault="00B8270F" w:rsidP="00AE5CC0">
            <w:pPr>
              <w:keepNext/>
              <w:keepLines/>
              <w:jc w:val="both"/>
              <w:rPr>
                <w:color w:val="000000" w:themeColor="text1"/>
                <w:lang w:val="es-ES"/>
              </w:rPr>
            </w:pPr>
            <w:r w:rsidRPr="00B8693C">
              <w:rPr>
                <w:color w:val="000000" w:themeColor="text1"/>
                <w:u w:val="single"/>
                <w:lang w:val="es-ES"/>
              </w:rPr>
              <w:t>Titular/Implicado</w:t>
            </w:r>
          </w:p>
        </w:tc>
        <w:tc>
          <w:tcPr>
            <w:tcW w:w="576" w:type="pct"/>
          </w:tcPr>
          <w:p w:rsidR="00B8270F" w:rsidRPr="00B8693C" w:rsidRDefault="00B8270F" w:rsidP="00AE5CC0">
            <w:pPr>
              <w:keepNext/>
              <w:keepLines/>
              <w:jc w:val="center"/>
              <w:rPr>
                <w:color w:val="000000" w:themeColor="text1"/>
                <w:lang w:val="es-ES"/>
              </w:rPr>
            </w:pPr>
            <w:r w:rsidRPr="00B8693C">
              <w:rPr>
                <w:color w:val="000000" w:themeColor="text1"/>
                <w:u w:val="single"/>
                <w:lang w:val="es-ES"/>
              </w:rPr>
              <w:t>Plazo</w:t>
            </w:r>
          </w:p>
        </w:tc>
      </w:tr>
      <w:tr w:rsidR="00B8270F" w:rsidRPr="00B8693C" w:rsidTr="00AE5CC0">
        <w:tc>
          <w:tcPr>
            <w:tcW w:w="3462" w:type="pct"/>
          </w:tcPr>
          <w:p w:rsidR="00B8270F" w:rsidRPr="00B8693C" w:rsidRDefault="00B8270F" w:rsidP="00C707ED">
            <w:pPr>
              <w:keepNext/>
              <w:keepLines/>
              <w:ind w:left="567" w:hanging="567"/>
              <w:rPr>
                <w:color w:val="000000" w:themeColor="text1"/>
                <w:lang w:val="es-ES"/>
              </w:rPr>
            </w:pPr>
            <w:r w:rsidRPr="00B8693C">
              <w:rPr>
                <w:rFonts w:eastAsia="Times New Roman" w:cs="Times New Roman"/>
                <w:color w:val="000000" w:themeColor="text1"/>
                <w:lang w:val="es-ES"/>
              </w:rPr>
              <w:t>6.1</w:t>
            </w:r>
            <w:r w:rsidR="00C707ED">
              <w:rPr>
                <w:rFonts w:eastAsia="Times New Roman" w:cs="Times New Roman"/>
                <w:color w:val="000000" w:themeColor="text1"/>
                <w:lang w:val="es-ES"/>
              </w:rPr>
              <w:tab/>
            </w:r>
            <w:r w:rsidRPr="00B8693C">
              <w:rPr>
                <w:rFonts w:eastAsia="Times New Roman" w:cs="Times New Roman"/>
                <w:color w:val="000000" w:themeColor="text1"/>
                <w:lang w:val="es-ES"/>
              </w:rPr>
              <w:t>Considerar las normas y estándares del UNEG relacionadas con las cuestiones de género</w:t>
            </w:r>
          </w:p>
        </w:tc>
        <w:tc>
          <w:tcPr>
            <w:tcW w:w="962" w:type="pct"/>
          </w:tcPr>
          <w:p w:rsidR="00B8270F" w:rsidRPr="00B8693C" w:rsidRDefault="00B8270F" w:rsidP="00AE5CC0">
            <w:pPr>
              <w:keepNext/>
              <w:keepLines/>
              <w:jc w:val="center"/>
              <w:rPr>
                <w:color w:val="000000" w:themeColor="text1"/>
                <w:lang w:val="es-ES"/>
              </w:rPr>
            </w:pPr>
            <w:r w:rsidRPr="00B8693C">
              <w:rPr>
                <w:rFonts w:eastAsia="Times New Roman" w:cs="Times New Roman"/>
                <w:color w:val="000000" w:themeColor="text1"/>
                <w:lang w:val="es-ES"/>
              </w:rPr>
              <w:t>IA/Oficinas</w:t>
            </w:r>
          </w:p>
        </w:tc>
        <w:tc>
          <w:tcPr>
            <w:tcW w:w="576" w:type="pct"/>
          </w:tcPr>
          <w:p w:rsidR="00B8270F" w:rsidRPr="00B8693C" w:rsidRDefault="00B8270F" w:rsidP="00AE5CC0">
            <w:pPr>
              <w:keepNext/>
              <w:keepLines/>
              <w:jc w:val="center"/>
              <w:rPr>
                <w:color w:val="000000" w:themeColor="text1"/>
                <w:lang w:val="es-ES"/>
              </w:rPr>
            </w:pPr>
            <w:r w:rsidRPr="00B8693C">
              <w:rPr>
                <w:rFonts w:eastAsia="Times New Roman" w:cs="Times New Roman"/>
                <w:color w:val="000000" w:themeColor="text1"/>
                <w:lang w:val="es-ES"/>
              </w:rPr>
              <w:t>Diciembre</w:t>
            </w:r>
          </w:p>
        </w:tc>
      </w:tr>
    </w:tbl>
    <w:p w:rsidR="00B8270F" w:rsidRPr="00B8693C" w:rsidRDefault="00C707ED" w:rsidP="00B8693C">
      <w:pPr>
        <w:keepNext/>
        <w:keepLines/>
        <w:pBdr>
          <w:bottom w:val="single" w:sz="4" w:space="1" w:color="auto"/>
        </w:pBdr>
        <w:tabs>
          <w:tab w:val="right" w:pos="9639"/>
        </w:tabs>
        <w:spacing w:before="240"/>
        <w:rPr>
          <w:color w:val="000000" w:themeColor="text1"/>
          <w:lang w:val="es-ES"/>
        </w:rPr>
      </w:pPr>
      <w:r>
        <w:rPr>
          <w:b/>
          <w:bCs/>
          <w:color w:val="000000" w:themeColor="text1"/>
          <w:lang w:val="es-ES"/>
        </w:rPr>
        <w:t>7</w:t>
      </w:r>
      <w:r>
        <w:rPr>
          <w:b/>
          <w:bCs/>
          <w:color w:val="000000" w:themeColor="text1"/>
          <w:lang w:val="es-ES"/>
        </w:rPr>
        <w:tab/>
      </w:r>
      <w:r w:rsidR="00B8270F" w:rsidRPr="00B8693C">
        <w:rPr>
          <w:b/>
          <w:bCs/>
          <w:color w:val="000000" w:themeColor="text1"/>
          <w:lang w:val="es-ES"/>
        </w:rPr>
        <w:t>Auditoría con perspectiva de género</w:t>
      </w:r>
      <w:r w:rsidR="00B8270F" w:rsidRPr="00B8693C">
        <w:rPr>
          <w:b/>
          <w:bCs/>
          <w:color w:val="000000" w:themeColor="text1"/>
          <w:lang w:val="es-ES"/>
        </w:rPr>
        <w:tab/>
        <w:t xml:space="preserve">Estado del SWAP en 2016: </w:t>
      </w:r>
      <w:r w:rsidR="00B8270F" w:rsidRPr="00B8693C">
        <w:rPr>
          <w:color w:val="000000" w:themeColor="text1"/>
          <w:lang w:val="es-ES"/>
        </w:rPr>
        <w:t>falta</w:t>
      </w:r>
    </w:p>
    <w:p w:rsidR="00B8270F" w:rsidRPr="00B8693C" w:rsidRDefault="00B8270F" w:rsidP="00C707ED">
      <w:pPr>
        <w:spacing w:after="120"/>
        <w:rPr>
          <w:lang w:val="es-ES"/>
        </w:rPr>
      </w:pPr>
      <w:r w:rsidRPr="00B8693C">
        <w:rPr>
          <w:lang w:val="es-ES"/>
        </w:rPr>
        <w:t>Para satisfacer los indicadores de rendimiento del ONU-SWAP, la Unidad de Auditoría Interna de la UIT tendría que consultar con el coordinador, persona o departamento, en cuestiones de género sobre los riesgos relacionados con la igualdad de género y el empoderamiento de las mujeres, como parte del ciclo anual de planificación de la auditoría basada en los riesgos. Esto requiere que la Unidad de Auditoría Interna considere todos los riesgos significativos de la entidad para asignar prioridades en su plan de trabajo de auditoría anual o plurianual. La documentación de la planificación del trabajo debe poder demostrar hasta qué punto se están gestionando los riesgos relativos al logro de la igualdad de género y el empoderamiento de las mujeres. Este ejercicio debería documentar la necesidad de incluir en el plan anual de auditoría una específica sobre la cuestión de género o aceptar la conclusión de que los riesgos se están gestionando adecuadamente y no hacen falta pruebas de auditoría adicionales.</w:t>
      </w:r>
    </w:p>
    <w:tbl>
      <w:tblPr>
        <w:tblStyle w:val="TableGrid"/>
        <w:tblW w:w="5000" w:type="pct"/>
        <w:tblLook w:val="04A0" w:firstRow="1" w:lastRow="0" w:firstColumn="1" w:lastColumn="0" w:noHBand="0" w:noVBand="1"/>
      </w:tblPr>
      <w:tblGrid>
        <w:gridCol w:w="6644"/>
        <w:gridCol w:w="1899"/>
        <w:gridCol w:w="1086"/>
      </w:tblGrid>
      <w:tr w:rsidR="00B8270F" w:rsidRPr="00B8693C" w:rsidTr="00AE5CC0">
        <w:tc>
          <w:tcPr>
            <w:tcW w:w="3462" w:type="pct"/>
          </w:tcPr>
          <w:p w:rsidR="00B8270F" w:rsidRPr="00B8693C" w:rsidRDefault="00B8270F" w:rsidP="00AE5CC0">
            <w:pPr>
              <w:keepNext/>
              <w:keepLines/>
              <w:jc w:val="both"/>
              <w:rPr>
                <w:color w:val="000000" w:themeColor="text1"/>
                <w:lang w:val="es-ES"/>
              </w:rPr>
            </w:pPr>
            <w:r w:rsidRPr="00B8693C">
              <w:rPr>
                <w:color w:val="000000" w:themeColor="text1"/>
                <w:u w:val="single"/>
                <w:lang w:val="es-ES"/>
              </w:rPr>
              <w:t>Productos</w:t>
            </w:r>
          </w:p>
        </w:tc>
        <w:tc>
          <w:tcPr>
            <w:tcW w:w="962" w:type="pct"/>
          </w:tcPr>
          <w:p w:rsidR="00B8270F" w:rsidRPr="00B8693C" w:rsidRDefault="00B8270F" w:rsidP="00AE5CC0">
            <w:pPr>
              <w:keepNext/>
              <w:keepLines/>
              <w:jc w:val="both"/>
              <w:rPr>
                <w:color w:val="000000" w:themeColor="text1"/>
                <w:lang w:val="es-ES"/>
              </w:rPr>
            </w:pPr>
            <w:r w:rsidRPr="00B8693C">
              <w:rPr>
                <w:color w:val="000000" w:themeColor="text1"/>
                <w:u w:val="single"/>
                <w:lang w:val="es-ES"/>
              </w:rPr>
              <w:t>Titular/Implicado</w:t>
            </w:r>
          </w:p>
        </w:tc>
        <w:tc>
          <w:tcPr>
            <w:tcW w:w="576" w:type="pct"/>
          </w:tcPr>
          <w:p w:rsidR="00B8270F" w:rsidRPr="00B8693C" w:rsidRDefault="00B8270F" w:rsidP="00AE5CC0">
            <w:pPr>
              <w:keepNext/>
              <w:keepLines/>
              <w:jc w:val="center"/>
              <w:rPr>
                <w:color w:val="000000" w:themeColor="text1"/>
                <w:lang w:val="es-ES"/>
              </w:rPr>
            </w:pPr>
            <w:r w:rsidRPr="00B8693C">
              <w:rPr>
                <w:color w:val="000000" w:themeColor="text1"/>
                <w:u w:val="single"/>
                <w:lang w:val="es-ES"/>
              </w:rPr>
              <w:t>Plazo</w:t>
            </w:r>
          </w:p>
        </w:tc>
      </w:tr>
      <w:tr w:rsidR="00B8270F" w:rsidRPr="00B8693C" w:rsidTr="00AE5CC0">
        <w:tc>
          <w:tcPr>
            <w:tcW w:w="3462" w:type="pct"/>
          </w:tcPr>
          <w:p w:rsidR="00B8270F" w:rsidRPr="00B8693C" w:rsidRDefault="00B8270F" w:rsidP="00C707ED">
            <w:pPr>
              <w:keepNext/>
              <w:keepLines/>
              <w:rPr>
                <w:color w:val="000000" w:themeColor="text1"/>
                <w:lang w:val="es-ES"/>
              </w:rPr>
            </w:pPr>
            <w:r w:rsidRPr="00B8693C">
              <w:rPr>
                <w:rFonts w:eastAsia="Times New Roman" w:cs="Times New Roman"/>
                <w:color w:val="000000" w:themeColor="text1"/>
                <w:lang w:val="es-ES"/>
              </w:rPr>
              <w:t>7.1</w:t>
            </w:r>
            <w:r w:rsidR="00C707ED">
              <w:rPr>
                <w:rFonts w:eastAsia="Times New Roman" w:cs="Times New Roman"/>
                <w:color w:val="000000" w:themeColor="text1"/>
                <w:lang w:val="es-ES"/>
              </w:rPr>
              <w:tab/>
            </w:r>
            <w:r w:rsidRPr="00B8693C">
              <w:rPr>
                <w:rFonts w:eastAsia="Times New Roman" w:cs="Times New Roman"/>
                <w:color w:val="000000" w:themeColor="text1"/>
                <w:lang w:val="es-ES"/>
              </w:rPr>
              <w:t>Auditoría de igualdad e integración de género en la UIT</w:t>
            </w:r>
          </w:p>
        </w:tc>
        <w:tc>
          <w:tcPr>
            <w:tcW w:w="962" w:type="pct"/>
          </w:tcPr>
          <w:p w:rsidR="00B8270F" w:rsidRPr="00B8693C" w:rsidRDefault="00B8270F" w:rsidP="00AE5CC0">
            <w:pPr>
              <w:keepNext/>
              <w:keepLines/>
              <w:jc w:val="center"/>
              <w:rPr>
                <w:color w:val="000000" w:themeColor="text1"/>
                <w:lang w:val="es-ES"/>
              </w:rPr>
            </w:pPr>
            <w:r w:rsidRPr="00B8693C">
              <w:rPr>
                <w:rFonts w:eastAsia="Times New Roman" w:cs="Times New Roman"/>
                <w:color w:val="000000" w:themeColor="text1"/>
                <w:lang w:val="es-ES"/>
              </w:rPr>
              <w:t>IA</w:t>
            </w:r>
          </w:p>
        </w:tc>
        <w:tc>
          <w:tcPr>
            <w:tcW w:w="576" w:type="pct"/>
          </w:tcPr>
          <w:p w:rsidR="00B8270F" w:rsidRPr="00B8693C" w:rsidRDefault="00B8270F" w:rsidP="00AE5CC0">
            <w:pPr>
              <w:keepNext/>
              <w:keepLines/>
              <w:jc w:val="center"/>
              <w:rPr>
                <w:color w:val="000000" w:themeColor="text1"/>
                <w:lang w:val="es-ES"/>
              </w:rPr>
            </w:pPr>
            <w:r w:rsidRPr="00B8693C">
              <w:rPr>
                <w:rFonts w:eastAsia="Times New Roman" w:cs="Times New Roman"/>
                <w:color w:val="000000" w:themeColor="text1"/>
                <w:lang w:val="es-ES"/>
              </w:rPr>
              <w:t>Ene-Mar</w:t>
            </w:r>
          </w:p>
        </w:tc>
      </w:tr>
    </w:tbl>
    <w:p w:rsidR="00B8270F" w:rsidRPr="00B8693C" w:rsidRDefault="00C707ED" w:rsidP="00B8693C">
      <w:pPr>
        <w:keepNext/>
        <w:keepLines/>
        <w:pBdr>
          <w:bottom w:val="single" w:sz="4" w:space="1" w:color="auto"/>
        </w:pBdr>
        <w:tabs>
          <w:tab w:val="right" w:pos="9639"/>
        </w:tabs>
        <w:spacing w:before="240"/>
        <w:rPr>
          <w:color w:val="000000" w:themeColor="text1"/>
          <w:lang w:val="es-ES"/>
        </w:rPr>
      </w:pPr>
      <w:r>
        <w:rPr>
          <w:b/>
          <w:bCs/>
          <w:color w:val="000000" w:themeColor="text1"/>
          <w:lang w:val="es-ES"/>
        </w:rPr>
        <w:t>8</w:t>
      </w:r>
      <w:r>
        <w:rPr>
          <w:b/>
          <w:bCs/>
          <w:color w:val="000000" w:themeColor="text1"/>
          <w:lang w:val="es-ES"/>
        </w:rPr>
        <w:tab/>
      </w:r>
      <w:r w:rsidR="00B8270F" w:rsidRPr="00B8693C">
        <w:rPr>
          <w:b/>
          <w:bCs/>
          <w:color w:val="000000" w:themeColor="text1"/>
          <w:lang w:val="es-ES"/>
        </w:rPr>
        <w:t>Revisión del programa</w:t>
      </w:r>
      <w:r w:rsidR="00B8270F" w:rsidRPr="00B8693C">
        <w:rPr>
          <w:b/>
          <w:bCs/>
          <w:color w:val="000000" w:themeColor="text1"/>
          <w:lang w:val="es-ES"/>
        </w:rPr>
        <w:tab/>
      </w:r>
      <w:r>
        <w:rPr>
          <w:b/>
          <w:bCs/>
          <w:color w:val="000000" w:themeColor="text1"/>
          <w:lang w:val="es-ES"/>
        </w:rPr>
        <w:tab/>
      </w:r>
      <w:r w:rsidR="00B8270F" w:rsidRPr="00B8693C">
        <w:rPr>
          <w:b/>
          <w:bCs/>
          <w:color w:val="000000" w:themeColor="text1"/>
          <w:lang w:val="es-ES"/>
        </w:rPr>
        <w:t xml:space="preserve">Estado del SWAP en 2016: </w:t>
      </w:r>
      <w:r w:rsidR="00B8270F" w:rsidRPr="00B8693C">
        <w:rPr>
          <w:color w:val="000000" w:themeColor="text1"/>
          <w:lang w:val="es-ES"/>
        </w:rPr>
        <w:t>casi cumple los requisitos</w:t>
      </w:r>
    </w:p>
    <w:p w:rsidR="00B8270F" w:rsidRPr="00B8693C" w:rsidRDefault="00B8270F" w:rsidP="00C707ED">
      <w:pPr>
        <w:spacing w:after="120"/>
        <w:rPr>
          <w:lang w:val="es-ES"/>
        </w:rPr>
      </w:pPr>
      <w:r w:rsidRPr="00B8693C">
        <w:rPr>
          <w:lang w:val="es-ES"/>
        </w:rPr>
        <w:t xml:space="preserve">Para satisfacer los indicadores de rendimiento del ONU-SWAP, los sistemas de control de calidad del programa tendrían que integrar plenamente el análisis de las cuestiones de género. Los documentos del programa de la UIT tendrían que incluir: (1) el análisis de las cuestiones de género en los antecedentes y la justificación de un documento del programa; (2) declaraciones explícitas de la forma en que se fomenta la igualdad de género y el empoderamiento de las mujeres; no basta con incluir frases tales como </w:t>
      </w:r>
      <w:r w:rsidR="00B8693C" w:rsidRPr="00B8693C">
        <w:rPr>
          <w:lang w:val="es-ES"/>
        </w:rPr>
        <w:t>"</w:t>
      </w:r>
      <w:r w:rsidRPr="00B8693C">
        <w:rPr>
          <w:lang w:val="es-ES"/>
        </w:rPr>
        <w:t>en apoyo de la mujer</w:t>
      </w:r>
      <w:r w:rsidR="00B8693C" w:rsidRPr="00B8693C">
        <w:rPr>
          <w:lang w:val="es-ES"/>
        </w:rPr>
        <w:t>"</w:t>
      </w:r>
      <w:r w:rsidRPr="00B8693C">
        <w:rPr>
          <w:lang w:val="es-ES"/>
        </w:rPr>
        <w:t xml:space="preserve"> o </w:t>
      </w:r>
      <w:r w:rsidR="00B8693C" w:rsidRPr="00B8693C">
        <w:rPr>
          <w:lang w:val="es-ES"/>
        </w:rPr>
        <w:t>"</w:t>
      </w:r>
      <w:r w:rsidRPr="00B8693C">
        <w:rPr>
          <w:lang w:val="es-ES"/>
        </w:rPr>
        <w:t>prestando una atención especial a los grupos vulnerables tales como las mujeres</w:t>
      </w:r>
      <w:r w:rsidR="00B8693C" w:rsidRPr="00B8693C">
        <w:rPr>
          <w:lang w:val="es-ES"/>
        </w:rPr>
        <w:t>"</w:t>
      </w:r>
      <w:r w:rsidRPr="00B8693C">
        <w:rPr>
          <w:lang w:val="es-ES"/>
        </w:rPr>
        <w:t>; (3) declaración explícita de cómo se extienden los beneficios a ambos sexos; (4) funciones específicas de los hombres y las mujeres que implementen el programa, (5) los planes de supervisión y evaluación deben valorar cómo se han cumplido los objetivos en materia de género; (6) todos los datos poblacionales clave deben estar desagregados por sexos, salvo que se justifique adecuadamente el que no estén desagregados por sexos.</w:t>
      </w:r>
    </w:p>
    <w:tbl>
      <w:tblPr>
        <w:tblStyle w:val="TableGrid"/>
        <w:tblW w:w="5000" w:type="pct"/>
        <w:tblLook w:val="04A0" w:firstRow="1" w:lastRow="0" w:firstColumn="1" w:lastColumn="0" w:noHBand="0" w:noVBand="1"/>
      </w:tblPr>
      <w:tblGrid>
        <w:gridCol w:w="6644"/>
        <w:gridCol w:w="1899"/>
        <w:gridCol w:w="1086"/>
      </w:tblGrid>
      <w:tr w:rsidR="00B8270F" w:rsidRPr="00B8693C" w:rsidTr="00AE5CC0">
        <w:tc>
          <w:tcPr>
            <w:tcW w:w="3462" w:type="pct"/>
          </w:tcPr>
          <w:p w:rsidR="00B8270F" w:rsidRPr="00B8693C" w:rsidRDefault="00B8270F" w:rsidP="00AE5CC0">
            <w:pPr>
              <w:keepNext/>
              <w:keepLines/>
              <w:jc w:val="both"/>
              <w:rPr>
                <w:color w:val="000000" w:themeColor="text1"/>
                <w:lang w:val="es-ES"/>
              </w:rPr>
            </w:pPr>
            <w:r w:rsidRPr="00B8693C">
              <w:rPr>
                <w:color w:val="000000" w:themeColor="text1"/>
                <w:u w:val="single"/>
                <w:lang w:val="es-ES"/>
              </w:rPr>
              <w:t>Productos</w:t>
            </w:r>
          </w:p>
        </w:tc>
        <w:tc>
          <w:tcPr>
            <w:tcW w:w="962" w:type="pct"/>
          </w:tcPr>
          <w:p w:rsidR="00B8270F" w:rsidRPr="00B8693C" w:rsidRDefault="00B8270F" w:rsidP="00AE5CC0">
            <w:pPr>
              <w:keepNext/>
              <w:keepLines/>
              <w:jc w:val="both"/>
              <w:rPr>
                <w:color w:val="000000" w:themeColor="text1"/>
                <w:lang w:val="es-ES"/>
              </w:rPr>
            </w:pPr>
            <w:r w:rsidRPr="00B8693C">
              <w:rPr>
                <w:color w:val="000000" w:themeColor="text1"/>
                <w:u w:val="single"/>
                <w:lang w:val="es-ES"/>
              </w:rPr>
              <w:t>Titular/Implicado</w:t>
            </w:r>
          </w:p>
        </w:tc>
        <w:tc>
          <w:tcPr>
            <w:tcW w:w="576" w:type="pct"/>
          </w:tcPr>
          <w:p w:rsidR="00B8270F" w:rsidRPr="00B8693C" w:rsidRDefault="00B8270F" w:rsidP="00AE5CC0">
            <w:pPr>
              <w:keepNext/>
              <w:keepLines/>
              <w:jc w:val="center"/>
              <w:rPr>
                <w:color w:val="000000" w:themeColor="text1"/>
                <w:lang w:val="es-ES"/>
              </w:rPr>
            </w:pPr>
            <w:r w:rsidRPr="00B8693C">
              <w:rPr>
                <w:color w:val="000000" w:themeColor="text1"/>
                <w:u w:val="single"/>
                <w:lang w:val="es-ES"/>
              </w:rPr>
              <w:t>Plazo</w:t>
            </w:r>
          </w:p>
        </w:tc>
      </w:tr>
      <w:tr w:rsidR="00B8270F" w:rsidRPr="00B8693C" w:rsidTr="00AE5CC0">
        <w:tc>
          <w:tcPr>
            <w:tcW w:w="3462" w:type="pct"/>
          </w:tcPr>
          <w:p w:rsidR="00B8270F" w:rsidRPr="00B8693C" w:rsidRDefault="00B8270F" w:rsidP="00C707ED">
            <w:pPr>
              <w:keepNext/>
              <w:keepLines/>
              <w:ind w:left="567" w:hanging="567"/>
              <w:rPr>
                <w:color w:val="000000" w:themeColor="text1"/>
                <w:lang w:val="es-ES"/>
              </w:rPr>
            </w:pPr>
            <w:r w:rsidRPr="00B8693C">
              <w:rPr>
                <w:rFonts w:eastAsia="Times New Roman" w:cs="Times New Roman"/>
                <w:color w:val="000000" w:themeColor="text1"/>
                <w:lang w:val="es-ES"/>
              </w:rPr>
              <w:t>8.1</w:t>
            </w:r>
            <w:r w:rsidR="00C707ED">
              <w:rPr>
                <w:rFonts w:eastAsia="Times New Roman" w:cs="Times New Roman"/>
                <w:color w:val="000000" w:themeColor="text1"/>
                <w:lang w:val="es-ES"/>
              </w:rPr>
              <w:tab/>
            </w:r>
            <w:r w:rsidRPr="00B8693C">
              <w:rPr>
                <w:rFonts w:eastAsia="Times New Roman" w:cs="Times New Roman"/>
                <w:color w:val="000000" w:themeColor="text1"/>
                <w:lang w:val="es-ES"/>
              </w:rPr>
              <w:t>Lista de comprobación de los programas o proyectos de cooperación técnica</w:t>
            </w:r>
          </w:p>
        </w:tc>
        <w:tc>
          <w:tcPr>
            <w:tcW w:w="962" w:type="pct"/>
          </w:tcPr>
          <w:p w:rsidR="00B8270F" w:rsidRPr="00B8693C" w:rsidRDefault="00B8270F" w:rsidP="00AE5CC0">
            <w:pPr>
              <w:keepNext/>
              <w:keepLines/>
              <w:jc w:val="center"/>
              <w:rPr>
                <w:color w:val="000000" w:themeColor="text1"/>
                <w:lang w:val="es-ES"/>
              </w:rPr>
            </w:pPr>
            <w:r w:rsidRPr="00B8693C">
              <w:rPr>
                <w:rFonts w:eastAsia="Times New Roman" w:cs="Times New Roman"/>
                <w:color w:val="000000" w:themeColor="text1"/>
                <w:lang w:val="es-ES"/>
              </w:rPr>
              <w:t>Oficinas</w:t>
            </w:r>
          </w:p>
        </w:tc>
        <w:tc>
          <w:tcPr>
            <w:tcW w:w="576" w:type="pct"/>
          </w:tcPr>
          <w:p w:rsidR="00B8270F" w:rsidRPr="00B8693C" w:rsidRDefault="00B8270F" w:rsidP="00AE5CC0">
            <w:pPr>
              <w:keepNext/>
              <w:keepLines/>
              <w:jc w:val="center"/>
              <w:rPr>
                <w:color w:val="000000" w:themeColor="text1"/>
                <w:lang w:val="es-ES"/>
              </w:rPr>
            </w:pPr>
            <w:r w:rsidRPr="00B8693C">
              <w:rPr>
                <w:rFonts w:eastAsia="Times New Roman" w:cs="Times New Roman"/>
                <w:color w:val="000000" w:themeColor="text1"/>
                <w:lang w:val="es-ES"/>
              </w:rPr>
              <w:t>Nov-Dic</w:t>
            </w:r>
          </w:p>
        </w:tc>
      </w:tr>
      <w:tr w:rsidR="00B8270F" w:rsidRPr="00B8693C" w:rsidTr="00AE5CC0">
        <w:tc>
          <w:tcPr>
            <w:tcW w:w="3462" w:type="pct"/>
          </w:tcPr>
          <w:p w:rsidR="00B8270F" w:rsidRPr="00B8693C" w:rsidRDefault="00B8270F" w:rsidP="00C707ED">
            <w:pPr>
              <w:keepNext/>
              <w:keepLines/>
              <w:ind w:left="567" w:hanging="567"/>
              <w:rPr>
                <w:color w:val="000000" w:themeColor="text1"/>
                <w:lang w:val="es-ES"/>
              </w:rPr>
            </w:pPr>
            <w:r w:rsidRPr="00B8693C">
              <w:rPr>
                <w:rFonts w:eastAsia="Times New Roman" w:cs="Times New Roman"/>
                <w:color w:val="000000" w:themeColor="text1"/>
                <w:lang w:val="es-ES"/>
              </w:rPr>
              <w:t>8.2</w:t>
            </w:r>
            <w:r w:rsidR="00C707ED">
              <w:rPr>
                <w:rFonts w:eastAsia="Times New Roman" w:cs="Times New Roman"/>
                <w:color w:val="000000" w:themeColor="text1"/>
                <w:lang w:val="es-ES"/>
              </w:rPr>
              <w:tab/>
            </w:r>
            <w:r w:rsidRPr="00B8693C">
              <w:rPr>
                <w:rFonts w:eastAsia="Times New Roman" w:cs="Times New Roman"/>
                <w:color w:val="000000" w:themeColor="text1"/>
                <w:lang w:val="es-ES"/>
              </w:rPr>
              <w:t>Revisión de los programas, con formación o conocimientos especializados con perspectiva de género</w:t>
            </w:r>
          </w:p>
        </w:tc>
        <w:tc>
          <w:tcPr>
            <w:tcW w:w="962" w:type="pct"/>
          </w:tcPr>
          <w:p w:rsidR="00B8270F" w:rsidRPr="00B8693C" w:rsidRDefault="00B8270F" w:rsidP="00AE5CC0">
            <w:pPr>
              <w:keepNext/>
              <w:keepLines/>
              <w:jc w:val="center"/>
              <w:rPr>
                <w:color w:val="000000" w:themeColor="text1"/>
                <w:lang w:val="es-ES"/>
              </w:rPr>
            </w:pPr>
            <w:r w:rsidRPr="00B8693C">
              <w:rPr>
                <w:rFonts w:eastAsia="Times New Roman" w:cs="Times New Roman"/>
                <w:color w:val="000000" w:themeColor="text1"/>
                <w:lang w:val="es-ES"/>
              </w:rPr>
              <w:t>Oficinas/GTF</w:t>
            </w:r>
          </w:p>
        </w:tc>
        <w:tc>
          <w:tcPr>
            <w:tcW w:w="576" w:type="pct"/>
          </w:tcPr>
          <w:p w:rsidR="00B8270F" w:rsidRPr="00B8693C" w:rsidRDefault="00B8270F" w:rsidP="00AE5CC0">
            <w:pPr>
              <w:keepNext/>
              <w:keepLines/>
              <w:jc w:val="center"/>
              <w:rPr>
                <w:color w:val="000000" w:themeColor="text1"/>
                <w:lang w:val="es-ES"/>
              </w:rPr>
            </w:pPr>
            <w:r w:rsidRPr="00B8693C">
              <w:rPr>
                <w:rFonts w:eastAsia="Times New Roman" w:cs="Times New Roman"/>
                <w:color w:val="000000" w:themeColor="text1"/>
                <w:lang w:val="es-ES"/>
              </w:rPr>
              <w:t>Nov-Dic</w:t>
            </w:r>
          </w:p>
        </w:tc>
      </w:tr>
    </w:tbl>
    <w:p w:rsidR="00B8270F" w:rsidRPr="00B8693C" w:rsidRDefault="00C707ED" w:rsidP="00B8693C">
      <w:pPr>
        <w:keepNext/>
        <w:keepLines/>
        <w:pBdr>
          <w:bottom w:val="single" w:sz="4" w:space="1" w:color="auto"/>
        </w:pBdr>
        <w:tabs>
          <w:tab w:val="right" w:pos="9639"/>
        </w:tabs>
        <w:spacing w:before="240"/>
        <w:rPr>
          <w:color w:val="000000" w:themeColor="text1"/>
          <w:lang w:val="es-ES"/>
        </w:rPr>
      </w:pPr>
      <w:r>
        <w:rPr>
          <w:b/>
          <w:bCs/>
          <w:color w:val="000000" w:themeColor="text1"/>
          <w:lang w:val="es-ES"/>
        </w:rPr>
        <w:t>9</w:t>
      </w:r>
      <w:r>
        <w:rPr>
          <w:b/>
          <w:bCs/>
          <w:color w:val="000000" w:themeColor="text1"/>
          <w:lang w:val="es-ES"/>
        </w:rPr>
        <w:tab/>
      </w:r>
      <w:r w:rsidR="00B8270F" w:rsidRPr="00B8693C">
        <w:rPr>
          <w:b/>
          <w:bCs/>
          <w:color w:val="000000" w:themeColor="text1"/>
          <w:lang w:val="es-ES"/>
        </w:rPr>
        <w:t>Control del estado de los recursos</w:t>
      </w:r>
      <w:r w:rsidR="00B8270F" w:rsidRPr="00B8693C">
        <w:rPr>
          <w:b/>
          <w:bCs/>
          <w:color w:val="000000" w:themeColor="text1"/>
          <w:lang w:val="es-ES"/>
        </w:rPr>
        <w:tab/>
        <w:t xml:space="preserve">Estado del SWAP en 2016: </w:t>
      </w:r>
      <w:r w:rsidR="00B8270F" w:rsidRPr="00B8693C">
        <w:rPr>
          <w:color w:val="000000" w:themeColor="text1"/>
          <w:lang w:val="es-ES"/>
        </w:rPr>
        <w:t>satisface los requisitos</w:t>
      </w:r>
    </w:p>
    <w:p w:rsidR="00B8270F" w:rsidRPr="00B8693C" w:rsidRDefault="00B8270F" w:rsidP="00C707ED">
      <w:pPr>
        <w:spacing w:after="120"/>
        <w:rPr>
          <w:lang w:val="es-ES"/>
        </w:rPr>
      </w:pPr>
      <w:r w:rsidRPr="00B8693C">
        <w:rPr>
          <w:lang w:val="es-ES"/>
        </w:rPr>
        <w:t xml:space="preserve">Para satisfacer los indicadores de rendimiento del ONU-SWAP, la UIT tendría que seguir realizando el ejercicio consistente en estimar el nivel de recursos utilizados para fomentar la igualdad de género y el empoderamiento de las mujeres. La UIT ya introdujo en 2016 el Indicador de Género </w:t>
      </w:r>
      <w:r w:rsidRPr="00B8693C">
        <w:rPr>
          <w:lang w:val="es-ES"/>
        </w:rPr>
        <w:lastRenderedPageBreak/>
        <w:t>en el sistema ERP y seguirá mejorándolo y perfeccionando las herramientas de generación de informes relacionadas.</w:t>
      </w:r>
    </w:p>
    <w:tbl>
      <w:tblPr>
        <w:tblStyle w:val="TableGrid"/>
        <w:tblW w:w="5000" w:type="pct"/>
        <w:tblLook w:val="04A0" w:firstRow="1" w:lastRow="0" w:firstColumn="1" w:lastColumn="0" w:noHBand="0" w:noVBand="1"/>
      </w:tblPr>
      <w:tblGrid>
        <w:gridCol w:w="6644"/>
        <w:gridCol w:w="1899"/>
        <w:gridCol w:w="1086"/>
      </w:tblGrid>
      <w:tr w:rsidR="00B8270F" w:rsidRPr="00B8693C" w:rsidTr="00AE5CC0">
        <w:tc>
          <w:tcPr>
            <w:tcW w:w="3462" w:type="pct"/>
          </w:tcPr>
          <w:p w:rsidR="00B8270F" w:rsidRPr="00B8693C" w:rsidRDefault="00B8270F" w:rsidP="00AE5CC0">
            <w:pPr>
              <w:keepNext/>
              <w:keepLines/>
              <w:jc w:val="both"/>
              <w:rPr>
                <w:color w:val="000000" w:themeColor="text1"/>
                <w:lang w:val="es-ES"/>
              </w:rPr>
            </w:pPr>
            <w:r w:rsidRPr="00B8693C">
              <w:rPr>
                <w:color w:val="000000" w:themeColor="text1"/>
                <w:u w:val="single"/>
                <w:lang w:val="es-ES"/>
              </w:rPr>
              <w:t>Productos</w:t>
            </w:r>
          </w:p>
        </w:tc>
        <w:tc>
          <w:tcPr>
            <w:tcW w:w="962" w:type="pct"/>
          </w:tcPr>
          <w:p w:rsidR="00B8270F" w:rsidRPr="00B8693C" w:rsidRDefault="00B8270F" w:rsidP="00AE5CC0">
            <w:pPr>
              <w:keepNext/>
              <w:keepLines/>
              <w:jc w:val="both"/>
              <w:rPr>
                <w:color w:val="000000" w:themeColor="text1"/>
                <w:lang w:val="es-ES"/>
              </w:rPr>
            </w:pPr>
            <w:r w:rsidRPr="00B8693C">
              <w:rPr>
                <w:color w:val="000000" w:themeColor="text1"/>
                <w:u w:val="single"/>
                <w:lang w:val="es-ES"/>
              </w:rPr>
              <w:t>Titular/Implicado</w:t>
            </w:r>
          </w:p>
        </w:tc>
        <w:tc>
          <w:tcPr>
            <w:tcW w:w="576" w:type="pct"/>
          </w:tcPr>
          <w:p w:rsidR="00B8270F" w:rsidRPr="00B8693C" w:rsidRDefault="00B8270F" w:rsidP="00AE5CC0">
            <w:pPr>
              <w:keepNext/>
              <w:keepLines/>
              <w:jc w:val="center"/>
              <w:rPr>
                <w:color w:val="000000" w:themeColor="text1"/>
                <w:lang w:val="es-ES"/>
              </w:rPr>
            </w:pPr>
            <w:r w:rsidRPr="00B8693C">
              <w:rPr>
                <w:color w:val="000000" w:themeColor="text1"/>
                <w:u w:val="single"/>
                <w:lang w:val="es-ES"/>
              </w:rPr>
              <w:t>Plazo</w:t>
            </w:r>
          </w:p>
        </w:tc>
      </w:tr>
      <w:tr w:rsidR="00B8270F" w:rsidRPr="00B8693C" w:rsidTr="00AE5CC0">
        <w:tc>
          <w:tcPr>
            <w:tcW w:w="3462" w:type="pct"/>
          </w:tcPr>
          <w:p w:rsidR="00B8270F" w:rsidRPr="00B8693C" w:rsidRDefault="00B8270F" w:rsidP="00C707ED">
            <w:pPr>
              <w:keepNext/>
              <w:keepLines/>
              <w:ind w:left="567" w:hanging="567"/>
              <w:rPr>
                <w:color w:val="000000" w:themeColor="text1"/>
                <w:lang w:val="es-ES"/>
              </w:rPr>
            </w:pPr>
            <w:r w:rsidRPr="00B8693C">
              <w:rPr>
                <w:rFonts w:eastAsia="Times New Roman" w:cs="Times New Roman"/>
                <w:color w:val="000000" w:themeColor="text1"/>
                <w:lang w:val="es-ES"/>
              </w:rPr>
              <w:t>9.1</w:t>
            </w:r>
            <w:r w:rsidR="00C707ED">
              <w:rPr>
                <w:rFonts w:eastAsia="Times New Roman" w:cs="Times New Roman"/>
                <w:color w:val="000000" w:themeColor="text1"/>
                <w:lang w:val="es-ES"/>
              </w:rPr>
              <w:tab/>
            </w:r>
            <w:r w:rsidRPr="00B8693C">
              <w:rPr>
                <w:rFonts w:eastAsia="Times New Roman" w:cs="Times New Roman"/>
                <w:color w:val="000000" w:themeColor="text1"/>
                <w:lang w:val="es-ES"/>
              </w:rPr>
              <w:t>Informe sobre el Indicador de Género y atribución de recursos para las cuestiones de género</w:t>
            </w:r>
          </w:p>
        </w:tc>
        <w:tc>
          <w:tcPr>
            <w:tcW w:w="962" w:type="pct"/>
          </w:tcPr>
          <w:p w:rsidR="00B8270F" w:rsidRPr="00B8693C" w:rsidRDefault="00B8270F" w:rsidP="00AE5CC0">
            <w:pPr>
              <w:keepNext/>
              <w:keepLines/>
              <w:jc w:val="center"/>
              <w:rPr>
                <w:color w:val="000000" w:themeColor="text1"/>
                <w:lang w:val="es-ES"/>
              </w:rPr>
            </w:pPr>
            <w:r w:rsidRPr="00B8693C">
              <w:rPr>
                <w:rFonts w:eastAsia="Times New Roman" w:cs="Times New Roman"/>
                <w:color w:val="000000" w:themeColor="text1"/>
                <w:lang w:val="es-ES"/>
              </w:rPr>
              <w:t>FRMD</w:t>
            </w:r>
          </w:p>
        </w:tc>
        <w:tc>
          <w:tcPr>
            <w:tcW w:w="576" w:type="pct"/>
          </w:tcPr>
          <w:p w:rsidR="00B8270F" w:rsidRPr="00B8693C" w:rsidRDefault="00B8270F" w:rsidP="00AE5CC0">
            <w:pPr>
              <w:keepNext/>
              <w:keepLines/>
              <w:jc w:val="center"/>
              <w:rPr>
                <w:color w:val="000000" w:themeColor="text1"/>
                <w:lang w:val="es-ES"/>
              </w:rPr>
            </w:pPr>
            <w:r w:rsidRPr="00B8693C">
              <w:rPr>
                <w:rFonts w:eastAsia="Times New Roman" w:cs="Times New Roman"/>
                <w:color w:val="000000" w:themeColor="text1"/>
                <w:lang w:val="es-ES"/>
              </w:rPr>
              <w:t>Nov-Dic</w:t>
            </w:r>
          </w:p>
        </w:tc>
      </w:tr>
    </w:tbl>
    <w:p w:rsidR="00B8270F" w:rsidRPr="00B8693C" w:rsidRDefault="00C707ED" w:rsidP="00B8693C">
      <w:pPr>
        <w:keepNext/>
        <w:keepLines/>
        <w:pBdr>
          <w:bottom w:val="single" w:sz="4" w:space="1" w:color="auto"/>
        </w:pBdr>
        <w:tabs>
          <w:tab w:val="right" w:pos="9639"/>
        </w:tabs>
        <w:spacing w:before="240"/>
        <w:rPr>
          <w:color w:val="000000" w:themeColor="text1"/>
          <w:lang w:val="es-ES"/>
        </w:rPr>
      </w:pPr>
      <w:r>
        <w:rPr>
          <w:b/>
          <w:bCs/>
          <w:color w:val="000000" w:themeColor="text1"/>
          <w:lang w:val="es-ES"/>
        </w:rPr>
        <w:t>10</w:t>
      </w:r>
      <w:r>
        <w:rPr>
          <w:b/>
          <w:bCs/>
          <w:color w:val="000000" w:themeColor="text1"/>
          <w:lang w:val="es-ES"/>
        </w:rPr>
        <w:tab/>
      </w:r>
      <w:r w:rsidR="00B8270F" w:rsidRPr="00B8693C">
        <w:rPr>
          <w:b/>
          <w:bCs/>
          <w:color w:val="000000" w:themeColor="text1"/>
          <w:lang w:val="es-ES"/>
        </w:rPr>
        <w:t>Atribución de recursos</w:t>
      </w:r>
      <w:r>
        <w:rPr>
          <w:b/>
          <w:bCs/>
          <w:color w:val="000000" w:themeColor="text1"/>
          <w:lang w:val="es-ES"/>
        </w:rPr>
        <w:tab/>
      </w:r>
      <w:r w:rsidR="00B8270F" w:rsidRPr="00B8693C">
        <w:rPr>
          <w:b/>
          <w:bCs/>
          <w:color w:val="000000" w:themeColor="text1"/>
          <w:lang w:val="es-ES"/>
        </w:rPr>
        <w:tab/>
        <w:t xml:space="preserve">Estado del SWAP en 2016: </w:t>
      </w:r>
      <w:r w:rsidR="00B8270F" w:rsidRPr="00B8693C">
        <w:rPr>
          <w:bCs/>
          <w:color w:val="000000" w:themeColor="text1"/>
          <w:lang w:val="es-ES"/>
        </w:rPr>
        <w:t>falta este</w:t>
      </w:r>
      <w:r w:rsidR="00B8270F" w:rsidRPr="00B8693C">
        <w:rPr>
          <w:b/>
          <w:bCs/>
          <w:color w:val="000000" w:themeColor="text1"/>
          <w:lang w:val="es-ES"/>
        </w:rPr>
        <w:t xml:space="preserve"> </w:t>
      </w:r>
      <w:r w:rsidR="00B8270F" w:rsidRPr="00B8693C">
        <w:rPr>
          <w:color w:val="000000" w:themeColor="text1"/>
          <w:lang w:val="es-ES"/>
        </w:rPr>
        <w:t>requisito</w:t>
      </w:r>
    </w:p>
    <w:p w:rsidR="00B8270F" w:rsidRPr="00B8693C" w:rsidRDefault="00B8270F" w:rsidP="00C707ED">
      <w:pPr>
        <w:spacing w:after="120"/>
        <w:rPr>
          <w:lang w:val="es-ES"/>
        </w:rPr>
      </w:pPr>
      <w:r w:rsidRPr="00B8693C">
        <w:rPr>
          <w:lang w:val="es-ES"/>
        </w:rPr>
        <w:t>Para satisfacer los indicadores de rendimiento del ONU-SWAP, la UIT tendría que haber definido y alcanzado un objetivo financiero para cumplir el mandato de la igualdad de género y el empoderamiento de las mujeres en todos los presupuestos, incluidos los de la sede, los ordinarios, los básicos y los recursos extrapresupuestarios. Debe tenerse en cuenta que en el proyecto de presupuesto para 2018-2019 no existen consignaciones presupuestarias para las actividades de género, por lo que la UIT debe alentar las contribuciones de carácter voluntario. El puesto de trabajo que se ocupa de las cuestiones de género podrá considerarse plenamente equipado cuando tenga los recursos humanos y financieros adecuados para ayudar a que la UIT cumpla el mandato de la igualdad de género y el empoderamiento de las mujeres, teniendo en cuenta los Indicadores de Rendimiento del ONU-SWAP. Estos recursos tendrían que resolver los problemas de coordinación, desarrollo de capacidades, garantía de la calidad y relaciones interinstitucionales.</w:t>
      </w:r>
    </w:p>
    <w:tbl>
      <w:tblPr>
        <w:tblStyle w:val="TableGrid"/>
        <w:tblW w:w="5000" w:type="pct"/>
        <w:tblLook w:val="04A0" w:firstRow="1" w:lastRow="0" w:firstColumn="1" w:lastColumn="0" w:noHBand="0" w:noVBand="1"/>
      </w:tblPr>
      <w:tblGrid>
        <w:gridCol w:w="6644"/>
        <w:gridCol w:w="1899"/>
        <w:gridCol w:w="1086"/>
      </w:tblGrid>
      <w:tr w:rsidR="00B8270F" w:rsidRPr="00B8693C" w:rsidTr="00AE5CC0">
        <w:tc>
          <w:tcPr>
            <w:tcW w:w="3462" w:type="pct"/>
          </w:tcPr>
          <w:p w:rsidR="00B8270F" w:rsidRPr="00B8693C" w:rsidRDefault="00B8270F" w:rsidP="00AE5CC0">
            <w:pPr>
              <w:keepNext/>
              <w:keepLines/>
              <w:jc w:val="both"/>
              <w:rPr>
                <w:color w:val="000000" w:themeColor="text1"/>
                <w:lang w:val="es-ES"/>
              </w:rPr>
            </w:pPr>
            <w:r w:rsidRPr="00B8693C">
              <w:rPr>
                <w:color w:val="000000" w:themeColor="text1"/>
                <w:u w:val="single"/>
                <w:lang w:val="es-ES"/>
              </w:rPr>
              <w:t>Productos</w:t>
            </w:r>
          </w:p>
        </w:tc>
        <w:tc>
          <w:tcPr>
            <w:tcW w:w="962" w:type="pct"/>
          </w:tcPr>
          <w:p w:rsidR="00B8270F" w:rsidRPr="00B8693C" w:rsidRDefault="00B8270F" w:rsidP="00AE5CC0">
            <w:pPr>
              <w:keepNext/>
              <w:keepLines/>
              <w:jc w:val="both"/>
              <w:rPr>
                <w:color w:val="000000" w:themeColor="text1"/>
                <w:lang w:val="es-ES"/>
              </w:rPr>
            </w:pPr>
            <w:r w:rsidRPr="00B8693C">
              <w:rPr>
                <w:color w:val="000000" w:themeColor="text1"/>
                <w:u w:val="single"/>
                <w:lang w:val="es-ES"/>
              </w:rPr>
              <w:t>Titular/Implicado</w:t>
            </w:r>
          </w:p>
        </w:tc>
        <w:tc>
          <w:tcPr>
            <w:tcW w:w="576" w:type="pct"/>
          </w:tcPr>
          <w:p w:rsidR="00B8270F" w:rsidRPr="00B8693C" w:rsidRDefault="00B8270F" w:rsidP="00AE5CC0">
            <w:pPr>
              <w:keepNext/>
              <w:keepLines/>
              <w:jc w:val="center"/>
              <w:rPr>
                <w:color w:val="000000" w:themeColor="text1"/>
                <w:lang w:val="es-ES"/>
              </w:rPr>
            </w:pPr>
            <w:r w:rsidRPr="00B8693C">
              <w:rPr>
                <w:color w:val="000000" w:themeColor="text1"/>
                <w:u w:val="single"/>
                <w:lang w:val="es-ES"/>
              </w:rPr>
              <w:t>Plazo</w:t>
            </w:r>
          </w:p>
        </w:tc>
      </w:tr>
      <w:tr w:rsidR="00B8270F" w:rsidRPr="00B8693C" w:rsidTr="00AE5CC0">
        <w:tc>
          <w:tcPr>
            <w:tcW w:w="3462" w:type="pct"/>
          </w:tcPr>
          <w:p w:rsidR="00B8270F" w:rsidRPr="00B8693C" w:rsidRDefault="00B8270F" w:rsidP="00C707ED">
            <w:pPr>
              <w:keepNext/>
              <w:keepLines/>
              <w:ind w:left="567" w:hanging="567"/>
              <w:rPr>
                <w:color w:val="000000" w:themeColor="text1"/>
                <w:lang w:val="es-ES"/>
              </w:rPr>
            </w:pPr>
            <w:r w:rsidRPr="00B8693C">
              <w:rPr>
                <w:rFonts w:eastAsia="Times New Roman" w:cs="Times New Roman"/>
                <w:color w:val="000000" w:themeColor="text1"/>
                <w:lang w:val="es-ES"/>
              </w:rPr>
              <w:t>10.1</w:t>
            </w:r>
            <w:r w:rsidR="00C707ED">
              <w:rPr>
                <w:rFonts w:eastAsia="Times New Roman" w:cs="Times New Roman"/>
                <w:color w:val="000000" w:themeColor="text1"/>
                <w:lang w:val="es-ES"/>
              </w:rPr>
              <w:tab/>
            </w:r>
            <w:r w:rsidRPr="00B8693C">
              <w:rPr>
                <w:rFonts w:eastAsia="Times New Roman" w:cs="Times New Roman"/>
                <w:color w:val="000000" w:themeColor="text1"/>
                <w:lang w:val="es-ES"/>
              </w:rPr>
              <w:t>Definir criterios financieros para los recursos destinados a IIG</w:t>
            </w:r>
          </w:p>
        </w:tc>
        <w:tc>
          <w:tcPr>
            <w:tcW w:w="962" w:type="pct"/>
          </w:tcPr>
          <w:p w:rsidR="00B8270F" w:rsidRPr="00B8693C" w:rsidRDefault="00B8270F" w:rsidP="00AE5CC0">
            <w:pPr>
              <w:keepNext/>
              <w:keepLines/>
              <w:jc w:val="center"/>
              <w:rPr>
                <w:color w:val="000000" w:themeColor="text1"/>
                <w:lang w:val="es-ES"/>
              </w:rPr>
            </w:pPr>
            <w:r w:rsidRPr="00B8693C">
              <w:rPr>
                <w:rFonts w:eastAsia="Times New Roman" w:cs="Times New Roman"/>
                <w:color w:val="000000" w:themeColor="text1"/>
                <w:lang w:val="es-ES"/>
              </w:rPr>
              <w:t>FRMD/GTF</w:t>
            </w:r>
          </w:p>
        </w:tc>
        <w:tc>
          <w:tcPr>
            <w:tcW w:w="576" w:type="pct"/>
          </w:tcPr>
          <w:p w:rsidR="00B8270F" w:rsidRPr="00B8693C" w:rsidRDefault="00B8270F" w:rsidP="00AE5CC0">
            <w:pPr>
              <w:keepNext/>
              <w:keepLines/>
              <w:jc w:val="center"/>
              <w:rPr>
                <w:color w:val="000000" w:themeColor="text1"/>
                <w:lang w:val="es-ES"/>
              </w:rPr>
            </w:pPr>
            <w:proofErr w:type="spellStart"/>
            <w:r w:rsidRPr="00B8693C">
              <w:rPr>
                <w:rFonts w:eastAsia="Times New Roman" w:cs="Times New Roman"/>
                <w:color w:val="000000" w:themeColor="text1"/>
                <w:lang w:val="es-ES"/>
              </w:rPr>
              <w:t>May</w:t>
            </w:r>
            <w:proofErr w:type="spellEnd"/>
            <w:r w:rsidRPr="00B8693C">
              <w:rPr>
                <w:rFonts w:eastAsia="Times New Roman" w:cs="Times New Roman"/>
                <w:color w:val="000000" w:themeColor="text1"/>
                <w:lang w:val="es-ES"/>
              </w:rPr>
              <w:t>-Jun</w:t>
            </w:r>
          </w:p>
        </w:tc>
      </w:tr>
      <w:tr w:rsidR="00B8270F" w:rsidRPr="00B8693C" w:rsidTr="00AE5CC0">
        <w:tc>
          <w:tcPr>
            <w:tcW w:w="3462" w:type="pct"/>
          </w:tcPr>
          <w:p w:rsidR="00B8270F" w:rsidRPr="00B8693C" w:rsidRDefault="00B8270F" w:rsidP="00C707ED">
            <w:pPr>
              <w:keepNext/>
              <w:keepLines/>
              <w:ind w:left="567" w:hanging="567"/>
              <w:rPr>
                <w:color w:val="000000" w:themeColor="text1"/>
                <w:lang w:val="es-ES"/>
              </w:rPr>
            </w:pPr>
            <w:r w:rsidRPr="00B8693C">
              <w:rPr>
                <w:rFonts w:eastAsia="Times New Roman" w:cs="Times New Roman"/>
                <w:color w:val="000000" w:themeColor="text1"/>
                <w:lang w:val="es-ES"/>
              </w:rPr>
              <w:t>10.2</w:t>
            </w:r>
            <w:r w:rsidR="00C707ED">
              <w:rPr>
                <w:rFonts w:eastAsia="Times New Roman" w:cs="Times New Roman"/>
                <w:color w:val="000000" w:themeColor="text1"/>
                <w:lang w:val="es-ES"/>
              </w:rPr>
              <w:tab/>
            </w:r>
            <w:r w:rsidRPr="00B8693C">
              <w:rPr>
                <w:rFonts w:eastAsia="Times New Roman" w:cs="Times New Roman"/>
                <w:color w:val="000000" w:themeColor="text1"/>
                <w:lang w:val="es-ES"/>
              </w:rPr>
              <w:t>Solicitar o conseguir recursos financieros para la aplicación de la IIG</w:t>
            </w:r>
          </w:p>
        </w:tc>
        <w:tc>
          <w:tcPr>
            <w:tcW w:w="962" w:type="pct"/>
          </w:tcPr>
          <w:p w:rsidR="00B8270F" w:rsidRPr="00B8693C" w:rsidRDefault="00B8270F" w:rsidP="00AE5CC0">
            <w:pPr>
              <w:keepNext/>
              <w:keepLines/>
              <w:jc w:val="center"/>
              <w:rPr>
                <w:color w:val="000000" w:themeColor="text1"/>
                <w:lang w:val="es-ES"/>
              </w:rPr>
            </w:pPr>
            <w:r w:rsidRPr="00B8693C">
              <w:rPr>
                <w:rFonts w:eastAsia="Times New Roman" w:cs="Times New Roman"/>
                <w:color w:val="000000" w:themeColor="text1"/>
                <w:lang w:val="es-ES"/>
              </w:rPr>
              <w:t>GTF/SGO</w:t>
            </w:r>
          </w:p>
        </w:tc>
        <w:tc>
          <w:tcPr>
            <w:tcW w:w="576" w:type="pct"/>
          </w:tcPr>
          <w:p w:rsidR="00B8270F" w:rsidRPr="00B8693C" w:rsidRDefault="00B8270F" w:rsidP="00AE5CC0">
            <w:pPr>
              <w:keepNext/>
              <w:keepLines/>
              <w:jc w:val="center"/>
              <w:rPr>
                <w:color w:val="000000" w:themeColor="text1"/>
                <w:lang w:val="es-ES"/>
              </w:rPr>
            </w:pPr>
            <w:r w:rsidRPr="00B8693C">
              <w:rPr>
                <w:rFonts w:eastAsia="Times New Roman" w:cs="Times New Roman"/>
                <w:color w:val="000000" w:themeColor="text1"/>
                <w:lang w:val="es-ES"/>
              </w:rPr>
              <w:t>Jun-</w:t>
            </w:r>
            <w:proofErr w:type="spellStart"/>
            <w:r w:rsidRPr="00B8693C">
              <w:rPr>
                <w:rFonts w:eastAsia="Times New Roman" w:cs="Times New Roman"/>
                <w:color w:val="000000" w:themeColor="text1"/>
                <w:lang w:val="es-ES"/>
              </w:rPr>
              <w:t>Ago</w:t>
            </w:r>
            <w:proofErr w:type="spellEnd"/>
          </w:p>
        </w:tc>
      </w:tr>
    </w:tbl>
    <w:p w:rsidR="00B8270F" w:rsidRPr="00B8693C" w:rsidRDefault="00C707ED" w:rsidP="00B8693C">
      <w:pPr>
        <w:keepNext/>
        <w:keepLines/>
        <w:pBdr>
          <w:bottom w:val="single" w:sz="4" w:space="1" w:color="auto"/>
        </w:pBdr>
        <w:tabs>
          <w:tab w:val="right" w:pos="9639"/>
        </w:tabs>
        <w:spacing w:before="240"/>
        <w:rPr>
          <w:color w:val="000000" w:themeColor="text1"/>
          <w:lang w:val="es-ES"/>
        </w:rPr>
      </w:pPr>
      <w:r>
        <w:rPr>
          <w:b/>
          <w:bCs/>
          <w:color w:val="000000" w:themeColor="text1"/>
          <w:lang w:val="es-ES"/>
        </w:rPr>
        <w:t>11</w:t>
      </w:r>
      <w:r>
        <w:rPr>
          <w:b/>
          <w:bCs/>
          <w:color w:val="000000" w:themeColor="text1"/>
          <w:lang w:val="es-ES"/>
        </w:rPr>
        <w:tab/>
      </w:r>
      <w:r w:rsidR="00B8270F" w:rsidRPr="00B8693C">
        <w:rPr>
          <w:b/>
          <w:bCs/>
          <w:color w:val="000000" w:themeColor="text1"/>
          <w:lang w:val="es-ES"/>
        </w:rPr>
        <w:t>Arquitectura y paridad de género</w:t>
      </w:r>
      <w:r w:rsidR="00B8270F" w:rsidRPr="00B8693C">
        <w:rPr>
          <w:b/>
          <w:bCs/>
          <w:color w:val="000000" w:themeColor="text1"/>
          <w:lang w:val="es-ES"/>
        </w:rPr>
        <w:tab/>
        <w:t xml:space="preserve">Estado del SWAP en 2016: </w:t>
      </w:r>
      <w:r w:rsidR="00B8270F" w:rsidRPr="00B8693C">
        <w:rPr>
          <w:color w:val="000000" w:themeColor="text1"/>
          <w:lang w:val="es-ES"/>
        </w:rPr>
        <w:t>casi cumple los requisitos</w:t>
      </w:r>
    </w:p>
    <w:p w:rsidR="00B8270F" w:rsidRPr="00B8693C" w:rsidRDefault="00B8270F" w:rsidP="00C707ED">
      <w:pPr>
        <w:spacing w:after="120"/>
        <w:rPr>
          <w:lang w:val="es-ES"/>
        </w:rPr>
      </w:pPr>
      <w:r w:rsidRPr="00B8693C">
        <w:rPr>
          <w:lang w:val="es-ES"/>
        </w:rPr>
        <w:t xml:space="preserve">Para satisfacer los indicadores de rendimiento del ONU-SWAP, la UIT debería tener: (1) coordinadores de cuestiones de género (GFP) de categoría P4 con un mandato de referencia por escrito en el que se asignase al menos el 20% del tiempo a funciones relacionadas con las cuestiones de género; (2) paridad de género en el personal; y (3) una dependencia para las cuestiones de género totalmente equipada. El puesto de trabajo que se ocupa de las cuestiones de género podrá considerarse plenamente equipado cuando tenga los recursos humanos y financieros adecuados para ayudar a que la UIT cumpla el mandato de la igualdad de género y el empoderamiento de las mujeres, teniendo en cuenta los Indicadores de Rendimiento del ONU-SWAP. Estos recursos permitirían resolver los problemas de coordinación, desarrollo de capacidades, garantía de la calidad y relaciones interinstitucionales. </w:t>
      </w:r>
    </w:p>
    <w:tbl>
      <w:tblPr>
        <w:tblStyle w:val="TableGrid"/>
        <w:tblW w:w="5000" w:type="pct"/>
        <w:tblLook w:val="04A0" w:firstRow="1" w:lastRow="0" w:firstColumn="1" w:lastColumn="0" w:noHBand="0" w:noVBand="1"/>
      </w:tblPr>
      <w:tblGrid>
        <w:gridCol w:w="6644"/>
        <w:gridCol w:w="1899"/>
        <w:gridCol w:w="1086"/>
      </w:tblGrid>
      <w:tr w:rsidR="00B8270F" w:rsidRPr="00B8693C" w:rsidTr="00AE5CC0">
        <w:tc>
          <w:tcPr>
            <w:tcW w:w="3461" w:type="pct"/>
          </w:tcPr>
          <w:p w:rsidR="00B8270F" w:rsidRPr="00B8693C" w:rsidRDefault="00B8270F" w:rsidP="00AE5CC0">
            <w:pPr>
              <w:keepNext/>
              <w:keepLines/>
              <w:jc w:val="both"/>
              <w:rPr>
                <w:color w:val="000000" w:themeColor="text1"/>
                <w:lang w:val="es-ES"/>
              </w:rPr>
            </w:pPr>
            <w:r w:rsidRPr="00B8693C">
              <w:rPr>
                <w:color w:val="000000" w:themeColor="text1"/>
                <w:u w:val="single"/>
                <w:lang w:val="es-ES"/>
              </w:rPr>
              <w:lastRenderedPageBreak/>
              <w:t>Productos</w:t>
            </w:r>
          </w:p>
        </w:tc>
        <w:tc>
          <w:tcPr>
            <w:tcW w:w="962" w:type="pct"/>
          </w:tcPr>
          <w:p w:rsidR="00B8270F" w:rsidRPr="00B8693C" w:rsidRDefault="00B8270F" w:rsidP="00AE5CC0">
            <w:pPr>
              <w:keepNext/>
              <w:keepLines/>
              <w:jc w:val="center"/>
              <w:rPr>
                <w:color w:val="000000" w:themeColor="text1"/>
                <w:lang w:val="es-ES"/>
              </w:rPr>
            </w:pPr>
            <w:r w:rsidRPr="00B8693C">
              <w:rPr>
                <w:color w:val="000000" w:themeColor="text1"/>
                <w:u w:val="single"/>
                <w:lang w:val="es-ES"/>
              </w:rPr>
              <w:t>Titular/Implicado</w:t>
            </w:r>
          </w:p>
        </w:tc>
        <w:tc>
          <w:tcPr>
            <w:tcW w:w="576" w:type="pct"/>
          </w:tcPr>
          <w:p w:rsidR="00B8270F" w:rsidRPr="00B8693C" w:rsidRDefault="00B8270F" w:rsidP="00AE5CC0">
            <w:pPr>
              <w:keepNext/>
              <w:keepLines/>
              <w:jc w:val="center"/>
              <w:rPr>
                <w:color w:val="000000" w:themeColor="text1"/>
                <w:lang w:val="es-ES"/>
              </w:rPr>
            </w:pPr>
            <w:r w:rsidRPr="00B8693C">
              <w:rPr>
                <w:color w:val="000000" w:themeColor="text1"/>
                <w:u w:val="single"/>
                <w:lang w:val="es-ES"/>
              </w:rPr>
              <w:t>Plazo</w:t>
            </w:r>
          </w:p>
        </w:tc>
      </w:tr>
      <w:tr w:rsidR="00B8270F" w:rsidRPr="00B8693C" w:rsidTr="00AE5CC0">
        <w:tc>
          <w:tcPr>
            <w:tcW w:w="3461" w:type="pct"/>
          </w:tcPr>
          <w:p w:rsidR="00B8270F" w:rsidRPr="00B8693C" w:rsidRDefault="00B8270F" w:rsidP="00C707ED">
            <w:pPr>
              <w:keepNext/>
              <w:keepLines/>
              <w:ind w:left="567" w:hanging="567"/>
              <w:rPr>
                <w:color w:val="000000" w:themeColor="text1"/>
                <w:lang w:val="es-ES"/>
              </w:rPr>
            </w:pPr>
            <w:r w:rsidRPr="00B8693C">
              <w:rPr>
                <w:rFonts w:eastAsia="Times New Roman" w:cs="Times New Roman"/>
                <w:color w:val="000000" w:themeColor="text1"/>
                <w:lang w:val="es-ES"/>
              </w:rPr>
              <w:t>11.1</w:t>
            </w:r>
            <w:r w:rsidR="00C707ED">
              <w:rPr>
                <w:rFonts w:eastAsia="Times New Roman" w:cs="Times New Roman"/>
                <w:color w:val="000000" w:themeColor="text1"/>
                <w:lang w:val="es-ES"/>
              </w:rPr>
              <w:tab/>
            </w:r>
            <w:r w:rsidRPr="00B8693C">
              <w:rPr>
                <w:rFonts w:eastAsia="Times New Roman" w:cs="Times New Roman"/>
                <w:color w:val="000000" w:themeColor="text1"/>
                <w:lang w:val="es-ES"/>
              </w:rPr>
              <w:t>Mandato/diseño/ o sea liderazgo compartido (entre hombres y mujeres) del GTF, actualizados</w:t>
            </w:r>
          </w:p>
        </w:tc>
        <w:tc>
          <w:tcPr>
            <w:tcW w:w="962" w:type="pct"/>
          </w:tcPr>
          <w:p w:rsidR="00B8270F" w:rsidRPr="00B8693C" w:rsidRDefault="00B8270F" w:rsidP="00AE5CC0">
            <w:pPr>
              <w:keepNext/>
              <w:keepLines/>
              <w:jc w:val="center"/>
              <w:rPr>
                <w:color w:val="000000" w:themeColor="text1"/>
                <w:lang w:val="es-ES"/>
              </w:rPr>
            </w:pPr>
            <w:r w:rsidRPr="00B8693C">
              <w:rPr>
                <w:rFonts w:eastAsia="Times New Roman" w:cs="Times New Roman"/>
                <w:color w:val="000000" w:themeColor="text1"/>
                <w:lang w:val="es-ES"/>
              </w:rPr>
              <w:t>GTF</w:t>
            </w:r>
          </w:p>
        </w:tc>
        <w:tc>
          <w:tcPr>
            <w:tcW w:w="576" w:type="pct"/>
          </w:tcPr>
          <w:p w:rsidR="00B8270F" w:rsidRPr="00B8693C" w:rsidRDefault="00B8270F" w:rsidP="00AE5CC0">
            <w:pPr>
              <w:keepNext/>
              <w:keepLines/>
              <w:jc w:val="center"/>
              <w:rPr>
                <w:color w:val="000000" w:themeColor="text1"/>
                <w:lang w:val="es-ES"/>
              </w:rPr>
            </w:pPr>
            <w:proofErr w:type="spellStart"/>
            <w:r w:rsidRPr="00B8693C">
              <w:rPr>
                <w:rFonts w:eastAsia="Times New Roman" w:cs="Times New Roman"/>
                <w:color w:val="000000" w:themeColor="text1"/>
                <w:lang w:val="es-ES"/>
              </w:rPr>
              <w:t>Sep</w:t>
            </w:r>
            <w:proofErr w:type="spellEnd"/>
            <w:r w:rsidRPr="00B8693C">
              <w:rPr>
                <w:rFonts w:eastAsia="Times New Roman" w:cs="Times New Roman"/>
                <w:color w:val="000000" w:themeColor="text1"/>
                <w:lang w:val="es-ES"/>
              </w:rPr>
              <w:t>-Oct</w:t>
            </w:r>
          </w:p>
        </w:tc>
      </w:tr>
      <w:tr w:rsidR="00B8270F" w:rsidRPr="00B8693C" w:rsidTr="00AE5CC0">
        <w:tc>
          <w:tcPr>
            <w:tcW w:w="3461" w:type="pct"/>
          </w:tcPr>
          <w:p w:rsidR="00B8270F" w:rsidRPr="00B8693C" w:rsidRDefault="00B8270F" w:rsidP="00C707ED">
            <w:pPr>
              <w:keepNext/>
              <w:keepLines/>
              <w:ind w:left="567" w:hanging="567"/>
              <w:rPr>
                <w:color w:val="000000" w:themeColor="text1"/>
                <w:lang w:val="es-ES"/>
              </w:rPr>
            </w:pPr>
            <w:r w:rsidRPr="00B8693C">
              <w:rPr>
                <w:rFonts w:eastAsia="Times New Roman" w:cs="Times New Roman"/>
                <w:color w:val="000000" w:themeColor="text1"/>
                <w:lang w:val="es-ES"/>
              </w:rPr>
              <w:t>11.2</w:t>
            </w:r>
            <w:r w:rsidR="00C707ED">
              <w:rPr>
                <w:rFonts w:eastAsia="Times New Roman" w:cs="Times New Roman"/>
                <w:color w:val="000000" w:themeColor="text1"/>
                <w:lang w:val="es-ES"/>
              </w:rPr>
              <w:tab/>
            </w:r>
            <w:r w:rsidRPr="00B8693C">
              <w:rPr>
                <w:rFonts w:eastAsia="Times New Roman" w:cs="Times New Roman"/>
                <w:color w:val="000000" w:themeColor="text1"/>
                <w:lang w:val="es-ES"/>
              </w:rPr>
              <w:t>Formalización del mandato del GTF (o sea, en las directrices PPA)</w:t>
            </w:r>
          </w:p>
        </w:tc>
        <w:tc>
          <w:tcPr>
            <w:tcW w:w="962" w:type="pct"/>
          </w:tcPr>
          <w:p w:rsidR="00B8270F" w:rsidRPr="00B8693C" w:rsidRDefault="00B8270F" w:rsidP="00AE5CC0">
            <w:pPr>
              <w:keepNext/>
              <w:keepLines/>
              <w:jc w:val="center"/>
              <w:rPr>
                <w:color w:val="000000" w:themeColor="text1"/>
                <w:lang w:val="es-ES"/>
              </w:rPr>
            </w:pPr>
            <w:r w:rsidRPr="00B8693C">
              <w:rPr>
                <w:rFonts w:eastAsia="Times New Roman" w:cs="Times New Roman"/>
                <w:color w:val="000000" w:themeColor="text1"/>
                <w:lang w:val="es-ES"/>
              </w:rPr>
              <w:t>GTF</w:t>
            </w:r>
          </w:p>
        </w:tc>
        <w:tc>
          <w:tcPr>
            <w:tcW w:w="576" w:type="pct"/>
          </w:tcPr>
          <w:p w:rsidR="00B8270F" w:rsidRPr="00B8693C" w:rsidRDefault="00B8270F" w:rsidP="00AE5CC0">
            <w:pPr>
              <w:keepNext/>
              <w:keepLines/>
              <w:jc w:val="center"/>
              <w:rPr>
                <w:color w:val="000000" w:themeColor="text1"/>
                <w:lang w:val="es-ES"/>
              </w:rPr>
            </w:pPr>
            <w:r w:rsidRPr="00B8693C">
              <w:rPr>
                <w:rFonts w:eastAsia="Times New Roman" w:cs="Times New Roman"/>
                <w:color w:val="000000" w:themeColor="text1"/>
                <w:lang w:val="es-ES"/>
              </w:rPr>
              <w:t>Abr-Nov</w:t>
            </w:r>
          </w:p>
        </w:tc>
      </w:tr>
      <w:tr w:rsidR="00B8270F" w:rsidRPr="00B8693C" w:rsidTr="00AE5CC0">
        <w:tc>
          <w:tcPr>
            <w:tcW w:w="3461" w:type="pct"/>
          </w:tcPr>
          <w:p w:rsidR="00B8270F" w:rsidRPr="00B8693C" w:rsidRDefault="00B8270F" w:rsidP="00C707ED">
            <w:pPr>
              <w:keepNext/>
              <w:keepLines/>
              <w:rPr>
                <w:color w:val="000000" w:themeColor="text1"/>
                <w:lang w:val="es-ES"/>
              </w:rPr>
            </w:pPr>
            <w:r w:rsidRPr="00B8693C">
              <w:rPr>
                <w:rFonts w:eastAsia="Times New Roman" w:cs="Times New Roman"/>
                <w:color w:val="000000" w:themeColor="text1"/>
                <w:lang w:val="es-ES"/>
              </w:rPr>
              <w:t>11.3</w:t>
            </w:r>
            <w:r w:rsidR="00C707ED">
              <w:rPr>
                <w:rFonts w:eastAsia="Times New Roman" w:cs="Times New Roman"/>
                <w:color w:val="000000" w:themeColor="text1"/>
                <w:lang w:val="es-ES"/>
              </w:rPr>
              <w:tab/>
            </w:r>
            <w:r w:rsidRPr="00B8693C">
              <w:rPr>
                <w:rFonts w:eastAsia="Times New Roman" w:cs="Times New Roman"/>
                <w:color w:val="000000" w:themeColor="text1"/>
                <w:lang w:val="es-ES"/>
              </w:rPr>
              <w:t>Paridad en las comisiones estatutarias</w:t>
            </w:r>
          </w:p>
        </w:tc>
        <w:tc>
          <w:tcPr>
            <w:tcW w:w="962" w:type="pct"/>
          </w:tcPr>
          <w:p w:rsidR="00B8270F" w:rsidRPr="00B8693C" w:rsidRDefault="00B8270F" w:rsidP="00AE5CC0">
            <w:pPr>
              <w:keepNext/>
              <w:keepLines/>
              <w:jc w:val="center"/>
              <w:rPr>
                <w:color w:val="000000" w:themeColor="text1"/>
                <w:lang w:val="es-ES"/>
              </w:rPr>
            </w:pPr>
            <w:r w:rsidRPr="00B8693C">
              <w:rPr>
                <w:rFonts w:eastAsia="Times New Roman" w:cs="Times New Roman"/>
                <w:color w:val="000000" w:themeColor="text1"/>
                <w:lang w:val="es-ES"/>
              </w:rPr>
              <w:t>HRMD</w:t>
            </w:r>
          </w:p>
        </w:tc>
        <w:tc>
          <w:tcPr>
            <w:tcW w:w="576" w:type="pct"/>
          </w:tcPr>
          <w:p w:rsidR="00B8270F" w:rsidRPr="00B8693C" w:rsidRDefault="00B8270F" w:rsidP="00AE5CC0">
            <w:pPr>
              <w:keepNext/>
              <w:keepLines/>
              <w:jc w:val="center"/>
              <w:rPr>
                <w:color w:val="000000" w:themeColor="text1"/>
                <w:lang w:val="es-ES"/>
              </w:rPr>
            </w:pPr>
            <w:r w:rsidRPr="00B8693C">
              <w:rPr>
                <w:rFonts w:eastAsia="Times New Roman" w:cs="Times New Roman"/>
                <w:color w:val="000000" w:themeColor="text1"/>
                <w:lang w:val="es-ES"/>
              </w:rPr>
              <w:t>Nov-Dic</w:t>
            </w:r>
          </w:p>
        </w:tc>
      </w:tr>
    </w:tbl>
    <w:p w:rsidR="00B8270F" w:rsidRPr="00B8693C" w:rsidRDefault="00C707ED" w:rsidP="00C707ED">
      <w:pPr>
        <w:keepNext/>
        <w:keepLines/>
        <w:pBdr>
          <w:bottom w:val="single" w:sz="4" w:space="1" w:color="auto"/>
        </w:pBdr>
        <w:tabs>
          <w:tab w:val="left" w:pos="5245"/>
          <w:tab w:val="right" w:pos="9639"/>
        </w:tabs>
        <w:spacing w:before="240"/>
        <w:ind w:left="567" w:hanging="567"/>
        <w:rPr>
          <w:color w:val="000000" w:themeColor="text1"/>
          <w:lang w:val="es-ES"/>
        </w:rPr>
      </w:pPr>
      <w:r>
        <w:rPr>
          <w:b/>
          <w:bCs/>
          <w:color w:val="000000" w:themeColor="text1"/>
          <w:lang w:val="es-ES"/>
        </w:rPr>
        <w:t>12</w:t>
      </w:r>
      <w:r>
        <w:rPr>
          <w:b/>
          <w:bCs/>
          <w:color w:val="000000" w:themeColor="text1"/>
          <w:lang w:val="es-ES"/>
        </w:rPr>
        <w:tab/>
      </w:r>
      <w:r w:rsidR="00B8270F" w:rsidRPr="00B8693C">
        <w:rPr>
          <w:b/>
          <w:bCs/>
          <w:color w:val="000000" w:themeColor="text1"/>
          <w:lang w:val="es-ES"/>
        </w:rPr>
        <w:t>Igual representación de hombres y mujeres</w:t>
      </w:r>
      <w:r w:rsidR="00B8270F" w:rsidRPr="00B8693C">
        <w:rPr>
          <w:b/>
          <w:bCs/>
          <w:color w:val="000000" w:themeColor="text1"/>
          <w:lang w:val="es-ES"/>
        </w:rPr>
        <w:tab/>
        <w:t xml:space="preserve">Estado del SWAP en 2016: </w:t>
      </w:r>
      <w:r w:rsidR="00B8270F" w:rsidRPr="00B8693C">
        <w:rPr>
          <w:color w:val="000000" w:themeColor="text1"/>
          <w:lang w:val="es-ES"/>
        </w:rPr>
        <w:t xml:space="preserve">n/a; novedad de </w:t>
      </w:r>
      <w:r>
        <w:rPr>
          <w:color w:val="000000" w:themeColor="text1"/>
          <w:lang w:val="es-ES"/>
        </w:rPr>
        <w:tab/>
      </w:r>
      <w:r>
        <w:rPr>
          <w:color w:val="000000" w:themeColor="text1"/>
          <w:lang w:val="es-ES"/>
        </w:rPr>
        <w:tab/>
      </w:r>
      <w:r>
        <w:rPr>
          <w:color w:val="000000" w:themeColor="text1"/>
          <w:lang w:val="es-ES"/>
        </w:rPr>
        <w:tab/>
      </w:r>
      <w:r>
        <w:rPr>
          <w:color w:val="000000" w:themeColor="text1"/>
          <w:lang w:val="es-ES"/>
        </w:rPr>
        <w:tab/>
      </w:r>
      <w:r>
        <w:rPr>
          <w:color w:val="000000" w:themeColor="text1"/>
          <w:lang w:val="es-ES"/>
        </w:rPr>
        <w:tab/>
      </w:r>
      <w:r w:rsidR="00B8270F" w:rsidRPr="00B8693C">
        <w:rPr>
          <w:color w:val="000000" w:themeColor="text1"/>
          <w:lang w:val="es-ES"/>
        </w:rPr>
        <w:t>2017</w:t>
      </w:r>
    </w:p>
    <w:p w:rsidR="00B8270F" w:rsidRPr="00B8693C" w:rsidRDefault="00B8270F" w:rsidP="00C707ED">
      <w:pPr>
        <w:spacing w:after="120"/>
        <w:rPr>
          <w:lang w:val="es-ES"/>
        </w:rPr>
      </w:pPr>
      <w:r w:rsidRPr="00B8693C">
        <w:rPr>
          <w:lang w:val="es-ES"/>
        </w:rPr>
        <w:t>Para satisfacer los indicadores de rendimiento del ONU-SWAP, la UIT tendría que esforzarse por conseguir la igualdad en la representación de las mujeres a todos los niveles.</w:t>
      </w:r>
    </w:p>
    <w:tbl>
      <w:tblPr>
        <w:tblStyle w:val="TableGrid"/>
        <w:tblW w:w="5000" w:type="pct"/>
        <w:tblLook w:val="04A0" w:firstRow="1" w:lastRow="0" w:firstColumn="1" w:lastColumn="0" w:noHBand="0" w:noVBand="1"/>
      </w:tblPr>
      <w:tblGrid>
        <w:gridCol w:w="6644"/>
        <w:gridCol w:w="1899"/>
        <w:gridCol w:w="1086"/>
      </w:tblGrid>
      <w:tr w:rsidR="00B8270F" w:rsidRPr="00B8693C" w:rsidTr="00AE5CC0">
        <w:tc>
          <w:tcPr>
            <w:tcW w:w="3462" w:type="pct"/>
          </w:tcPr>
          <w:p w:rsidR="00B8270F" w:rsidRPr="00B8693C" w:rsidRDefault="00B8270F" w:rsidP="00AE5CC0">
            <w:pPr>
              <w:keepNext/>
              <w:keepLines/>
              <w:jc w:val="both"/>
              <w:rPr>
                <w:color w:val="000000" w:themeColor="text1"/>
                <w:lang w:val="es-ES"/>
              </w:rPr>
            </w:pPr>
            <w:r w:rsidRPr="00B8693C">
              <w:rPr>
                <w:color w:val="000000" w:themeColor="text1"/>
                <w:u w:val="single"/>
                <w:lang w:val="es-ES"/>
              </w:rPr>
              <w:t>Productos</w:t>
            </w:r>
          </w:p>
        </w:tc>
        <w:tc>
          <w:tcPr>
            <w:tcW w:w="962" w:type="pct"/>
          </w:tcPr>
          <w:p w:rsidR="00B8270F" w:rsidRPr="00B8693C" w:rsidRDefault="00B8270F" w:rsidP="00AE5CC0">
            <w:pPr>
              <w:keepNext/>
              <w:keepLines/>
              <w:jc w:val="both"/>
              <w:rPr>
                <w:color w:val="000000" w:themeColor="text1"/>
                <w:lang w:val="es-ES"/>
              </w:rPr>
            </w:pPr>
            <w:r w:rsidRPr="00B8693C">
              <w:rPr>
                <w:color w:val="000000" w:themeColor="text1"/>
                <w:u w:val="single"/>
                <w:lang w:val="es-ES"/>
              </w:rPr>
              <w:t>Titular/Implicado</w:t>
            </w:r>
          </w:p>
        </w:tc>
        <w:tc>
          <w:tcPr>
            <w:tcW w:w="576" w:type="pct"/>
          </w:tcPr>
          <w:p w:rsidR="00B8270F" w:rsidRPr="00B8693C" w:rsidRDefault="00B8270F" w:rsidP="00AE5CC0">
            <w:pPr>
              <w:keepNext/>
              <w:keepLines/>
              <w:jc w:val="center"/>
              <w:rPr>
                <w:color w:val="000000" w:themeColor="text1"/>
                <w:lang w:val="es-ES"/>
              </w:rPr>
            </w:pPr>
            <w:r w:rsidRPr="00B8693C">
              <w:rPr>
                <w:color w:val="000000" w:themeColor="text1"/>
                <w:u w:val="single"/>
                <w:lang w:val="es-ES"/>
              </w:rPr>
              <w:t>Plazo</w:t>
            </w:r>
          </w:p>
        </w:tc>
      </w:tr>
      <w:tr w:rsidR="00B8270F" w:rsidRPr="00B8693C" w:rsidTr="00AE5CC0">
        <w:tc>
          <w:tcPr>
            <w:tcW w:w="3462" w:type="pct"/>
          </w:tcPr>
          <w:p w:rsidR="00B8270F" w:rsidRPr="00B8693C" w:rsidRDefault="00B8270F" w:rsidP="00C707ED">
            <w:pPr>
              <w:keepNext/>
              <w:keepLines/>
              <w:ind w:left="567" w:hanging="567"/>
              <w:rPr>
                <w:color w:val="000000" w:themeColor="text1"/>
                <w:lang w:val="es-ES"/>
              </w:rPr>
            </w:pPr>
            <w:r w:rsidRPr="00B8693C">
              <w:rPr>
                <w:rFonts w:eastAsia="Times New Roman" w:cs="Times New Roman"/>
                <w:color w:val="000000" w:themeColor="text1"/>
                <w:lang w:val="es-ES"/>
              </w:rPr>
              <w:t>12.1</w:t>
            </w:r>
            <w:r w:rsidR="00C707ED">
              <w:rPr>
                <w:rFonts w:eastAsia="Times New Roman" w:cs="Times New Roman"/>
                <w:color w:val="000000" w:themeColor="text1"/>
                <w:lang w:val="es-ES"/>
              </w:rPr>
              <w:tab/>
            </w:r>
            <w:r w:rsidRPr="00B8693C">
              <w:rPr>
                <w:rFonts w:eastAsia="Times New Roman" w:cs="Times New Roman"/>
                <w:color w:val="000000" w:themeColor="text1"/>
                <w:lang w:val="es-ES"/>
              </w:rPr>
              <w:t>Informe al Consejo (Res.48) sobre los esfuerzos encaminados a conseguir la paridad</w:t>
            </w:r>
          </w:p>
        </w:tc>
        <w:tc>
          <w:tcPr>
            <w:tcW w:w="962" w:type="pct"/>
          </w:tcPr>
          <w:p w:rsidR="00B8270F" w:rsidRPr="00B8693C" w:rsidRDefault="00B8270F" w:rsidP="00AE5CC0">
            <w:pPr>
              <w:keepNext/>
              <w:keepLines/>
              <w:jc w:val="center"/>
              <w:rPr>
                <w:color w:val="000000" w:themeColor="text1"/>
                <w:lang w:val="es-ES"/>
              </w:rPr>
            </w:pPr>
            <w:r w:rsidRPr="00B8693C">
              <w:rPr>
                <w:rFonts w:eastAsia="Times New Roman" w:cs="Times New Roman"/>
                <w:color w:val="000000" w:themeColor="text1"/>
                <w:lang w:val="es-ES"/>
              </w:rPr>
              <w:t>HRMD</w:t>
            </w:r>
          </w:p>
        </w:tc>
        <w:tc>
          <w:tcPr>
            <w:tcW w:w="576" w:type="pct"/>
          </w:tcPr>
          <w:p w:rsidR="00B8270F" w:rsidRPr="00B8693C" w:rsidRDefault="00B8270F" w:rsidP="00AE5CC0">
            <w:pPr>
              <w:keepNext/>
              <w:keepLines/>
              <w:jc w:val="center"/>
              <w:rPr>
                <w:color w:val="000000" w:themeColor="text1"/>
                <w:lang w:val="es-ES"/>
              </w:rPr>
            </w:pPr>
            <w:r w:rsidRPr="00B8693C">
              <w:rPr>
                <w:rFonts w:eastAsia="Times New Roman" w:cs="Times New Roman"/>
                <w:color w:val="000000" w:themeColor="text1"/>
                <w:lang w:val="es-ES"/>
              </w:rPr>
              <w:t>Mayo</w:t>
            </w:r>
          </w:p>
        </w:tc>
      </w:tr>
    </w:tbl>
    <w:p w:rsidR="00B8270F" w:rsidRPr="00B8693C" w:rsidRDefault="00C707ED" w:rsidP="00B8693C">
      <w:pPr>
        <w:keepNext/>
        <w:keepLines/>
        <w:pBdr>
          <w:bottom w:val="single" w:sz="4" w:space="1" w:color="auto"/>
        </w:pBdr>
        <w:tabs>
          <w:tab w:val="right" w:pos="9639"/>
        </w:tabs>
        <w:spacing w:before="240"/>
        <w:rPr>
          <w:color w:val="000000" w:themeColor="text1"/>
          <w:lang w:val="es-ES"/>
        </w:rPr>
      </w:pPr>
      <w:r>
        <w:rPr>
          <w:b/>
          <w:bCs/>
          <w:color w:val="000000" w:themeColor="text1"/>
          <w:lang w:val="es-ES"/>
        </w:rPr>
        <w:t>13</w:t>
      </w:r>
      <w:r>
        <w:rPr>
          <w:b/>
          <w:bCs/>
          <w:color w:val="000000" w:themeColor="text1"/>
          <w:lang w:val="es-ES"/>
        </w:rPr>
        <w:tab/>
      </w:r>
      <w:r w:rsidR="00B8270F" w:rsidRPr="00B8693C">
        <w:rPr>
          <w:b/>
          <w:bCs/>
          <w:color w:val="000000" w:themeColor="text1"/>
          <w:lang w:val="es-ES"/>
        </w:rPr>
        <w:t>Cultura institucional</w:t>
      </w:r>
      <w:r w:rsidR="00B8270F" w:rsidRPr="00B8693C">
        <w:rPr>
          <w:b/>
          <w:bCs/>
          <w:color w:val="000000" w:themeColor="text1"/>
          <w:lang w:val="es-ES"/>
        </w:rPr>
        <w:tab/>
      </w:r>
      <w:r>
        <w:rPr>
          <w:b/>
          <w:bCs/>
          <w:color w:val="000000" w:themeColor="text1"/>
          <w:lang w:val="es-ES"/>
        </w:rPr>
        <w:tab/>
      </w:r>
      <w:r w:rsidR="00B8270F" w:rsidRPr="00B8693C">
        <w:rPr>
          <w:b/>
          <w:bCs/>
          <w:color w:val="000000" w:themeColor="text1"/>
          <w:lang w:val="es-ES"/>
        </w:rPr>
        <w:t xml:space="preserve">Estado del SWAP en 2016: </w:t>
      </w:r>
      <w:r w:rsidR="00B8270F" w:rsidRPr="00B8693C">
        <w:rPr>
          <w:color w:val="000000" w:themeColor="text1"/>
          <w:lang w:val="es-ES"/>
        </w:rPr>
        <w:t>casi cumple los requisitos</w:t>
      </w:r>
    </w:p>
    <w:p w:rsidR="00B8270F" w:rsidRPr="00B8693C" w:rsidRDefault="00B8270F" w:rsidP="00E30C43">
      <w:pPr>
        <w:spacing w:after="120"/>
        <w:rPr>
          <w:lang w:val="es-ES"/>
        </w:rPr>
      </w:pPr>
      <w:r w:rsidRPr="00B8693C">
        <w:rPr>
          <w:lang w:val="es-ES"/>
        </w:rPr>
        <w:t>Para satisfacer los indicadores de rendimiento del ONU-SWAP, la UIT tendría que demostrar que está llevando a cabo lo siguiente: (1) Que se hacen cumplir las normas y reglamentos de las Naciones Unidas en materia de Ética, impartiéndose una formación en esta materia de carácter obligatorio y aplicándose el principio de tolerancia cero para las conductas contrarias a la ética; (2)</w:t>
      </w:r>
      <w:r w:rsidR="00E30C43">
        <w:rPr>
          <w:lang w:val="es-ES"/>
        </w:rPr>
        <w:t> </w:t>
      </w:r>
      <w:r w:rsidRPr="00B8693C">
        <w:rPr>
          <w:lang w:val="es-ES"/>
        </w:rPr>
        <w:t>Que se aplican las políticas de prevención de la discriminación y el acoso, así como medidas especiales para evitar la explotación sexual y el abuso sexual, existe una oficina de ética, se persigue el abuso de autoridad, se fomenta la administración de justicia, la resolución de conflictos y la protección contra las represalias; (3) Aplicar, fomentar e informar acerca de las políticas de maternidad, paternidad, adopción, licencias por emergencia familiar, y puericultura; (4) Aplicar, fomentar y evaluar las políticas relativas al equilibrio entre el trabajo y la vida personal, el escalonamiento de los horarios de trabajo, el apoyo financiero a los padres que viajan con niños, y la jubilación por fases, (5) Fomentar las normas y reglamentos de las Naciones Unidas en vigor en materia de equilibrio del trabajo y la vida personal que permitan controlar el estado de su aplicación y su accesibilidad por géneros y categorías; (6) Fomento activo de reuniones periódicas del personal en las dependencias, planificadas durante las horas de trabajo centrales, y del personal que trabaja a tiempo parcial durante los días laborables, con teleconferencia u otros medios de TI; (7) Encuestas periódicas de alcance mundial y</w:t>
      </w:r>
      <w:r w:rsidR="00B8693C" w:rsidRPr="00B8693C">
        <w:rPr>
          <w:lang w:val="es-ES"/>
        </w:rPr>
        <w:t xml:space="preserve"> </w:t>
      </w:r>
      <w:r w:rsidRPr="00B8693C">
        <w:rPr>
          <w:lang w:val="es-ES"/>
        </w:rPr>
        <w:t xml:space="preserve">entrevistas de fin de servicio a fin de recabar y analizar datos pertinentes para la evaluación del aspecto cualitativo de la cultura interinstitucional y arrojar luz sobre problemas que incidan en la contratación, retención y experiencia del personal. </w:t>
      </w:r>
    </w:p>
    <w:tbl>
      <w:tblPr>
        <w:tblStyle w:val="TableGrid"/>
        <w:tblW w:w="5000" w:type="pct"/>
        <w:tblLook w:val="04A0" w:firstRow="1" w:lastRow="0" w:firstColumn="1" w:lastColumn="0" w:noHBand="0" w:noVBand="1"/>
      </w:tblPr>
      <w:tblGrid>
        <w:gridCol w:w="6514"/>
        <w:gridCol w:w="1899"/>
        <w:gridCol w:w="1216"/>
      </w:tblGrid>
      <w:tr w:rsidR="00B8270F" w:rsidRPr="00B8693C" w:rsidTr="00AE5CC0">
        <w:tc>
          <w:tcPr>
            <w:tcW w:w="3461" w:type="pct"/>
          </w:tcPr>
          <w:p w:rsidR="00B8270F" w:rsidRPr="00B8693C" w:rsidRDefault="00B8270F" w:rsidP="00AE5CC0">
            <w:pPr>
              <w:keepNext/>
              <w:keepLines/>
              <w:jc w:val="both"/>
              <w:rPr>
                <w:color w:val="000000" w:themeColor="text1"/>
                <w:lang w:val="es-ES"/>
              </w:rPr>
            </w:pPr>
            <w:r w:rsidRPr="00B8693C">
              <w:rPr>
                <w:color w:val="000000" w:themeColor="text1"/>
                <w:u w:val="single"/>
                <w:lang w:val="es-ES"/>
              </w:rPr>
              <w:lastRenderedPageBreak/>
              <w:t>Productos</w:t>
            </w:r>
          </w:p>
        </w:tc>
        <w:tc>
          <w:tcPr>
            <w:tcW w:w="962" w:type="pct"/>
          </w:tcPr>
          <w:p w:rsidR="00B8270F" w:rsidRPr="00B8693C" w:rsidRDefault="00B8270F" w:rsidP="00AE5CC0">
            <w:pPr>
              <w:keepNext/>
              <w:keepLines/>
              <w:jc w:val="center"/>
              <w:rPr>
                <w:color w:val="000000" w:themeColor="text1"/>
                <w:lang w:val="es-ES"/>
              </w:rPr>
            </w:pPr>
            <w:r w:rsidRPr="00B8693C">
              <w:rPr>
                <w:color w:val="000000" w:themeColor="text1"/>
                <w:u w:val="single"/>
                <w:lang w:val="es-ES"/>
              </w:rPr>
              <w:t>Titular/Implicado</w:t>
            </w:r>
          </w:p>
        </w:tc>
        <w:tc>
          <w:tcPr>
            <w:tcW w:w="576" w:type="pct"/>
          </w:tcPr>
          <w:p w:rsidR="00B8270F" w:rsidRPr="00B8693C" w:rsidRDefault="00B8270F" w:rsidP="00AE5CC0">
            <w:pPr>
              <w:keepNext/>
              <w:keepLines/>
              <w:jc w:val="center"/>
              <w:rPr>
                <w:color w:val="000000" w:themeColor="text1"/>
                <w:lang w:val="es-ES"/>
              </w:rPr>
            </w:pPr>
            <w:r w:rsidRPr="00B8693C">
              <w:rPr>
                <w:color w:val="000000" w:themeColor="text1"/>
                <w:u w:val="single"/>
                <w:lang w:val="es-ES"/>
              </w:rPr>
              <w:t>Plazo</w:t>
            </w:r>
          </w:p>
        </w:tc>
      </w:tr>
      <w:tr w:rsidR="00B8270F" w:rsidRPr="00B8693C" w:rsidTr="00AE5CC0">
        <w:tc>
          <w:tcPr>
            <w:tcW w:w="3461" w:type="pct"/>
          </w:tcPr>
          <w:p w:rsidR="00B8270F" w:rsidRPr="00B8693C" w:rsidRDefault="00B8270F" w:rsidP="00C707ED">
            <w:pPr>
              <w:keepNext/>
              <w:keepLines/>
              <w:ind w:left="567" w:hanging="567"/>
              <w:rPr>
                <w:color w:val="000000" w:themeColor="text1"/>
                <w:lang w:val="es-ES"/>
              </w:rPr>
            </w:pPr>
            <w:r w:rsidRPr="00B8693C">
              <w:rPr>
                <w:rFonts w:eastAsia="Times New Roman" w:cs="Times New Roman"/>
                <w:color w:val="000000" w:themeColor="text1"/>
                <w:lang w:val="es-ES"/>
              </w:rPr>
              <w:t>13.1</w:t>
            </w:r>
            <w:r w:rsidR="00C707ED">
              <w:rPr>
                <w:rFonts w:eastAsia="Times New Roman" w:cs="Times New Roman"/>
                <w:color w:val="000000" w:themeColor="text1"/>
                <w:lang w:val="es-ES"/>
              </w:rPr>
              <w:tab/>
            </w:r>
            <w:r w:rsidRPr="00B8693C">
              <w:rPr>
                <w:rFonts w:eastAsia="Times New Roman" w:cs="Times New Roman"/>
                <w:color w:val="000000" w:themeColor="text1"/>
                <w:lang w:val="es-ES"/>
              </w:rPr>
              <w:t>Examen y plan de trabajo para impartir formación sobre ética</w:t>
            </w:r>
          </w:p>
        </w:tc>
        <w:tc>
          <w:tcPr>
            <w:tcW w:w="962" w:type="pct"/>
          </w:tcPr>
          <w:p w:rsidR="00B8270F" w:rsidRPr="00B8693C" w:rsidRDefault="00B8270F" w:rsidP="00AE5CC0">
            <w:pPr>
              <w:keepNext/>
              <w:keepLines/>
              <w:jc w:val="center"/>
              <w:rPr>
                <w:color w:val="000000" w:themeColor="text1"/>
                <w:lang w:val="es-ES"/>
              </w:rPr>
            </w:pPr>
            <w:r w:rsidRPr="00B8693C">
              <w:rPr>
                <w:rFonts w:eastAsia="Times New Roman" w:cs="Times New Roman"/>
                <w:color w:val="000000" w:themeColor="text1"/>
                <w:lang w:val="es-ES"/>
              </w:rPr>
              <w:t>Ética/HRMD</w:t>
            </w:r>
          </w:p>
        </w:tc>
        <w:tc>
          <w:tcPr>
            <w:tcW w:w="576" w:type="pct"/>
          </w:tcPr>
          <w:p w:rsidR="00B8270F" w:rsidRPr="00B8693C" w:rsidRDefault="00B8270F" w:rsidP="00AE5CC0">
            <w:pPr>
              <w:keepNext/>
              <w:keepLines/>
              <w:jc w:val="center"/>
              <w:rPr>
                <w:color w:val="000000" w:themeColor="text1"/>
                <w:lang w:val="es-ES"/>
              </w:rPr>
            </w:pPr>
            <w:r w:rsidRPr="00B8693C">
              <w:rPr>
                <w:rFonts w:eastAsia="Times New Roman" w:cs="Times New Roman"/>
                <w:color w:val="000000" w:themeColor="text1"/>
                <w:lang w:val="es-ES"/>
              </w:rPr>
              <w:t>Diciembre</w:t>
            </w:r>
          </w:p>
        </w:tc>
      </w:tr>
      <w:tr w:rsidR="00B8270F" w:rsidRPr="00B8693C" w:rsidTr="00AE5CC0">
        <w:tc>
          <w:tcPr>
            <w:tcW w:w="3461" w:type="pct"/>
          </w:tcPr>
          <w:p w:rsidR="00B8270F" w:rsidRPr="00B8693C" w:rsidRDefault="00B8270F" w:rsidP="00C707ED">
            <w:pPr>
              <w:keepNext/>
              <w:keepLines/>
              <w:ind w:left="567" w:hanging="567"/>
              <w:rPr>
                <w:color w:val="000000" w:themeColor="text1"/>
                <w:lang w:val="es-ES"/>
              </w:rPr>
            </w:pPr>
            <w:r w:rsidRPr="00B8693C">
              <w:rPr>
                <w:rFonts w:eastAsia="Times New Roman" w:cs="Times New Roman"/>
                <w:color w:val="000000" w:themeColor="text1"/>
                <w:lang w:val="es-ES"/>
              </w:rPr>
              <w:t>13.2</w:t>
            </w:r>
            <w:r w:rsidR="00C707ED">
              <w:rPr>
                <w:rFonts w:eastAsia="Times New Roman" w:cs="Times New Roman"/>
                <w:color w:val="000000" w:themeColor="text1"/>
                <w:lang w:val="es-ES"/>
              </w:rPr>
              <w:tab/>
            </w:r>
            <w:r w:rsidRPr="00B8693C">
              <w:rPr>
                <w:rFonts w:eastAsia="Times New Roman" w:cs="Times New Roman"/>
                <w:color w:val="000000" w:themeColor="text1"/>
                <w:lang w:val="es-ES"/>
              </w:rPr>
              <w:t>Examen de las perspectivas de género de las políticas de conciliación de la vida laboral y personal</w:t>
            </w:r>
          </w:p>
        </w:tc>
        <w:tc>
          <w:tcPr>
            <w:tcW w:w="962" w:type="pct"/>
          </w:tcPr>
          <w:p w:rsidR="00B8270F" w:rsidRPr="00B8693C" w:rsidRDefault="00B8270F" w:rsidP="00AE5CC0">
            <w:pPr>
              <w:keepNext/>
              <w:keepLines/>
              <w:jc w:val="center"/>
              <w:rPr>
                <w:color w:val="000000" w:themeColor="text1"/>
                <w:lang w:val="es-ES"/>
              </w:rPr>
            </w:pPr>
            <w:r w:rsidRPr="00B8693C">
              <w:rPr>
                <w:rFonts w:eastAsia="Times New Roman" w:cs="Times New Roman"/>
                <w:color w:val="000000" w:themeColor="text1"/>
                <w:lang w:val="es-ES"/>
              </w:rPr>
              <w:t>Consejo del Personal/GTF</w:t>
            </w:r>
          </w:p>
        </w:tc>
        <w:tc>
          <w:tcPr>
            <w:tcW w:w="576" w:type="pct"/>
          </w:tcPr>
          <w:p w:rsidR="00B8270F" w:rsidRPr="00B8693C" w:rsidRDefault="00B8270F" w:rsidP="00AE5CC0">
            <w:pPr>
              <w:keepNext/>
              <w:keepLines/>
              <w:jc w:val="center"/>
              <w:rPr>
                <w:color w:val="000000" w:themeColor="text1"/>
                <w:lang w:val="es-ES"/>
              </w:rPr>
            </w:pPr>
            <w:r w:rsidRPr="00B8693C">
              <w:rPr>
                <w:rFonts w:eastAsia="Times New Roman" w:cs="Times New Roman"/>
                <w:color w:val="000000" w:themeColor="text1"/>
                <w:lang w:val="es-ES"/>
              </w:rPr>
              <w:t>Jun-</w:t>
            </w:r>
            <w:proofErr w:type="spellStart"/>
            <w:r w:rsidRPr="00B8693C">
              <w:rPr>
                <w:rFonts w:eastAsia="Times New Roman" w:cs="Times New Roman"/>
                <w:color w:val="000000" w:themeColor="text1"/>
                <w:lang w:val="es-ES"/>
              </w:rPr>
              <w:t>Ago</w:t>
            </w:r>
            <w:proofErr w:type="spellEnd"/>
          </w:p>
        </w:tc>
      </w:tr>
      <w:tr w:rsidR="00B8270F" w:rsidRPr="00B8693C" w:rsidTr="00AE5CC0">
        <w:tc>
          <w:tcPr>
            <w:tcW w:w="3461" w:type="pct"/>
          </w:tcPr>
          <w:p w:rsidR="00B8270F" w:rsidRPr="00B8693C" w:rsidRDefault="00B8270F" w:rsidP="00C707ED">
            <w:pPr>
              <w:keepNext/>
              <w:keepLines/>
              <w:ind w:left="567" w:hanging="567"/>
              <w:rPr>
                <w:rFonts w:eastAsia="Times New Roman" w:cs="Times New Roman"/>
                <w:color w:val="000000" w:themeColor="text1"/>
                <w:lang w:val="es-ES"/>
              </w:rPr>
            </w:pPr>
            <w:r w:rsidRPr="00B8693C">
              <w:rPr>
                <w:rFonts w:eastAsia="Times New Roman" w:cs="Times New Roman"/>
                <w:color w:val="000000" w:themeColor="text1"/>
                <w:lang w:val="es-ES"/>
              </w:rPr>
              <w:t>13.3</w:t>
            </w:r>
            <w:r w:rsidR="00C707ED">
              <w:rPr>
                <w:rFonts w:eastAsia="Times New Roman" w:cs="Times New Roman"/>
                <w:color w:val="000000" w:themeColor="text1"/>
                <w:lang w:val="es-ES"/>
              </w:rPr>
              <w:tab/>
            </w:r>
            <w:r w:rsidRPr="00B8693C">
              <w:rPr>
                <w:rFonts w:eastAsia="Times New Roman" w:cs="Times New Roman"/>
                <w:color w:val="000000" w:themeColor="text1"/>
                <w:lang w:val="es-ES"/>
              </w:rPr>
              <w:t>Controlar el estado de aplicación de la política de conciliación de la vida laboral y personal por género y categoría</w:t>
            </w:r>
          </w:p>
        </w:tc>
        <w:tc>
          <w:tcPr>
            <w:tcW w:w="962" w:type="pct"/>
          </w:tcPr>
          <w:p w:rsidR="00B8270F" w:rsidRPr="00B8693C" w:rsidRDefault="00B8270F" w:rsidP="00AE5CC0">
            <w:pPr>
              <w:keepNext/>
              <w:keepLines/>
              <w:jc w:val="center"/>
              <w:rPr>
                <w:color w:val="000000" w:themeColor="text1"/>
                <w:lang w:val="es-ES"/>
              </w:rPr>
            </w:pPr>
            <w:r w:rsidRPr="00B8693C">
              <w:rPr>
                <w:rFonts w:eastAsia="Times New Roman" w:cs="Times New Roman"/>
                <w:color w:val="000000" w:themeColor="text1"/>
                <w:lang w:val="es-ES"/>
              </w:rPr>
              <w:t>HRMD</w:t>
            </w:r>
          </w:p>
        </w:tc>
        <w:tc>
          <w:tcPr>
            <w:tcW w:w="576" w:type="pct"/>
          </w:tcPr>
          <w:p w:rsidR="00B8270F" w:rsidRPr="00B8693C" w:rsidRDefault="00B8270F" w:rsidP="00AE5CC0">
            <w:pPr>
              <w:keepNext/>
              <w:keepLines/>
              <w:jc w:val="center"/>
              <w:rPr>
                <w:color w:val="000000" w:themeColor="text1"/>
                <w:lang w:val="es-ES"/>
              </w:rPr>
            </w:pPr>
            <w:r w:rsidRPr="00B8693C">
              <w:rPr>
                <w:rFonts w:eastAsia="Times New Roman" w:cs="Times New Roman"/>
                <w:color w:val="000000" w:themeColor="text1"/>
                <w:lang w:val="es-ES"/>
              </w:rPr>
              <w:t>En curso</w:t>
            </w:r>
          </w:p>
        </w:tc>
      </w:tr>
      <w:tr w:rsidR="00B8270F" w:rsidRPr="00B8693C" w:rsidTr="00AE5CC0">
        <w:tc>
          <w:tcPr>
            <w:tcW w:w="3461" w:type="pct"/>
          </w:tcPr>
          <w:p w:rsidR="00B8270F" w:rsidRPr="00B8693C" w:rsidRDefault="00B8270F" w:rsidP="00C707ED">
            <w:pPr>
              <w:keepNext/>
              <w:keepLines/>
              <w:ind w:left="567" w:hanging="567"/>
              <w:rPr>
                <w:rFonts w:eastAsia="Times New Roman" w:cs="Times New Roman"/>
                <w:color w:val="000000" w:themeColor="text1"/>
                <w:lang w:val="es-ES"/>
              </w:rPr>
            </w:pPr>
            <w:r w:rsidRPr="00B8693C">
              <w:rPr>
                <w:rFonts w:eastAsia="Times New Roman" w:cs="Times New Roman"/>
                <w:color w:val="000000" w:themeColor="text1"/>
                <w:lang w:val="es-ES"/>
              </w:rPr>
              <w:t>13.4</w:t>
            </w:r>
            <w:r w:rsidR="00C707ED">
              <w:rPr>
                <w:rFonts w:eastAsia="Times New Roman" w:cs="Times New Roman"/>
                <w:color w:val="000000" w:themeColor="text1"/>
                <w:lang w:val="es-ES"/>
              </w:rPr>
              <w:tab/>
            </w:r>
            <w:r w:rsidRPr="00B8693C">
              <w:rPr>
                <w:rFonts w:eastAsia="Times New Roman" w:cs="Times New Roman"/>
                <w:color w:val="000000" w:themeColor="text1"/>
                <w:lang w:val="es-ES"/>
              </w:rPr>
              <w:t>Mecanismo de supervisión (por ejemplo, encuesta anual, encuesta de fin de servicio o entrevista)</w:t>
            </w:r>
          </w:p>
        </w:tc>
        <w:tc>
          <w:tcPr>
            <w:tcW w:w="962" w:type="pct"/>
          </w:tcPr>
          <w:p w:rsidR="00B8270F" w:rsidRPr="00B8693C" w:rsidRDefault="00B8270F" w:rsidP="00AE5CC0">
            <w:pPr>
              <w:keepNext/>
              <w:keepLines/>
              <w:jc w:val="center"/>
              <w:rPr>
                <w:rFonts w:eastAsia="Times New Roman" w:cs="Times New Roman"/>
                <w:color w:val="000000" w:themeColor="text1"/>
                <w:lang w:val="es-ES"/>
              </w:rPr>
            </w:pPr>
            <w:r w:rsidRPr="00B8693C">
              <w:rPr>
                <w:rFonts w:eastAsia="Times New Roman" w:cs="Times New Roman"/>
                <w:color w:val="000000" w:themeColor="text1"/>
                <w:lang w:val="es-ES"/>
              </w:rPr>
              <w:t>HRMD</w:t>
            </w:r>
          </w:p>
        </w:tc>
        <w:tc>
          <w:tcPr>
            <w:tcW w:w="576" w:type="pct"/>
          </w:tcPr>
          <w:p w:rsidR="00B8270F" w:rsidRPr="00B8693C" w:rsidRDefault="00B8270F" w:rsidP="00AE5CC0">
            <w:pPr>
              <w:keepNext/>
              <w:keepLines/>
              <w:jc w:val="center"/>
              <w:rPr>
                <w:rFonts w:eastAsia="Times New Roman" w:cs="Times New Roman"/>
                <w:color w:val="000000" w:themeColor="text1"/>
                <w:lang w:val="es-ES"/>
              </w:rPr>
            </w:pPr>
            <w:r w:rsidRPr="00B8693C">
              <w:rPr>
                <w:rFonts w:eastAsia="Times New Roman" w:cs="Times New Roman"/>
                <w:color w:val="000000" w:themeColor="text1"/>
                <w:lang w:val="es-ES"/>
              </w:rPr>
              <w:t>Abr-</w:t>
            </w:r>
            <w:proofErr w:type="spellStart"/>
            <w:r w:rsidRPr="00B8693C">
              <w:rPr>
                <w:rFonts w:eastAsia="Times New Roman" w:cs="Times New Roman"/>
                <w:color w:val="000000" w:themeColor="text1"/>
                <w:lang w:val="es-ES"/>
              </w:rPr>
              <w:t>Sep</w:t>
            </w:r>
            <w:proofErr w:type="spellEnd"/>
          </w:p>
        </w:tc>
      </w:tr>
      <w:tr w:rsidR="00B8270F" w:rsidRPr="00B8693C" w:rsidTr="00AE5CC0">
        <w:tc>
          <w:tcPr>
            <w:tcW w:w="3461" w:type="pct"/>
          </w:tcPr>
          <w:p w:rsidR="00B8270F" w:rsidRPr="00B8693C" w:rsidRDefault="00B8270F" w:rsidP="00C707ED">
            <w:pPr>
              <w:keepNext/>
              <w:keepLines/>
              <w:ind w:left="567" w:hanging="567"/>
              <w:rPr>
                <w:rFonts w:eastAsia="Times New Roman" w:cs="Times New Roman"/>
                <w:color w:val="000000" w:themeColor="text1"/>
                <w:lang w:val="es-ES"/>
              </w:rPr>
            </w:pPr>
            <w:r w:rsidRPr="00B8693C">
              <w:rPr>
                <w:rFonts w:eastAsia="Times New Roman" w:cs="Times New Roman"/>
                <w:color w:val="000000" w:themeColor="text1"/>
                <w:lang w:val="es-ES"/>
              </w:rPr>
              <w:t>13.5</w:t>
            </w:r>
            <w:r w:rsidR="00C707ED">
              <w:rPr>
                <w:rFonts w:eastAsia="Times New Roman" w:cs="Times New Roman"/>
                <w:color w:val="000000" w:themeColor="text1"/>
                <w:lang w:val="es-ES"/>
              </w:rPr>
              <w:tab/>
            </w:r>
            <w:r w:rsidRPr="00B8693C">
              <w:rPr>
                <w:rFonts w:eastAsia="Times New Roman" w:cs="Times New Roman"/>
                <w:color w:val="000000" w:themeColor="text1"/>
                <w:lang w:val="es-ES"/>
              </w:rPr>
              <w:t>Proceso y documentos de contratación de personal (incluidas, por ejemplo, las competencias)</w:t>
            </w:r>
          </w:p>
        </w:tc>
        <w:tc>
          <w:tcPr>
            <w:tcW w:w="962" w:type="pct"/>
          </w:tcPr>
          <w:p w:rsidR="00B8270F" w:rsidRPr="00B8693C" w:rsidRDefault="00B8270F" w:rsidP="00AE5CC0">
            <w:pPr>
              <w:keepNext/>
              <w:keepLines/>
              <w:jc w:val="center"/>
              <w:rPr>
                <w:rFonts w:eastAsia="Times New Roman" w:cs="Times New Roman"/>
                <w:color w:val="000000" w:themeColor="text1"/>
                <w:lang w:val="es-ES"/>
              </w:rPr>
            </w:pPr>
            <w:r w:rsidRPr="00B8693C">
              <w:rPr>
                <w:rFonts w:eastAsia="Times New Roman" w:cs="Times New Roman"/>
                <w:color w:val="000000" w:themeColor="text1"/>
                <w:lang w:val="es-ES"/>
              </w:rPr>
              <w:t>HRMD/GTF</w:t>
            </w:r>
          </w:p>
        </w:tc>
        <w:tc>
          <w:tcPr>
            <w:tcW w:w="576" w:type="pct"/>
          </w:tcPr>
          <w:p w:rsidR="00B8270F" w:rsidRPr="00B8693C" w:rsidRDefault="00B8270F" w:rsidP="00AE5CC0">
            <w:pPr>
              <w:keepNext/>
              <w:keepLines/>
              <w:jc w:val="center"/>
              <w:rPr>
                <w:rFonts w:eastAsia="Times New Roman" w:cs="Times New Roman"/>
                <w:color w:val="000000" w:themeColor="text1"/>
                <w:lang w:val="es-ES"/>
              </w:rPr>
            </w:pPr>
            <w:proofErr w:type="spellStart"/>
            <w:r w:rsidRPr="00B8693C">
              <w:rPr>
                <w:rFonts w:eastAsia="Times New Roman" w:cs="Times New Roman"/>
                <w:color w:val="000000" w:themeColor="text1"/>
                <w:lang w:val="es-ES"/>
              </w:rPr>
              <w:t>Sep</w:t>
            </w:r>
            <w:proofErr w:type="spellEnd"/>
            <w:r w:rsidRPr="00B8693C">
              <w:rPr>
                <w:rFonts w:eastAsia="Times New Roman" w:cs="Times New Roman"/>
                <w:color w:val="000000" w:themeColor="text1"/>
                <w:lang w:val="es-ES"/>
              </w:rPr>
              <w:t>-Dic</w:t>
            </w:r>
          </w:p>
        </w:tc>
      </w:tr>
      <w:tr w:rsidR="00B8270F" w:rsidRPr="00B8693C" w:rsidTr="00AE5CC0">
        <w:tc>
          <w:tcPr>
            <w:tcW w:w="3461" w:type="pct"/>
          </w:tcPr>
          <w:p w:rsidR="00B8270F" w:rsidRPr="00B8693C" w:rsidRDefault="00B8270F" w:rsidP="00C707ED">
            <w:pPr>
              <w:keepNext/>
              <w:keepLines/>
              <w:ind w:left="567" w:hanging="567"/>
              <w:rPr>
                <w:rFonts w:eastAsia="Times New Roman" w:cs="Times New Roman"/>
                <w:color w:val="000000" w:themeColor="text1"/>
                <w:lang w:val="es-ES"/>
              </w:rPr>
            </w:pPr>
            <w:r w:rsidRPr="00B8693C">
              <w:rPr>
                <w:rFonts w:eastAsia="Times New Roman" w:cs="Times New Roman"/>
                <w:color w:val="000000" w:themeColor="text1"/>
                <w:lang w:val="es-ES"/>
              </w:rPr>
              <w:t>13.6</w:t>
            </w:r>
            <w:r w:rsidR="00C707ED">
              <w:rPr>
                <w:rFonts w:eastAsia="Times New Roman" w:cs="Times New Roman"/>
                <w:color w:val="000000" w:themeColor="text1"/>
                <w:lang w:val="es-ES"/>
              </w:rPr>
              <w:tab/>
            </w:r>
            <w:r w:rsidRPr="00B8693C">
              <w:rPr>
                <w:rFonts w:eastAsia="Times New Roman" w:cs="Times New Roman"/>
                <w:color w:val="000000" w:themeColor="text1"/>
                <w:lang w:val="es-ES"/>
              </w:rPr>
              <w:t>Sensibilización acerca de las cuestiones de género en las adquisiciones</w:t>
            </w:r>
          </w:p>
        </w:tc>
        <w:tc>
          <w:tcPr>
            <w:tcW w:w="962" w:type="pct"/>
          </w:tcPr>
          <w:p w:rsidR="00B8270F" w:rsidRPr="00B8693C" w:rsidRDefault="00B8270F" w:rsidP="00AE5CC0">
            <w:pPr>
              <w:keepNext/>
              <w:keepLines/>
              <w:jc w:val="center"/>
              <w:rPr>
                <w:rFonts w:eastAsia="Times New Roman" w:cs="Times New Roman"/>
                <w:color w:val="000000" w:themeColor="text1"/>
                <w:lang w:val="es-ES"/>
              </w:rPr>
            </w:pPr>
            <w:r w:rsidRPr="00B8693C">
              <w:rPr>
                <w:rFonts w:eastAsia="Times New Roman" w:cs="Times New Roman"/>
                <w:color w:val="000000" w:themeColor="text1"/>
                <w:lang w:val="es-ES"/>
              </w:rPr>
              <w:t>PROC</w:t>
            </w:r>
          </w:p>
        </w:tc>
        <w:tc>
          <w:tcPr>
            <w:tcW w:w="576" w:type="pct"/>
          </w:tcPr>
          <w:p w:rsidR="00B8270F" w:rsidRPr="00B8693C" w:rsidRDefault="00B8270F" w:rsidP="00AE5CC0">
            <w:pPr>
              <w:keepNext/>
              <w:keepLines/>
              <w:jc w:val="center"/>
              <w:rPr>
                <w:rFonts w:eastAsia="Times New Roman" w:cs="Times New Roman"/>
                <w:color w:val="000000" w:themeColor="text1"/>
                <w:lang w:val="es-ES"/>
              </w:rPr>
            </w:pPr>
            <w:proofErr w:type="spellStart"/>
            <w:r w:rsidRPr="00B8693C">
              <w:rPr>
                <w:rFonts w:eastAsia="Times New Roman" w:cs="Times New Roman"/>
                <w:color w:val="000000" w:themeColor="text1"/>
                <w:lang w:val="es-ES"/>
              </w:rPr>
              <w:t>Sep</w:t>
            </w:r>
            <w:proofErr w:type="spellEnd"/>
            <w:r w:rsidRPr="00B8693C">
              <w:rPr>
                <w:rFonts w:eastAsia="Times New Roman" w:cs="Times New Roman"/>
                <w:color w:val="000000" w:themeColor="text1"/>
                <w:lang w:val="es-ES"/>
              </w:rPr>
              <w:t>-Oct</w:t>
            </w:r>
          </w:p>
        </w:tc>
      </w:tr>
      <w:tr w:rsidR="00B8270F" w:rsidRPr="00B8693C" w:rsidTr="00AE5CC0">
        <w:tc>
          <w:tcPr>
            <w:tcW w:w="3461" w:type="pct"/>
          </w:tcPr>
          <w:p w:rsidR="00B8270F" w:rsidRPr="00B8693C" w:rsidRDefault="00B8270F" w:rsidP="00C707ED">
            <w:pPr>
              <w:keepNext/>
              <w:keepLines/>
              <w:ind w:left="567" w:hanging="567"/>
              <w:rPr>
                <w:rFonts w:eastAsia="Times New Roman" w:cs="Times New Roman"/>
                <w:color w:val="000000" w:themeColor="text1"/>
                <w:lang w:val="es-ES"/>
              </w:rPr>
            </w:pPr>
            <w:r w:rsidRPr="00B8693C">
              <w:rPr>
                <w:rFonts w:eastAsia="Times New Roman" w:cs="Times New Roman"/>
                <w:color w:val="000000" w:themeColor="text1"/>
                <w:lang w:val="es-ES"/>
              </w:rPr>
              <w:t>13.7</w:t>
            </w:r>
            <w:r w:rsidR="00C707ED">
              <w:rPr>
                <w:rFonts w:eastAsia="Times New Roman" w:cs="Times New Roman"/>
                <w:color w:val="000000" w:themeColor="text1"/>
                <w:lang w:val="es-ES"/>
              </w:rPr>
              <w:tab/>
            </w:r>
            <w:r w:rsidRPr="00B8693C">
              <w:rPr>
                <w:rFonts w:eastAsia="Times New Roman" w:cs="Times New Roman"/>
                <w:color w:val="000000" w:themeColor="text1"/>
                <w:lang w:val="es-ES"/>
              </w:rPr>
              <w:t>Equilibrio de género en las comisiones estatutarias de la UIT</w:t>
            </w:r>
          </w:p>
        </w:tc>
        <w:tc>
          <w:tcPr>
            <w:tcW w:w="962" w:type="pct"/>
          </w:tcPr>
          <w:p w:rsidR="00B8270F" w:rsidRPr="00B8693C" w:rsidRDefault="00B8270F" w:rsidP="00AE5CC0">
            <w:pPr>
              <w:keepNext/>
              <w:keepLines/>
              <w:jc w:val="center"/>
              <w:rPr>
                <w:rFonts w:eastAsia="Times New Roman" w:cs="Times New Roman"/>
                <w:color w:val="000000" w:themeColor="text1"/>
                <w:lang w:val="es-ES"/>
              </w:rPr>
            </w:pPr>
            <w:r w:rsidRPr="00B8693C">
              <w:rPr>
                <w:rFonts w:eastAsia="Times New Roman" w:cs="Times New Roman"/>
                <w:color w:val="000000" w:themeColor="text1"/>
                <w:lang w:val="es-ES"/>
              </w:rPr>
              <w:t>HRMD</w:t>
            </w:r>
          </w:p>
        </w:tc>
        <w:tc>
          <w:tcPr>
            <w:tcW w:w="576" w:type="pct"/>
          </w:tcPr>
          <w:p w:rsidR="00B8270F" w:rsidRPr="00B8693C" w:rsidRDefault="00B8270F" w:rsidP="00AE5CC0">
            <w:pPr>
              <w:keepNext/>
              <w:keepLines/>
              <w:jc w:val="center"/>
              <w:rPr>
                <w:rFonts w:eastAsia="Times New Roman" w:cs="Times New Roman"/>
                <w:color w:val="000000" w:themeColor="text1"/>
                <w:lang w:val="es-ES"/>
              </w:rPr>
            </w:pPr>
            <w:r w:rsidRPr="00B8693C">
              <w:rPr>
                <w:rFonts w:eastAsia="Times New Roman" w:cs="Times New Roman"/>
                <w:color w:val="000000" w:themeColor="text1"/>
                <w:lang w:val="es-ES"/>
              </w:rPr>
              <w:t>Diciembre</w:t>
            </w:r>
          </w:p>
        </w:tc>
      </w:tr>
    </w:tbl>
    <w:p w:rsidR="00B8270F" w:rsidRPr="00B8693C" w:rsidRDefault="00C707ED" w:rsidP="00B8693C">
      <w:pPr>
        <w:keepNext/>
        <w:keepLines/>
        <w:pBdr>
          <w:bottom w:val="single" w:sz="4" w:space="1" w:color="auto"/>
        </w:pBdr>
        <w:tabs>
          <w:tab w:val="right" w:pos="9639"/>
        </w:tabs>
        <w:spacing w:before="240"/>
        <w:rPr>
          <w:color w:val="000000" w:themeColor="text1"/>
          <w:lang w:val="es-ES"/>
        </w:rPr>
      </w:pPr>
      <w:r>
        <w:rPr>
          <w:b/>
          <w:bCs/>
          <w:color w:val="000000" w:themeColor="text1"/>
          <w:lang w:val="es-ES"/>
        </w:rPr>
        <w:t>14</w:t>
      </w:r>
      <w:r>
        <w:rPr>
          <w:b/>
          <w:bCs/>
          <w:color w:val="000000" w:themeColor="text1"/>
          <w:lang w:val="es-ES"/>
        </w:rPr>
        <w:tab/>
      </w:r>
      <w:r w:rsidR="00B8270F" w:rsidRPr="00B8693C">
        <w:rPr>
          <w:b/>
          <w:bCs/>
          <w:color w:val="000000" w:themeColor="text1"/>
          <w:lang w:val="es-ES"/>
        </w:rPr>
        <w:t>Evaluación de las capacidades</w:t>
      </w:r>
      <w:r w:rsidR="00B8270F" w:rsidRPr="00B8693C">
        <w:rPr>
          <w:b/>
          <w:bCs/>
          <w:color w:val="000000" w:themeColor="text1"/>
          <w:lang w:val="es-ES"/>
        </w:rPr>
        <w:tab/>
        <w:t xml:space="preserve">Estado del SWAP en 2016: </w:t>
      </w:r>
      <w:r w:rsidR="00B8270F" w:rsidRPr="00B8693C">
        <w:rPr>
          <w:color w:val="000000" w:themeColor="text1"/>
          <w:lang w:val="es-ES"/>
        </w:rPr>
        <w:t>Falta</w:t>
      </w:r>
    </w:p>
    <w:p w:rsidR="00B8270F" w:rsidRPr="00B8693C" w:rsidRDefault="00B8270F" w:rsidP="00C707ED">
      <w:pPr>
        <w:spacing w:after="120"/>
        <w:rPr>
          <w:lang w:val="es-ES"/>
        </w:rPr>
      </w:pPr>
      <w:r w:rsidRPr="00B8693C">
        <w:rPr>
          <w:lang w:val="es-ES"/>
        </w:rPr>
        <w:t>Para satisfacer los indicadores de rendimiento del ONU-SWAP, la UIT tendría que llevar a cabo una evaluación de toda la institución para determinar la capacidad del personal en materia de igualdad de género y empoderamiento de las mujeres, y establecer un plan de desarrollo de capacidades o ponerlo al día cada cinco años como mínimo. La falta de capacidad de fomento de la igualdad de género y de empoderamiento de las mujeres se ha definido como una de los factores que impiden que mejoren el rendimiento y el liderazgo.</w:t>
      </w:r>
    </w:p>
    <w:tbl>
      <w:tblPr>
        <w:tblStyle w:val="TableGrid"/>
        <w:tblW w:w="5000" w:type="pct"/>
        <w:tblLook w:val="04A0" w:firstRow="1" w:lastRow="0" w:firstColumn="1" w:lastColumn="0" w:noHBand="0" w:noVBand="1"/>
      </w:tblPr>
      <w:tblGrid>
        <w:gridCol w:w="6644"/>
        <w:gridCol w:w="1899"/>
        <w:gridCol w:w="1086"/>
      </w:tblGrid>
      <w:tr w:rsidR="00B8270F" w:rsidRPr="00B8693C" w:rsidTr="00AE5CC0">
        <w:tc>
          <w:tcPr>
            <w:tcW w:w="3462" w:type="pct"/>
          </w:tcPr>
          <w:p w:rsidR="00B8270F" w:rsidRPr="00B8693C" w:rsidRDefault="00B8270F" w:rsidP="00AE5CC0">
            <w:pPr>
              <w:keepNext/>
              <w:keepLines/>
              <w:jc w:val="both"/>
              <w:rPr>
                <w:color w:val="000000" w:themeColor="text1"/>
                <w:lang w:val="es-ES"/>
              </w:rPr>
            </w:pPr>
            <w:r w:rsidRPr="00B8693C">
              <w:rPr>
                <w:color w:val="000000" w:themeColor="text1"/>
                <w:u w:val="single"/>
                <w:lang w:val="es-ES"/>
              </w:rPr>
              <w:t>Productos</w:t>
            </w:r>
          </w:p>
        </w:tc>
        <w:tc>
          <w:tcPr>
            <w:tcW w:w="962" w:type="pct"/>
          </w:tcPr>
          <w:p w:rsidR="00B8270F" w:rsidRPr="00B8693C" w:rsidRDefault="00B8270F" w:rsidP="00AE5CC0">
            <w:pPr>
              <w:keepNext/>
              <w:keepLines/>
              <w:jc w:val="both"/>
              <w:rPr>
                <w:color w:val="000000" w:themeColor="text1"/>
                <w:lang w:val="es-ES"/>
              </w:rPr>
            </w:pPr>
            <w:r w:rsidRPr="00B8693C">
              <w:rPr>
                <w:color w:val="000000" w:themeColor="text1"/>
                <w:u w:val="single"/>
                <w:lang w:val="es-ES"/>
              </w:rPr>
              <w:t>Titular/Implicado</w:t>
            </w:r>
          </w:p>
        </w:tc>
        <w:tc>
          <w:tcPr>
            <w:tcW w:w="576" w:type="pct"/>
          </w:tcPr>
          <w:p w:rsidR="00B8270F" w:rsidRPr="00B8693C" w:rsidRDefault="00B8270F" w:rsidP="00AE5CC0">
            <w:pPr>
              <w:keepNext/>
              <w:keepLines/>
              <w:jc w:val="center"/>
              <w:rPr>
                <w:color w:val="000000" w:themeColor="text1"/>
                <w:lang w:val="es-ES"/>
              </w:rPr>
            </w:pPr>
            <w:r w:rsidRPr="00B8693C">
              <w:rPr>
                <w:color w:val="000000" w:themeColor="text1"/>
                <w:u w:val="single"/>
                <w:lang w:val="es-ES"/>
              </w:rPr>
              <w:t>Plazo</w:t>
            </w:r>
          </w:p>
        </w:tc>
      </w:tr>
      <w:tr w:rsidR="00B8270F" w:rsidRPr="00B8693C" w:rsidTr="00AE5CC0">
        <w:tc>
          <w:tcPr>
            <w:tcW w:w="3462" w:type="pct"/>
          </w:tcPr>
          <w:p w:rsidR="00B8270F" w:rsidRPr="00B8693C" w:rsidRDefault="00B8270F" w:rsidP="00C707ED">
            <w:pPr>
              <w:keepNext/>
              <w:keepLines/>
              <w:ind w:left="567" w:hanging="567"/>
              <w:rPr>
                <w:color w:val="000000" w:themeColor="text1"/>
                <w:lang w:val="es-ES"/>
              </w:rPr>
            </w:pPr>
            <w:r w:rsidRPr="00B8693C">
              <w:rPr>
                <w:rFonts w:eastAsia="Times New Roman" w:cs="Times New Roman"/>
                <w:color w:val="000000" w:themeColor="text1"/>
                <w:lang w:val="es-ES"/>
              </w:rPr>
              <w:t>14.1</w:t>
            </w:r>
            <w:r w:rsidR="00C707ED">
              <w:rPr>
                <w:rFonts w:eastAsia="Times New Roman" w:cs="Times New Roman"/>
                <w:color w:val="000000" w:themeColor="text1"/>
                <w:lang w:val="es-ES"/>
              </w:rPr>
              <w:tab/>
            </w:r>
            <w:r w:rsidRPr="00B8693C">
              <w:rPr>
                <w:rFonts w:eastAsia="Times New Roman" w:cs="Times New Roman"/>
                <w:color w:val="000000" w:themeColor="text1"/>
                <w:lang w:val="es-ES"/>
              </w:rPr>
              <w:t>Realización de una encuesta para la evaluación de las capacidades en materia de igualdad de género</w:t>
            </w:r>
          </w:p>
        </w:tc>
        <w:tc>
          <w:tcPr>
            <w:tcW w:w="962" w:type="pct"/>
          </w:tcPr>
          <w:p w:rsidR="00B8270F" w:rsidRPr="00B8693C" w:rsidRDefault="00B8270F" w:rsidP="00AE5CC0">
            <w:pPr>
              <w:keepNext/>
              <w:keepLines/>
              <w:jc w:val="center"/>
              <w:rPr>
                <w:color w:val="000000" w:themeColor="text1"/>
                <w:lang w:val="es-ES"/>
              </w:rPr>
            </w:pPr>
            <w:r w:rsidRPr="00B8693C">
              <w:rPr>
                <w:rFonts w:eastAsia="Times New Roman" w:cs="Times New Roman"/>
                <w:color w:val="000000" w:themeColor="text1"/>
                <w:lang w:val="es-ES"/>
              </w:rPr>
              <w:t>HRMD/GTF</w:t>
            </w:r>
          </w:p>
        </w:tc>
        <w:tc>
          <w:tcPr>
            <w:tcW w:w="576" w:type="pct"/>
          </w:tcPr>
          <w:p w:rsidR="00B8270F" w:rsidRPr="00B8693C" w:rsidRDefault="00B8270F" w:rsidP="00AE5CC0">
            <w:pPr>
              <w:keepNext/>
              <w:keepLines/>
              <w:jc w:val="center"/>
              <w:rPr>
                <w:color w:val="000000" w:themeColor="text1"/>
                <w:lang w:val="es-ES"/>
              </w:rPr>
            </w:pPr>
            <w:r w:rsidRPr="00B8693C">
              <w:rPr>
                <w:rFonts w:eastAsia="Times New Roman" w:cs="Times New Roman"/>
                <w:color w:val="000000" w:themeColor="text1"/>
                <w:lang w:val="es-ES"/>
              </w:rPr>
              <w:t>Jun-</w:t>
            </w:r>
            <w:proofErr w:type="spellStart"/>
            <w:r w:rsidRPr="00B8693C">
              <w:rPr>
                <w:rFonts w:eastAsia="Times New Roman" w:cs="Times New Roman"/>
                <w:color w:val="000000" w:themeColor="text1"/>
                <w:lang w:val="es-ES"/>
              </w:rPr>
              <w:t>Ago</w:t>
            </w:r>
            <w:proofErr w:type="spellEnd"/>
          </w:p>
        </w:tc>
      </w:tr>
      <w:tr w:rsidR="00B8270F" w:rsidRPr="00B8693C" w:rsidTr="00AE5CC0">
        <w:tc>
          <w:tcPr>
            <w:tcW w:w="3462" w:type="pct"/>
          </w:tcPr>
          <w:p w:rsidR="00B8270F" w:rsidRPr="00B8693C" w:rsidRDefault="00B8270F" w:rsidP="00C707ED">
            <w:pPr>
              <w:keepNext/>
              <w:keepLines/>
              <w:ind w:left="567" w:hanging="567"/>
              <w:rPr>
                <w:color w:val="000000" w:themeColor="text1"/>
                <w:lang w:val="es-ES"/>
              </w:rPr>
            </w:pPr>
            <w:r w:rsidRPr="00B8693C">
              <w:rPr>
                <w:rFonts w:eastAsia="Times New Roman" w:cs="Times New Roman"/>
                <w:color w:val="000000" w:themeColor="text1"/>
                <w:lang w:val="es-ES"/>
              </w:rPr>
              <w:t>14.2</w:t>
            </w:r>
            <w:r w:rsidR="00C707ED">
              <w:rPr>
                <w:rFonts w:eastAsia="Times New Roman" w:cs="Times New Roman"/>
                <w:color w:val="000000" w:themeColor="text1"/>
                <w:lang w:val="es-ES"/>
              </w:rPr>
              <w:tab/>
            </w:r>
            <w:r w:rsidRPr="00B8693C">
              <w:rPr>
                <w:rFonts w:eastAsia="Times New Roman" w:cs="Times New Roman"/>
                <w:color w:val="000000" w:themeColor="text1"/>
                <w:lang w:val="es-ES"/>
              </w:rPr>
              <w:t>Plan de desarrollo de capacidades (puesto al día cada cinco años)</w:t>
            </w:r>
          </w:p>
        </w:tc>
        <w:tc>
          <w:tcPr>
            <w:tcW w:w="962" w:type="pct"/>
          </w:tcPr>
          <w:p w:rsidR="00B8270F" w:rsidRPr="00B8693C" w:rsidRDefault="00B8270F" w:rsidP="00AE5CC0">
            <w:pPr>
              <w:keepNext/>
              <w:keepLines/>
              <w:jc w:val="center"/>
              <w:rPr>
                <w:color w:val="000000" w:themeColor="text1"/>
                <w:lang w:val="es-ES"/>
              </w:rPr>
            </w:pPr>
            <w:r w:rsidRPr="00B8693C">
              <w:rPr>
                <w:rFonts w:eastAsia="Times New Roman" w:cs="Times New Roman"/>
                <w:color w:val="000000" w:themeColor="text1"/>
                <w:lang w:val="es-ES"/>
              </w:rPr>
              <w:t>HRMD</w:t>
            </w:r>
          </w:p>
        </w:tc>
        <w:tc>
          <w:tcPr>
            <w:tcW w:w="576" w:type="pct"/>
          </w:tcPr>
          <w:p w:rsidR="00B8270F" w:rsidRPr="00B8693C" w:rsidRDefault="00B8270F" w:rsidP="00AE5CC0">
            <w:pPr>
              <w:keepNext/>
              <w:keepLines/>
              <w:jc w:val="center"/>
              <w:rPr>
                <w:color w:val="000000" w:themeColor="text1"/>
                <w:lang w:val="es-ES"/>
              </w:rPr>
            </w:pPr>
            <w:proofErr w:type="spellStart"/>
            <w:r w:rsidRPr="00B8693C">
              <w:rPr>
                <w:rFonts w:eastAsia="Times New Roman" w:cs="Times New Roman"/>
                <w:color w:val="000000" w:themeColor="text1"/>
                <w:lang w:val="es-ES"/>
              </w:rPr>
              <w:t>Sep</w:t>
            </w:r>
            <w:proofErr w:type="spellEnd"/>
            <w:r w:rsidRPr="00B8693C">
              <w:rPr>
                <w:rFonts w:eastAsia="Times New Roman" w:cs="Times New Roman"/>
                <w:color w:val="000000" w:themeColor="text1"/>
                <w:lang w:val="es-ES"/>
              </w:rPr>
              <w:t>-Nov</w:t>
            </w:r>
          </w:p>
        </w:tc>
      </w:tr>
    </w:tbl>
    <w:p w:rsidR="00B8270F" w:rsidRPr="00B8693C" w:rsidRDefault="00C707ED" w:rsidP="00B8693C">
      <w:pPr>
        <w:keepNext/>
        <w:keepLines/>
        <w:pBdr>
          <w:bottom w:val="single" w:sz="4" w:space="1" w:color="auto"/>
        </w:pBdr>
        <w:tabs>
          <w:tab w:val="right" w:pos="9639"/>
        </w:tabs>
        <w:spacing w:before="240"/>
        <w:rPr>
          <w:color w:val="000000" w:themeColor="text1"/>
          <w:lang w:val="es-ES"/>
        </w:rPr>
      </w:pPr>
      <w:r>
        <w:rPr>
          <w:b/>
          <w:bCs/>
          <w:color w:val="000000" w:themeColor="text1"/>
          <w:lang w:val="es-ES"/>
        </w:rPr>
        <w:t>15</w:t>
      </w:r>
      <w:r>
        <w:rPr>
          <w:b/>
          <w:bCs/>
          <w:color w:val="000000" w:themeColor="text1"/>
          <w:lang w:val="es-ES"/>
        </w:rPr>
        <w:tab/>
      </w:r>
      <w:r w:rsidR="00B8270F" w:rsidRPr="00B8693C">
        <w:rPr>
          <w:b/>
          <w:bCs/>
          <w:color w:val="000000" w:themeColor="text1"/>
          <w:lang w:val="es-ES"/>
        </w:rPr>
        <w:t>Desarrollo de las capacidades</w:t>
      </w:r>
      <w:r w:rsidR="00B8270F" w:rsidRPr="00B8693C">
        <w:rPr>
          <w:b/>
          <w:bCs/>
          <w:color w:val="000000" w:themeColor="text1"/>
          <w:lang w:val="es-ES"/>
        </w:rPr>
        <w:tab/>
        <w:t xml:space="preserve">Estado del SWAP en 2016: </w:t>
      </w:r>
      <w:r w:rsidR="00B8270F" w:rsidRPr="00B8693C">
        <w:rPr>
          <w:color w:val="000000" w:themeColor="text1"/>
          <w:lang w:val="es-ES"/>
        </w:rPr>
        <w:t>casi cumple los requisitos</w:t>
      </w:r>
    </w:p>
    <w:p w:rsidR="00B8270F" w:rsidRPr="00B8693C" w:rsidRDefault="00B8270F" w:rsidP="00C707ED">
      <w:pPr>
        <w:rPr>
          <w:lang w:val="es-ES"/>
        </w:rPr>
      </w:pPr>
      <w:r w:rsidRPr="00B8693C">
        <w:rPr>
          <w:lang w:val="es-ES"/>
        </w:rPr>
        <w:t>Para satisfacer los indicadores de rendimiento del ONU-SWAP, sería necesario impartir formación sobre la igualdad de género y el empoderamiento de las mujeres a todo el personal de reciente contratación durante su primer año y, posteriormente, al menos una vez cada dos años. Los especialistas en las cuestiones de género y los coordinadores para las cuestiones de género reciben un formación específica y a la medida – dos años de formación al año, como mínimo, sobre igualdad de género y empoderamiento de las mujeres.</w:t>
      </w:r>
    </w:p>
    <w:tbl>
      <w:tblPr>
        <w:tblStyle w:val="TableGrid"/>
        <w:tblW w:w="5000" w:type="pct"/>
        <w:tblLook w:val="04A0" w:firstRow="1" w:lastRow="0" w:firstColumn="1" w:lastColumn="0" w:noHBand="0" w:noVBand="1"/>
      </w:tblPr>
      <w:tblGrid>
        <w:gridCol w:w="6644"/>
        <w:gridCol w:w="1899"/>
        <w:gridCol w:w="1086"/>
      </w:tblGrid>
      <w:tr w:rsidR="00B8270F" w:rsidRPr="00B8693C" w:rsidTr="00AE5CC0">
        <w:tc>
          <w:tcPr>
            <w:tcW w:w="3462" w:type="pct"/>
          </w:tcPr>
          <w:p w:rsidR="00B8270F" w:rsidRPr="00B8693C" w:rsidRDefault="00B8270F" w:rsidP="00AE5CC0">
            <w:pPr>
              <w:keepNext/>
              <w:keepLines/>
              <w:jc w:val="both"/>
              <w:rPr>
                <w:color w:val="000000" w:themeColor="text1"/>
                <w:lang w:val="es-ES"/>
              </w:rPr>
            </w:pPr>
            <w:r w:rsidRPr="00B8693C">
              <w:rPr>
                <w:color w:val="000000" w:themeColor="text1"/>
                <w:u w:val="single"/>
                <w:lang w:val="es-ES"/>
              </w:rPr>
              <w:lastRenderedPageBreak/>
              <w:t>Productos</w:t>
            </w:r>
          </w:p>
        </w:tc>
        <w:tc>
          <w:tcPr>
            <w:tcW w:w="962" w:type="pct"/>
          </w:tcPr>
          <w:p w:rsidR="00B8270F" w:rsidRPr="00B8693C" w:rsidRDefault="00B8270F" w:rsidP="00AE5CC0">
            <w:pPr>
              <w:keepNext/>
              <w:keepLines/>
              <w:jc w:val="center"/>
              <w:rPr>
                <w:color w:val="000000" w:themeColor="text1"/>
                <w:lang w:val="es-ES"/>
              </w:rPr>
            </w:pPr>
            <w:r w:rsidRPr="00B8693C">
              <w:rPr>
                <w:color w:val="000000" w:themeColor="text1"/>
                <w:u w:val="single"/>
                <w:lang w:val="es-ES"/>
              </w:rPr>
              <w:t>Titular/Implicado</w:t>
            </w:r>
          </w:p>
        </w:tc>
        <w:tc>
          <w:tcPr>
            <w:tcW w:w="576" w:type="pct"/>
          </w:tcPr>
          <w:p w:rsidR="00B8270F" w:rsidRPr="00B8693C" w:rsidRDefault="00B8270F" w:rsidP="00AE5CC0">
            <w:pPr>
              <w:keepNext/>
              <w:keepLines/>
              <w:jc w:val="center"/>
              <w:rPr>
                <w:color w:val="000000" w:themeColor="text1"/>
                <w:lang w:val="es-ES"/>
              </w:rPr>
            </w:pPr>
            <w:r w:rsidRPr="00B8693C">
              <w:rPr>
                <w:color w:val="000000" w:themeColor="text1"/>
                <w:u w:val="single"/>
                <w:lang w:val="es-ES"/>
              </w:rPr>
              <w:t>Plazo</w:t>
            </w:r>
          </w:p>
        </w:tc>
      </w:tr>
      <w:tr w:rsidR="00B8270F" w:rsidRPr="00B8693C" w:rsidTr="00AE5CC0">
        <w:tc>
          <w:tcPr>
            <w:tcW w:w="3462" w:type="pct"/>
          </w:tcPr>
          <w:p w:rsidR="00B8270F" w:rsidRPr="00B8693C" w:rsidRDefault="00B8270F" w:rsidP="00C707ED">
            <w:pPr>
              <w:keepNext/>
              <w:keepLines/>
              <w:ind w:left="567" w:hanging="567"/>
              <w:rPr>
                <w:color w:val="000000" w:themeColor="text1"/>
                <w:lang w:val="es-ES"/>
              </w:rPr>
            </w:pPr>
            <w:r w:rsidRPr="00B8693C">
              <w:rPr>
                <w:color w:val="000000" w:themeColor="text1"/>
                <w:lang w:val="es-ES"/>
              </w:rPr>
              <w:t>15.1</w:t>
            </w:r>
            <w:r w:rsidR="00C707ED">
              <w:rPr>
                <w:color w:val="000000" w:themeColor="text1"/>
                <w:lang w:val="es-ES"/>
              </w:rPr>
              <w:tab/>
            </w:r>
            <w:r w:rsidRPr="00B8693C">
              <w:rPr>
                <w:color w:val="000000" w:themeColor="text1"/>
                <w:lang w:val="es-ES"/>
              </w:rPr>
              <w:t xml:space="preserve">Animar o exigir la asistencia a cursos de formación sobre </w:t>
            </w:r>
            <w:r w:rsidR="00B8693C" w:rsidRPr="00B8693C">
              <w:rPr>
                <w:color w:val="000000" w:themeColor="text1"/>
                <w:lang w:val="es-ES"/>
              </w:rPr>
              <w:t>"</w:t>
            </w:r>
            <w:r w:rsidRPr="00B8693C">
              <w:rPr>
                <w:color w:val="000000" w:themeColor="text1"/>
                <w:lang w:val="es-ES"/>
              </w:rPr>
              <w:t>Yo sé de Género</w:t>
            </w:r>
            <w:r w:rsidR="00B8693C" w:rsidRPr="00B8693C">
              <w:rPr>
                <w:color w:val="000000" w:themeColor="text1"/>
                <w:lang w:val="es-ES"/>
              </w:rPr>
              <w:t>"</w:t>
            </w:r>
          </w:p>
        </w:tc>
        <w:tc>
          <w:tcPr>
            <w:tcW w:w="962" w:type="pct"/>
          </w:tcPr>
          <w:p w:rsidR="00B8270F" w:rsidRPr="00B8693C" w:rsidRDefault="00B8270F" w:rsidP="00AE5CC0">
            <w:pPr>
              <w:jc w:val="center"/>
              <w:rPr>
                <w:color w:val="000000" w:themeColor="text1"/>
                <w:lang w:val="es-ES"/>
              </w:rPr>
            </w:pPr>
            <w:r w:rsidRPr="00B8693C">
              <w:rPr>
                <w:rFonts w:eastAsia="Times New Roman" w:cs="Times New Roman"/>
                <w:color w:val="000000" w:themeColor="text1"/>
                <w:lang w:val="es-ES"/>
              </w:rPr>
              <w:t>HRMD/GTF</w:t>
            </w:r>
          </w:p>
        </w:tc>
        <w:tc>
          <w:tcPr>
            <w:tcW w:w="576" w:type="pct"/>
          </w:tcPr>
          <w:p w:rsidR="00B8270F" w:rsidRPr="00B8693C" w:rsidRDefault="00B8270F" w:rsidP="00AE5CC0">
            <w:pPr>
              <w:keepNext/>
              <w:keepLines/>
              <w:jc w:val="center"/>
              <w:rPr>
                <w:color w:val="000000" w:themeColor="text1"/>
                <w:lang w:val="es-ES"/>
              </w:rPr>
            </w:pPr>
            <w:r w:rsidRPr="00B8693C">
              <w:rPr>
                <w:color w:val="000000" w:themeColor="text1"/>
                <w:lang w:val="es-ES"/>
              </w:rPr>
              <w:t>Abr-Dic</w:t>
            </w:r>
          </w:p>
        </w:tc>
      </w:tr>
      <w:tr w:rsidR="00B8270F" w:rsidRPr="00B8693C" w:rsidTr="00AE5CC0">
        <w:tc>
          <w:tcPr>
            <w:tcW w:w="3462" w:type="pct"/>
          </w:tcPr>
          <w:p w:rsidR="00B8270F" w:rsidRPr="00B8693C" w:rsidRDefault="00B8270F" w:rsidP="00C707ED">
            <w:pPr>
              <w:keepNext/>
              <w:keepLines/>
              <w:ind w:left="567" w:hanging="567"/>
              <w:rPr>
                <w:color w:val="000000" w:themeColor="text1"/>
                <w:lang w:val="es-ES"/>
              </w:rPr>
            </w:pPr>
            <w:r w:rsidRPr="00B8693C">
              <w:rPr>
                <w:color w:val="000000" w:themeColor="text1"/>
                <w:lang w:val="es-ES"/>
              </w:rPr>
              <w:t>15.2</w:t>
            </w:r>
            <w:r w:rsidR="00C707ED">
              <w:rPr>
                <w:color w:val="000000" w:themeColor="text1"/>
                <w:lang w:val="es-ES"/>
              </w:rPr>
              <w:tab/>
            </w:r>
            <w:r w:rsidRPr="00B8693C">
              <w:rPr>
                <w:color w:val="000000" w:themeColor="text1"/>
                <w:lang w:val="es-ES"/>
              </w:rPr>
              <w:t xml:space="preserve">Vinculación con la cuestión de género en la formación impartida (a los nuevos empleados) o en los textos formativos correspondientes </w:t>
            </w:r>
          </w:p>
        </w:tc>
        <w:tc>
          <w:tcPr>
            <w:tcW w:w="962" w:type="pct"/>
          </w:tcPr>
          <w:p w:rsidR="00B8270F" w:rsidRPr="00B8693C" w:rsidRDefault="00B8270F" w:rsidP="00AE5CC0">
            <w:pPr>
              <w:keepNext/>
              <w:keepLines/>
              <w:jc w:val="center"/>
              <w:rPr>
                <w:color w:val="000000" w:themeColor="text1"/>
                <w:lang w:val="es-ES"/>
              </w:rPr>
            </w:pPr>
            <w:r w:rsidRPr="00B8693C">
              <w:rPr>
                <w:color w:val="000000" w:themeColor="text1"/>
                <w:lang w:val="es-ES"/>
              </w:rPr>
              <w:t>HRMD</w:t>
            </w:r>
          </w:p>
        </w:tc>
        <w:tc>
          <w:tcPr>
            <w:tcW w:w="576" w:type="pct"/>
          </w:tcPr>
          <w:p w:rsidR="00B8270F" w:rsidRPr="00B8693C" w:rsidRDefault="00B8270F" w:rsidP="00AE5CC0">
            <w:pPr>
              <w:keepNext/>
              <w:keepLines/>
              <w:jc w:val="center"/>
              <w:rPr>
                <w:color w:val="000000" w:themeColor="text1"/>
                <w:lang w:val="es-ES"/>
              </w:rPr>
            </w:pPr>
            <w:r w:rsidRPr="00B8693C">
              <w:rPr>
                <w:color w:val="000000" w:themeColor="text1"/>
                <w:lang w:val="es-ES"/>
              </w:rPr>
              <w:t>Jun-</w:t>
            </w:r>
            <w:proofErr w:type="spellStart"/>
            <w:r w:rsidRPr="00B8693C">
              <w:rPr>
                <w:color w:val="000000" w:themeColor="text1"/>
                <w:lang w:val="es-ES"/>
              </w:rPr>
              <w:t>Ago</w:t>
            </w:r>
            <w:proofErr w:type="spellEnd"/>
          </w:p>
        </w:tc>
      </w:tr>
      <w:tr w:rsidR="00B8270F" w:rsidRPr="00B8693C" w:rsidTr="00AE5CC0">
        <w:tc>
          <w:tcPr>
            <w:tcW w:w="3462" w:type="pct"/>
          </w:tcPr>
          <w:p w:rsidR="00B8270F" w:rsidRPr="00B8693C" w:rsidRDefault="00B8270F" w:rsidP="00C707ED">
            <w:pPr>
              <w:keepNext/>
              <w:keepLines/>
              <w:ind w:left="567" w:hanging="567"/>
              <w:rPr>
                <w:color w:val="000000" w:themeColor="text1"/>
                <w:lang w:val="es-ES"/>
              </w:rPr>
            </w:pPr>
            <w:r w:rsidRPr="00B8693C">
              <w:rPr>
                <w:color w:val="000000" w:themeColor="text1"/>
                <w:lang w:val="es-ES"/>
              </w:rPr>
              <w:t>15.3</w:t>
            </w:r>
            <w:r w:rsidR="00C707ED">
              <w:rPr>
                <w:color w:val="000000" w:themeColor="text1"/>
                <w:lang w:val="es-ES"/>
              </w:rPr>
              <w:tab/>
            </w:r>
            <w:r w:rsidRPr="00B8693C">
              <w:rPr>
                <w:color w:val="000000" w:themeColor="text1"/>
                <w:lang w:val="es-ES"/>
              </w:rPr>
              <w:t>Cuestión de género para todo el personal o el de nueva incorporación ( 1 día)</w:t>
            </w:r>
          </w:p>
        </w:tc>
        <w:tc>
          <w:tcPr>
            <w:tcW w:w="962" w:type="pct"/>
          </w:tcPr>
          <w:p w:rsidR="00B8270F" w:rsidRPr="00B8693C" w:rsidRDefault="00B8270F" w:rsidP="00AE5CC0">
            <w:pPr>
              <w:keepNext/>
              <w:keepLines/>
              <w:jc w:val="center"/>
              <w:rPr>
                <w:color w:val="000000" w:themeColor="text1"/>
                <w:lang w:val="es-ES"/>
              </w:rPr>
            </w:pPr>
            <w:r w:rsidRPr="00B8693C">
              <w:rPr>
                <w:rFonts w:eastAsia="Times New Roman" w:cs="Times New Roman"/>
                <w:color w:val="000000" w:themeColor="text1"/>
                <w:lang w:val="es-ES"/>
              </w:rPr>
              <w:t>HRMD/GTF</w:t>
            </w:r>
          </w:p>
        </w:tc>
        <w:tc>
          <w:tcPr>
            <w:tcW w:w="576" w:type="pct"/>
          </w:tcPr>
          <w:p w:rsidR="00B8270F" w:rsidRPr="00B8693C" w:rsidRDefault="00B8270F" w:rsidP="00AE5CC0">
            <w:pPr>
              <w:keepNext/>
              <w:keepLines/>
              <w:jc w:val="center"/>
              <w:rPr>
                <w:color w:val="000000" w:themeColor="text1"/>
                <w:lang w:val="es-ES"/>
              </w:rPr>
            </w:pPr>
            <w:r w:rsidRPr="00B8693C">
              <w:rPr>
                <w:color w:val="000000" w:themeColor="text1"/>
                <w:lang w:val="es-ES"/>
              </w:rPr>
              <w:t>Oct-Dic</w:t>
            </w:r>
          </w:p>
        </w:tc>
      </w:tr>
      <w:tr w:rsidR="00B8270F" w:rsidRPr="00B8693C" w:rsidTr="00AE5CC0">
        <w:tc>
          <w:tcPr>
            <w:tcW w:w="3462" w:type="pct"/>
          </w:tcPr>
          <w:p w:rsidR="00B8270F" w:rsidRPr="00B8693C" w:rsidRDefault="00B8270F" w:rsidP="00C707ED">
            <w:pPr>
              <w:keepNext/>
              <w:keepLines/>
              <w:ind w:left="567" w:hanging="567"/>
              <w:rPr>
                <w:color w:val="000000" w:themeColor="text1"/>
                <w:lang w:val="es-ES"/>
              </w:rPr>
            </w:pPr>
            <w:r w:rsidRPr="00B8693C">
              <w:rPr>
                <w:color w:val="000000" w:themeColor="text1"/>
                <w:lang w:val="es-ES"/>
              </w:rPr>
              <w:t>15.4</w:t>
            </w:r>
            <w:r w:rsidR="00C707ED">
              <w:rPr>
                <w:color w:val="000000" w:themeColor="text1"/>
                <w:lang w:val="es-ES"/>
              </w:rPr>
              <w:tab/>
            </w:r>
            <w:r w:rsidRPr="00B8693C">
              <w:rPr>
                <w:color w:val="000000" w:themeColor="text1"/>
                <w:lang w:val="es-ES"/>
              </w:rPr>
              <w:t>Formación para los coordinadores del GTF (fundamentos)</w:t>
            </w:r>
          </w:p>
        </w:tc>
        <w:tc>
          <w:tcPr>
            <w:tcW w:w="962" w:type="pct"/>
          </w:tcPr>
          <w:p w:rsidR="00B8270F" w:rsidRPr="00B8693C" w:rsidRDefault="00B8270F" w:rsidP="00AE5CC0">
            <w:pPr>
              <w:keepNext/>
              <w:keepLines/>
              <w:jc w:val="center"/>
              <w:rPr>
                <w:color w:val="000000" w:themeColor="text1"/>
                <w:lang w:val="es-ES"/>
              </w:rPr>
            </w:pPr>
            <w:r w:rsidRPr="00B8693C">
              <w:rPr>
                <w:rFonts w:eastAsia="Times New Roman" w:cs="Times New Roman"/>
                <w:color w:val="000000" w:themeColor="text1"/>
                <w:lang w:val="es-ES"/>
              </w:rPr>
              <w:t>HRMD/GTF</w:t>
            </w:r>
          </w:p>
        </w:tc>
        <w:tc>
          <w:tcPr>
            <w:tcW w:w="576" w:type="pct"/>
          </w:tcPr>
          <w:p w:rsidR="00B8270F" w:rsidRPr="00B8693C" w:rsidRDefault="00B8270F" w:rsidP="00AE5CC0">
            <w:pPr>
              <w:keepNext/>
              <w:keepLines/>
              <w:jc w:val="center"/>
              <w:rPr>
                <w:color w:val="000000" w:themeColor="text1"/>
                <w:lang w:val="es-ES"/>
              </w:rPr>
            </w:pPr>
            <w:r w:rsidRPr="00B8693C">
              <w:rPr>
                <w:color w:val="000000" w:themeColor="text1"/>
                <w:lang w:val="es-ES"/>
              </w:rPr>
              <w:t>Oct-Dic</w:t>
            </w:r>
          </w:p>
        </w:tc>
      </w:tr>
    </w:tbl>
    <w:p w:rsidR="00B8270F" w:rsidRPr="00B8693C" w:rsidRDefault="00C707ED" w:rsidP="00C707ED">
      <w:pPr>
        <w:keepNext/>
        <w:keepLines/>
        <w:pBdr>
          <w:bottom w:val="single" w:sz="4" w:space="1" w:color="auto"/>
        </w:pBdr>
        <w:tabs>
          <w:tab w:val="left" w:pos="5529"/>
          <w:tab w:val="right" w:pos="9639"/>
        </w:tabs>
        <w:spacing w:before="240"/>
        <w:rPr>
          <w:color w:val="000000" w:themeColor="text1"/>
          <w:lang w:val="es-ES"/>
        </w:rPr>
      </w:pPr>
      <w:r>
        <w:rPr>
          <w:b/>
          <w:bCs/>
          <w:color w:val="000000" w:themeColor="text1"/>
          <w:lang w:val="es-ES"/>
        </w:rPr>
        <w:t>16</w:t>
      </w:r>
      <w:r>
        <w:rPr>
          <w:b/>
          <w:bCs/>
          <w:color w:val="000000" w:themeColor="text1"/>
          <w:lang w:val="es-ES"/>
        </w:rPr>
        <w:tab/>
      </w:r>
      <w:r w:rsidR="00B8270F" w:rsidRPr="00B8693C">
        <w:rPr>
          <w:b/>
          <w:bCs/>
          <w:color w:val="000000" w:themeColor="text1"/>
          <w:lang w:val="es-ES"/>
        </w:rPr>
        <w:t>Generación y comunicación de conocimientos</w:t>
      </w:r>
      <w:r w:rsidR="00B8270F" w:rsidRPr="00B8693C">
        <w:rPr>
          <w:b/>
          <w:bCs/>
          <w:color w:val="000000" w:themeColor="text1"/>
          <w:lang w:val="es-ES"/>
        </w:rPr>
        <w:tab/>
        <w:t xml:space="preserve">Estado del SWAP en 2016: </w:t>
      </w:r>
      <w:r w:rsidR="00B8270F" w:rsidRPr="00B8693C">
        <w:rPr>
          <w:color w:val="000000" w:themeColor="text1"/>
          <w:lang w:val="es-ES"/>
        </w:rPr>
        <w:t xml:space="preserve">satisface los </w:t>
      </w:r>
      <w:r>
        <w:rPr>
          <w:color w:val="000000" w:themeColor="text1"/>
          <w:lang w:val="es-ES"/>
        </w:rPr>
        <w:tab/>
      </w:r>
      <w:r>
        <w:rPr>
          <w:color w:val="000000" w:themeColor="text1"/>
          <w:lang w:val="es-ES"/>
        </w:rPr>
        <w:tab/>
      </w:r>
      <w:r>
        <w:rPr>
          <w:color w:val="000000" w:themeColor="text1"/>
          <w:lang w:val="es-ES"/>
        </w:rPr>
        <w:tab/>
      </w:r>
      <w:r>
        <w:rPr>
          <w:color w:val="000000" w:themeColor="text1"/>
          <w:lang w:val="es-ES"/>
        </w:rPr>
        <w:tab/>
      </w:r>
      <w:r>
        <w:rPr>
          <w:color w:val="000000" w:themeColor="text1"/>
          <w:lang w:val="es-ES"/>
        </w:rPr>
        <w:tab/>
      </w:r>
      <w:r>
        <w:rPr>
          <w:color w:val="000000" w:themeColor="text1"/>
          <w:lang w:val="es-ES"/>
        </w:rPr>
        <w:tab/>
      </w:r>
      <w:r w:rsidR="00B8270F" w:rsidRPr="00B8693C">
        <w:rPr>
          <w:color w:val="000000" w:themeColor="text1"/>
          <w:lang w:val="es-ES"/>
        </w:rPr>
        <w:t>requisitos</w:t>
      </w:r>
    </w:p>
    <w:p w:rsidR="00B8270F" w:rsidRPr="00B8693C" w:rsidRDefault="00B8270F" w:rsidP="00C707ED">
      <w:pPr>
        <w:spacing w:after="120"/>
        <w:rPr>
          <w:lang w:val="es-ES"/>
        </w:rPr>
      </w:pPr>
      <w:r w:rsidRPr="00B8693C">
        <w:rPr>
          <w:lang w:val="es-ES"/>
        </w:rPr>
        <w:t xml:space="preserve">Para satisfacer los indicadores de rendimiento del ONU-SWAP, la UIT tendría que documentar periódicamente e intercambiar conocimientos sobre las TIC en relación con la igualdad de género y el empoderamiento de las mujeres, así como la representación y el estado de la mujer en la UIT. El plan de comunicación tendría que incluir la igualdad de género y el empoderamiento de las mujeres como componente integral de la información que se divulga internamente y de la que se hace pública. Sería necesario que las comunicaciones públicas tuviesen en cuenta las cuestiones de género y llamaran la atención sobre la dimensión de las cuestiones de género en los problemas, siempre que fuera pertinente, y las comunicaciones internas tendrían que llamar la atención sobre la representación y el estado de las mujeres en el seno de la institución. </w:t>
      </w:r>
    </w:p>
    <w:tbl>
      <w:tblPr>
        <w:tblStyle w:val="TableGrid"/>
        <w:tblW w:w="5000" w:type="pct"/>
        <w:tblLook w:val="04A0" w:firstRow="1" w:lastRow="0" w:firstColumn="1" w:lastColumn="0" w:noHBand="0" w:noVBand="1"/>
      </w:tblPr>
      <w:tblGrid>
        <w:gridCol w:w="6644"/>
        <w:gridCol w:w="1899"/>
        <w:gridCol w:w="1086"/>
      </w:tblGrid>
      <w:tr w:rsidR="00B8270F" w:rsidRPr="00B8693C" w:rsidTr="00AE5CC0">
        <w:tc>
          <w:tcPr>
            <w:tcW w:w="3462" w:type="pct"/>
          </w:tcPr>
          <w:p w:rsidR="00B8270F" w:rsidRPr="00B8693C" w:rsidRDefault="00B8270F" w:rsidP="00AE5CC0">
            <w:pPr>
              <w:keepNext/>
              <w:keepLines/>
              <w:jc w:val="both"/>
              <w:rPr>
                <w:color w:val="000000" w:themeColor="text1"/>
                <w:lang w:val="es-ES"/>
              </w:rPr>
            </w:pPr>
            <w:r w:rsidRPr="00B8693C">
              <w:rPr>
                <w:color w:val="000000" w:themeColor="text1"/>
                <w:u w:val="single"/>
                <w:lang w:val="es-ES"/>
              </w:rPr>
              <w:t>Productos</w:t>
            </w:r>
          </w:p>
        </w:tc>
        <w:tc>
          <w:tcPr>
            <w:tcW w:w="962" w:type="pct"/>
          </w:tcPr>
          <w:p w:rsidR="00B8270F" w:rsidRPr="00B8693C" w:rsidRDefault="00B8270F" w:rsidP="00AE5CC0">
            <w:pPr>
              <w:keepNext/>
              <w:keepLines/>
              <w:jc w:val="center"/>
              <w:rPr>
                <w:color w:val="000000" w:themeColor="text1"/>
                <w:lang w:val="es-ES"/>
              </w:rPr>
            </w:pPr>
            <w:r w:rsidRPr="00B8693C">
              <w:rPr>
                <w:color w:val="000000" w:themeColor="text1"/>
                <w:u w:val="single"/>
                <w:lang w:val="es-ES"/>
              </w:rPr>
              <w:t>Titular/Implicado</w:t>
            </w:r>
          </w:p>
        </w:tc>
        <w:tc>
          <w:tcPr>
            <w:tcW w:w="576" w:type="pct"/>
          </w:tcPr>
          <w:p w:rsidR="00B8270F" w:rsidRPr="00B8693C" w:rsidRDefault="00B8270F" w:rsidP="00AE5CC0">
            <w:pPr>
              <w:keepNext/>
              <w:keepLines/>
              <w:jc w:val="center"/>
              <w:rPr>
                <w:color w:val="000000" w:themeColor="text1"/>
                <w:lang w:val="es-ES"/>
              </w:rPr>
            </w:pPr>
            <w:r w:rsidRPr="00B8693C">
              <w:rPr>
                <w:color w:val="000000" w:themeColor="text1"/>
                <w:u w:val="single"/>
                <w:lang w:val="es-ES"/>
              </w:rPr>
              <w:t>Plazo</w:t>
            </w:r>
          </w:p>
        </w:tc>
      </w:tr>
      <w:tr w:rsidR="00B8270F" w:rsidRPr="00B8693C" w:rsidTr="00AE5CC0">
        <w:tc>
          <w:tcPr>
            <w:tcW w:w="3462" w:type="pct"/>
          </w:tcPr>
          <w:p w:rsidR="00B8270F" w:rsidRPr="00B8693C" w:rsidRDefault="00B8270F" w:rsidP="00C707ED">
            <w:pPr>
              <w:keepNext/>
              <w:keepLines/>
              <w:ind w:left="567" w:hanging="567"/>
              <w:rPr>
                <w:color w:val="000000" w:themeColor="text1"/>
                <w:lang w:val="es-ES"/>
              </w:rPr>
            </w:pPr>
            <w:r w:rsidRPr="00B8693C">
              <w:rPr>
                <w:color w:val="000000" w:themeColor="text1"/>
                <w:lang w:val="es-ES"/>
              </w:rPr>
              <w:t>16.1</w:t>
            </w:r>
            <w:r w:rsidR="00C707ED">
              <w:rPr>
                <w:color w:val="000000" w:themeColor="text1"/>
                <w:lang w:val="es-ES"/>
              </w:rPr>
              <w:tab/>
            </w:r>
            <w:r w:rsidRPr="00B8693C">
              <w:rPr>
                <w:color w:val="000000" w:themeColor="text1"/>
                <w:lang w:val="es-ES"/>
              </w:rPr>
              <w:t>Paquete de bienvenida del GTF (mandato, enlaces, información general, etc.).</w:t>
            </w:r>
          </w:p>
        </w:tc>
        <w:tc>
          <w:tcPr>
            <w:tcW w:w="962" w:type="pct"/>
          </w:tcPr>
          <w:p w:rsidR="00B8270F" w:rsidRPr="00B8693C" w:rsidRDefault="00B8270F" w:rsidP="00AE5CC0">
            <w:pPr>
              <w:jc w:val="center"/>
              <w:rPr>
                <w:color w:val="000000" w:themeColor="text1"/>
                <w:lang w:val="es-ES"/>
              </w:rPr>
            </w:pPr>
            <w:r w:rsidRPr="00B8693C">
              <w:rPr>
                <w:color w:val="000000" w:themeColor="text1"/>
                <w:lang w:val="es-ES"/>
              </w:rPr>
              <w:t>GTF</w:t>
            </w:r>
          </w:p>
        </w:tc>
        <w:tc>
          <w:tcPr>
            <w:tcW w:w="576" w:type="pct"/>
          </w:tcPr>
          <w:p w:rsidR="00B8270F" w:rsidRPr="00B8693C" w:rsidRDefault="00B8270F" w:rsidP="00AE5CC0">
            <w:pPr>
              <w:keepNext/>
              <w:keepLines/>
              <w:jc w:val="center"/>
              <w:rPr>
                <w:color w:val="000000" w:themeColor="text1"/>
                <w:lang w:val="es-ES"/>
              </w:rPr>
            </w:pPr>
            <w:r w:rsidRPr="00B8693C">
              <w:rPr>
                <w:color w:val="000000" w:themeColor="text1"/>
                <w:lang w:val="es-ES"/>
              </w:rPr>
              <w:t>Jun-</w:t>
            </w:r>
            <w:proofErr w:type="spellStart"/>
            <w:r w:rsidRPr="00B8693C">
              <w:rPr>
                <w:color w:val="000000" w:themeColor="text1"/>
                <w:lang w:val="es-ES"/>
              </w:rPr>
              <w:t>Ago</w:t>
            </w:r>
            <w:proofErr w:type="spellEnd"/>
          </w:p>
        </w:tc>
      </w:tr>
      <w:tr w:rsidR="00B8270F" w:rsidRPr="00B8693C" w:rsidTr="00AE5CC0">
        <w:tc>
          <w:tcPr>
            <w:tcW w:w="3462" w:type="pct"/>
          </w:tcPr>
          <w:p w:rsidR="00B8270F" w:rsidRPr="00B8693C" w:rsidRDefault="00B8270F" w:rsidP="00C707ED">
            <w:pPr>
              <w:keepNext/>
              <w:keepLines/>
              <w:rPr>
                <w:color w:val="000000" w:themeColor="text1"/>
                <w:lang w:val="es-ES"/>
              </w:rPr>
            </w:pPr>
            <w:r w:rsidRPr="00B8693C">
              <w:rPr>
                <w:color w:val="000000" w:themeColor="text1"/>
                <w:lang w:val="es-ES"/>
              </w:rPr>
              <w:t>16.2</w:t>
            </w:r>
            <w:r w:rsidR="00C707ED">
              <w:rPr>
                <w:color w:val="000000" w:themeColor="text1"/>
                <w:lang w:val="es-ES"/>
              </w:rPr>
              <w:tab/>
            </w:r>
            <w:r w:rsidRPr="00B8693C">
              <w:rPr>
                <w:color w:val="000000" w:themeColor="text1"/>
                <w:lang w:val="es-ES"/>
              </w:rPr>
              <w:t>Estrategia de comunicación interna (Directrices de la UIT)</w:t>
            </w:r>
          </w:p>
        </w:tc>
        <w:tc>
          <w:tcPr>
            <w:tcW w:w="962" w:type="pct"/>
          </w:tcPr>
          <w:p w:rsidR="00B8270F" w:rsidRPr="00B8693C" w:rsidRDefault="00B8270F" w:rsidP="00AE5CC0">
            <w:pPr>
              <w:keepNext/>
              <w:keepLines/>
              <w:jc w:val="center"/>
              <w:rPr>
                <w:color w:val="000000" w:themeColor="text1"/>
                <w:lang w:val="es-ES"/>
              </w:rPr>
            </w:pPr>
            <w:r w:rsidRPr="00B8693C">
              <w:rPr>
                <w:color w:val="000000" w:themeColor="text1"/>
                <w:lang w:val="es-ES"/>
              </w:rPr>
              <w:t>COMM</w:t>
            </w:r>
          </w:p>
        </w:tc>
        <w:tc>
          <w:tcPr>
            <w:tcW w:w="576" w:type="pct"/>
          </w:tcPr>
          <w:p w:rsidR="00B8270F" w:rsidRPr="00B8693C" w:rsidRDefault="00B8270F" w:rsidP="00AE5CC0">
            <w:pPr>
              <w:keepNext/>
              <w:keepLines/>
              <w:jc w:val="center"/>
              <w:rPr>
                <w:color w:val="000000" w:themeColor="text1"/>
                <w:lang w:val="es-ES"/>
              </w:rPr>
            </w:pPr>
            <w:r w:rsidRPr="00B8693C">
              <w:rPr>
                <w:color w:val="000000" w:themeColor="text1"/>
                <w:lang w:val="es-ES"/>
              </w:rPr>
              <w:t>Jul-</w:t>
            </w:r>
            <w:proofErr w:type="spellStart"/>
            <w:r w:rsidRPr="00B8693C">
              <w:rPr>
                <w:color w:val="000000" w:themeColor="text1"/>
                <w:lang w:val="es-ES"/>
              </w:rPr>
              <w:t>Sep</w:t>
            </w:r>
            <w:proofErr w:type="spellEnd"/>
          </w:p>
        </w:tc>
      </w:tr>
      <w:tr w:rsidR="00B8270F" w:rsidRPr="00B8693C" w:rsidTr="00AE5CC0">
        <w:tc>
          <w:tcPr>
            <w:tcW w:w="3462" w:type="pct"/>
          </w:tcPr>
          <w:p w:rsidR="00B8270F" w:rsidRPr="00B8693C" w:rsidRDefault="00B8270F" w:rsidP="00C707ED">
            <w:pPr>
              <w:keepNext/>
              <w:keepLines/>
              <w:rPr>
                <w:color w:val="000000" w:themeColor="text1"/>
                <w:lang w:val="es-ES"/>
              </w:rPr>
            </w:pPr>
            <w:r w:rsidRPr="00B8693C">
              <w:rPr>
                <w:color w:val="000000" w:themeColor="text1"/>
                <w:lang w:val="es-ES"/>
              </w:rPr>
              <w:t>16.3</w:t>
            </w:r>
            <w:r w:rsidR="00C707ED">
              <w:rPr>
                <w:color w:val="000000" w:themeColor="text1"/>
                <w:lang w:val="es-ES"/>
              </w:rPr>
              <w:tab/>
            </w:r>
            <w:r w:rsidRPr="00B8693C">
              <w:rPr>
                <w:color w:val="000000" w:themeColor="text1"/>
                <w:lang w:val="es-ES"/>
              </w:rPr>
              <w:t>Actualizar SharePoint</w:t>
            </w:r>
          </w:p>
        </w:tc>
        <w:tc>
          <w:tcPr>
            <w:tcW w:w="962" w:type="pct"/>
          </w:tcPr>
          <w:p w:rsidR="00B8270F" w:rsidRPr="00B8693C" w:rsidRDefault="00B8270F" w:rsidP="00AE5CC0">
            <w:pPr>
              <w:keepNext/>
              <w:keepLines/>
              <w:jc w:val="center"/>
              <w:rPr>
                <w:color w:val="000000" w:themeColor="text1"/>
                <w:lang w:val="es-ES"/>
              </w:rPr>
            </w:pPr>
            <w:r w:rsidRPr="00B8693C">
              <w:rPr>
                <w:color w:val="000000" w:themeColor="text1"/>
                <w:lang w:val="es-ES"/>
              </w:rPr>
              <w:t>GTF</w:t>
            </w:r>
          </w:p>
        </w:tc>
        <w:tc>
          <w:tcPr>
            <w:tcW w:w="576" w:type="pct"/>
          </w:tcPr>
          <w:p w:rsidR="00B8270F" w:rsidRPr="00B8693C" w:rsidRDefault="00B8270F" w:rsidP="00AE5CC0">
            <w:pPr>
              <w:keepNext/>
              <w:keepLines/>
              <w:jc w:val="center"/>
              <w:rPr>
                <w:color w:val="000000" w:themeColor="text1"/>
                <w:lang w:val="es-ES"/>
              </w:rPr>
            </w:pPr>
            <w:r w:rsidRPr="00B8693C">
              <w:rPr>
                <w:color w:val="000000" w:themeColor="text1"/>
                <w:lang w:val="es-ES"/>
              </w:rPr>
              <w:t>En curso</w:t>
            </w:r>
          </w:p>
        </w:tc>
      </w:tr>
      <w:tr w:rsidR="00B8270F" w:rsidRPr="00B8693C" w:rsidTr="00AE5CC0">
        <w:tc>
          <w:tcPr>
            <w:tcW w:w="3462" w:type="pct"/>
          </w:tcPr>
          <w:p w:rsidR="00B8270F" w:rsidRPr="00B8693C" w:rsidRDefault="00B8270F" w:rsidP="00C707ED">
            <w:pPr>
              <w:keepNext/>
              <w:keepLines/>
              <w:rPr>
                <w:color w:val="000000" w:themeColor="text1"/>
                <w:lang w:val="es-ES"/>
              </w:rPr>
            </w:pPr>
            <w:r w:rsidRPr="00B8693C">
              <w:rPr>
                <w:color w:val="000000" w:themeColor="text1"/>
                <w:lang w:val="es-ES"/>
              </w:rPr>
              <w:t>16.4</w:t>
            </w:r>
            <w:r w:rsidR="00C707ED">
              <w:rPr>
                <w:color w:val="000000" w:themeColor="text1"/>
                <w:lang w:val="es-ES"/>
              </w:rPr>
              <w:tab/>
            </w:r>
            <w:r w:rsidRPr="00B8693C">
              <w:rPr>
                <w:color w:val="000000" w:themeColor="text1"/>
                <w:lang w:val="es-ES"/>
              </w:rPr>
              <w:t>Reuniones mensuales del GTF con acciones</w:t>
            </w:r>
          </w:p>
        </w:tc>
        <w:tc>
          <w:tcPr>
            <w:tcW w:w="962" w:type="pct"/>
          </w:tcPr>
          <w:p w:rsidR="00B8270F" w:rsidRPr="00B8693C" w:rsidRDefault="00B8270F" w:rsidP="00AE5CC0">
            <w:pPr>
              <w:keepNext/>
              <w:keepLines/>
              <w:jc w:val="center"/>
              <w:rPr>
                <w:color w:val="000000" w:themeColor="text1"/>
                <w:lang w:val="es-ES"/>
              </w:rPr>
            </w:pPr>
            <w:r w:rsidRPr="00B8693C">
              <w:rPr>
                <w:color w:val="000000" w:themeColor="text1"/>
                <w:lang w:val="es-ES"/>
              </w:rPr>
              <w:t>GTF</w:t>
            </w:r>
          </w:p>
        </w:tc>
        <w:tc>
          <w:tcPr>
            <w:tcW w:w="576" w:type="pct"/>
          </w:tcPr>
          <w:p w:rsidR="00B8270F" w:rsidRPr="00B8693C" w:rsidRDefault="00B8270F" w:rsidP="00AE5CC0">
            <w:pPr>
              <w:keepNext/>
              <w:keepLines/>
              <w:jc w:val="center"/>
              <w:rPr>
                <w:color w:val="000000" w:themeColor="text1"/>
                <w:lang w:val="es-ES"/>
              </w:rPr>
            </w:pPr>
            <w:r w:rsidRPr="00B8693C">
              <w:rPr>
                <w:color w:val="000000" w:themeColor="text1"/>
                <w:lang w:val="es-ES"/>
              </w:rPr>
              <w:t>Feb-Dic</w:t>
            </w:r>
          </w:p>
        </w:tc>
      </w:tr>
    </w:tbl>
    <w:p w:rsidR="00B8270F" w:rsidRPr="00B8693C" w:rsidRDefault="00C707ED" w:rsidP="00B8693C">
      <w:pPr>
        <w:keepNext/>
        <w:keepLines/>
        <w:pBdr>
          <w:bottom w:val="single" w:sz="4" w:space="1" w:color="auto"/>
        </w:pBdr>
        <w:tabs>
          <w:tab w:val="right" w:pos="9639"/>
        </w:tabs>
        <w:spacing w:before="240"/>
        <w:rPr>
          <w:color w:val="000000" w:themeColor="text1"/>
          <w:lang w:val="es-ES"/>
        </w:rPr>
      </w:pPr>
      <w:r>
        <w:rPr>
          <w:b/>
          <w:bCs/>
          <w:color w:val="000000" w:themeColor="text1"/>
          <w:lang w:val="es-ES"/>
        </w:rPr>
        <w:t>17</w:t>
      </w:r>
      <w:r>
        <w:rPr>
          <w:b/>
          <w:bCs/>
          <w:color w:val="000000" w:themeColor="text1"/>
          <w:lang w:val="es-ES"/>
        </w:rPr>
        <w:tab/>
      </w:r>
      <w:r w:rsidR="00B8270F" w:rsidRPr="00B8693C">
        <w:rPr>
          <w:b/>
          <w:bCs/>
          <w:color w:val="000000" w:themeColor="text1"/>
          <w:lang w:val="es-ES"/>
        </w:rPr>
        <w:t>Coherencia</w:t>
      </w:r>
      <w:r w:rsidR="00B8270F" w:rsidRPr="00B8693C">
        <w:rPr>
          <w:b/>
          <w:bCs/>
          <w:color w:val="000000" w:themeColor="text1"/>
          <w:lang w:val="es-ES"/>
        </w:rPr>
        <w:tab/>
      </w:r>
      <w:r>
        <w:rPr>
          <w:b/>
          <w:bCs/>
          <w:color w:val="000000" w:themeColor="text1"/>
          <w:lang w:val="es-ES"/>
        </w:rPr>
        <w:tab/>
      </w:r>
      <w:r>
        <w:rPr>
          <w:b/>
          <w:bCs/>
          <w:color w:val="000000" w:themeColor="text1"/>
          <w:lang w:val="es-ES"/>
        </w:rPr>
        <w:tab/>
      </w:r>
      <w:r>
        <w:rPr>
          <w:b/>
          <w:bCs/>
          <w:color w:val="000000" w:themeColor="text1"/>
          <w:lang w:val="es-ES"/>
        </w:rPr>
        <w:tab/>
      </w:r>
      <w:r w:rsidR="00B8270F" w:rsidRPr="00B8693C">
        <w:rPr>
          <w:b/>
          <w:bCs/>
          <w:color w:val="000000" w:themeColor="text1"/>
          <w:lang w:val="es-ES"/>
        </w:rPr>
        <w:t xml:space="preserve">Estado del SWAP en 2016: </w:t>
      </w:r>
      <w:r w:rsidR="00B8270F" w:rsidRPr="00B8693C">
        <w:rPr>
          <w:color w:val="000000" w:themeColor="text1"/>
          <w:lang w:val="es-ES"/>
        </w:rPr>
        <w:t>satisface los requisitos</w:t>
      </w:r>
    </w:p>
    <w:p w:rsidR="00B8270F" w:rsidRPr="00B8693C" w:rsidRDefault="00B8270F" w:rsidP="00C707ED">
      <w:pPr>
        <w:spacing w:after="120"/>
        <w:rPr>
          <w:lang w:val="es-ES"/>
        </w:rPr>
      </w:pPr>
      <w:r w:rsidRPr="00B8693C">
        <w:rPr>
          <w:lang w:val="es-ES"/>
        </w:rPr>
        <w:t>Para satisfacer los indicadores de rendimiento del ONU-SWAP, la UIT tendría que participar periódicamente en los mecanismos de coordinación interinstitucionales sobre la igualdad de género y el empoderamiento de las mujeres.</w:t>
      </w:r>
    </w:p>
    <w:tbl>
      <w:tblPr>
        <w:tblStyle w:val="TableGrid"/>
        <w:tblW w:w="5000" w:type="pct"/>
        <w:tblLook w:val="04A0" w:firstRow="1" w:lastRow="0" w:firstColumn="1" w:lastColumn="0" w:noHBand="0" w:noVBand="1"/>
      </w:tblPr>
      <w:tblGrid>
        <w:gridCol w:w="6644"/>
        <w:gridCol w:w="1899"/>
        <w:gridCol w:w="1086"/>
      </w:tblGrid>
      <w:tr w:rsidR="00B8270F" w:rsidRPr="00B8693C" w:rsidTr="00AE5CC0">
        <w:tc>
          <w:tcPr>
            <w:tcW w:w="3462" w:type="pct"/>
          </w:tcPr>
          <w:p w:rsidR="00B8270F" w:rsidRPr="00B8693C" w:rsidRDefault="00B8270F" w:rsidP="00AE5CC0">
            <w:pPr>
              <w:keepNext/>
              <w:keepLines/>
              <w:jc w:val="both"/>
              <w:rPr>
                <w:color w:val="000000" w:themeColor="text1"/>
                <w:lang w:val="es-ES"/>
              </w:rPr>
            </w:pPr>
            <w:r w:rsidRPr="00B8693C">
              <w:rPr>
                <w:color w:val="000000" w:themeColor="text1"/>
                <w:u w:val="single"/>
                <w:lang w:val="es-ES"/>
              </w:rPr>
              <w:t>Productos</w:t>
            </w:r>
          </w:p>
        </w:tc>
        <w:tc>
          <w:tcPr>
            <w:tcW w:w="962" w:type="pct"/>
          </w:tcPr>
          <w:p w:rsidR="00B8270F" w:rsidRPr="00B8693C" w:rsidRDefault="00B8270F" w:rsidP="00AE5CC0">
            <w:pPr>
              <w:keepNext/>
              <w:keepLines/>
              <w:jc w:val="both"/>
              <w:rPr>
                <w:color w:val="000000" w:themeColor="text1"/>
                <w:lang w:val="es-ES"/>
              </w:rPr>
            </w:pPr>
            <w:r w:rsidRPr="00B8693C">
              <w:rPr>
                <w:color w:val="000000" w:themeColor="text1"/>
                <w:u w:val="single"/>
                <w:lang w:val="es-ES"/>
              </w:rPr>
              <w:t>Titular/Implicado</w:t>
            </w:r>
          </w:p>
        </w:tc>
        <w:tc>
          <w:tcPr>
            <w:tcW w:w="576" w:type="pct"/>
          </w:tcPr>
          <w:p w:rsidR="00B8270F" w:rsidRPr="00B8693C" w:rsidRDefault="00B8270F" w:rsidP="00AE5CC0">
            <w:pPr>
              <w:keepNext/>
              <w:keepLines/>
              <w:jc w:val="center"/>
              <w:rPr>
                <w:color w:val="000000" w:themeColor="text1"/>
                <w:lang w:val="es-ES"/>
              </w:rPr>
            </w:pPr>
            <w:r w:rsidRPr="00B8693C">
              <w:rPr>
                <w:color w:val="000000" w:themeColor="text1"/>
                <w:u w:val="single"/>
                <w:lang w:val="es-ES"/>
              </w:rPr>
              <w:t>Plazo</w:t>
            </w:r>
          </w:p>
        </w:tc>
      </w:tr>
      <w:tr w:rsidR="00B8270F" w:rsidRPr="00B8693C" w:rsidTr="00AE5CC0">
        <w:tc>
          <w:tcPr>
            <w:tcW w:w="3462" w:type="pct"/>
          </w:tcPr>
          <w:p w:rsidR="00B8270F" w:rsidRPr="00B8693C" w:rsidRDefault="00B8270F" w:rsidP="00C707ED">
            <w:pPr>
              <w:keepNext/>
              <w:keepLines/>
              <w:ind w:left="567" w:hanging="567"/>
              <w:rPr>
                <w:color w:val="000000" w:themeColor="text1"/>
                <w:lang w:val="es-ES"/>
              </w:rPr>
            </w:pPr>
            <w:r w:rsidRPr="00B8693C">
              <w:rPr>
                <w:rFonts w:eastAsia="Times New Roman" w:cs="Times New Roman"/>
                <w:color w:val="000000" w:themeColor="text1"/>
                <w:lang w:val="es-ES"/>
              </w:rPr>
              <w:t>17.1</w:t>
            </w:r>
            <w:r w:rsidR="00C707ED">
              <w:rPr>
                <w:rFonts w:eastAsia="Times New Roman" w:cs="Times New Roman"/>
                <w:color w:val="000000" w:themeColor="text1"/>
                <w:lang w:val="es-ES"/>
              </w:rPr>
              <w:tab/>
            </w:r>
            <w:r w:rsidRPr="00B8693C">
              <w:rPr>
                <w:rFonts w:eastAsia="Times New Roman" w:cs="Times New Roman"/>
                <w:color w:val="000000" w:themeColor="text1"/>
                <w:lang w:val="es-ES"/>
              </w:rPr>
              <w:t>Informes de las reuniones interinstitucionales para el GTF/</w:t>
            </w:r>
            <w:proofErr w:type="spellStart"/>
            <w:r w:rsidRPr="00B8693C">
              <w:rPr>
                <w:rFonts w:eastAsia="Times New Roman" w:cs="Times New Roman"/>
                <w:color w:val="000000" w:themeColor="text1"/>
                <w:lang w:val="es-ES"/>
              </w:rPr>
              <w:t>Sharepoint</w:t>
            </w:r>
            <w:proofErr w:type="spellEnd"/>
          </w:p>
        </w:tc>
        <w:tc>
          <w:tcPr>
            <w:tcW w:w="962" w:type="pct"/>
          </w:tcPr>
          <w:p w:rsidR="00B8270F" w:rsidRPr="00B8693C" w:rsidRDefault="00B8270F" w:rsidP="00AE5CC0">
            <w:pPr>
              <w:keepNext/>
              <w:keepLines/>
              <w:jc w:val="center"/>
              <w:rPr>
                <w:color w:val="000000" w:themeColor="text1"/>
                <w:lang w:val="es-ES"/>
              </w:rPr>
            </w:pPr>
            <w:r w:rsidRPr="00B8693C">
              <w:rPr>
                <w:rFonts w:eastAsia="Times New Roman" w:cs="Times New Roman"/>
                <w:color w:val="000000" w:themeColor="text1"/>
                <w:lang w:val="es-ES"/>
              </w:rPr>
              <w:t>GBS/GTF</w:t>
            </w:r>
          </w:p>
        </w:tc>
        <w:tc>
          <w:tcPr>
            <w:tcW w:w="576" w:type="pct"/>
          </w:tcPr>
          <w:p w:rsidR="00B8270F" w:rsidRPr="00B8693C" w:rsidRDefault="00B8270F" w:rsidP="00AE5CC0">
            <w:pPr>
              <w:keepNext/>
              <w:keepLines/>
              <w:jc w:val="center"/>
              <w:rPr>
                <w:color w:val="000000" w:themeColor="text1"/>
                <w:lang w:val="es-ES"/>
              </w:rPr>
            </w:pPr>
            <w:r w:rsidRPr="00B8693C">
              <w:rPr>
                <w:rFonts w:eastAsia="Times New Roman" w:cs="Times New Roman"/>
                <w:color w:val="000000" w:themeColor="text1"/>
                <w:lang w:val="es-ES"/>
              </w:rPr>
              <w:t>Ene-Dic</w:t>
            </w:r>
          </w:p>
        </w:tc>
      </w:tr>
    </w:tbl>
    <w:p w:rsidR="00C707ED" w:rsidRDefault="00C707ED" w:rsidP="0032202E">
      <w:pPr>
        <w:pStyle w:val="Reasons"/>
      </w:pPr>
    </w:p>
    <w:p w:rsidR="00C707ED" w:rsidRDefault="00C707ED">
      <w:pPr>
        <w:jc w:val="center"/>
      </w:pPr>
      <w:r>
        <w:t>______________</w:t>
      </w:r>
    </w:p>
    <w:sectPr w:rsidR="00C707ED" w:rsidSect="006710F6">
      <w:headerReference w:type="default" r:id="rId14"/>
      <w:footerReference w:type="default" r:id="rId15"/>
      <w:footerReference w:type="first" r:id="rId16"/>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01B1" w:rsidRDefault="00CD01B1">
      <w:r>
        <w:separator/>
      </w:r>
    </w:p>
  </w:endnote>
  <w:endnote w:type="continuationSeparator" w:id="0">
    <w:p w:rsidR="00CD01B1" w:rsidRDefault="00CD0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Pr="00B8693C" w:rsidRDefault="00B8693C" w:rsidP="00B8693C">
    <w:pPr>
      <w:pStyle w:val="Footer"/>
      <w:rPr>
        <w:lang w:val="fr-CH"/>
      </w:rPr>
    </w:pPr>
    <w:r>
      <w:fldChar w:fldCharType="begin"/>
    </w:r>
    <w:r w:rsidRPr="00B8693C">
      <w:rPr>
        <w:lang w:val="fr-CH"/>
      </w:rPr>
      <w:instrText xml:space="preserve"> FILENAME \p  \* MERGEFORMAT </w:instrText>
    </w:r>
    <w:r>
      <w:fldChar w:fldCharType="separate"/>
    </w:r>
    <w:r w:rsidRPr="00B8693C">
      <w:rPr>
        <w:lang w:val="fr-CH"/>
      </w:rPr>
      <w:t>P:\ESP\SG\CONSEIL\C17\000\071S.docx</w:t>
    </w:r>
    <w:r>
      <w:fldChar w:fldCharType="end"/>
    </w:r>
    <w:r w:rsidRPr="00B8693C">
      <w:rPr>
        <w:lang w:val="fr-CH"/>
      </w:rPr>
      <w:t xml:space="preserve"> (</w:t>
    </w:r>
    <w:r>
      <w:rPr>
        <w:lang w:val="fr-CH"/>
      </w:rPr>
      <w:t>415266</w:t>
    </w:r>
    <w:r w:rsidRPr="00B8693C">
      <w:rPr>
        <w:lang w:val="fr-CH"/>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760F1C">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01B1" w:rsidRDefault="00CD01B1">
      <w:r>
        <w:t>____________________</w:t>
      </w:r>
    </w:p>
  </w:footnote>
  <w:footnote w:type="continuationSeparator" w:id="0">
    <w:p w:rsidR="00CD01B1" w:rsidRDefault="00CD01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0B7C15" w:rsidP="007657F0">
    <w:pPr>
      <w:pStyle w:val="Header"/>
    </w:pPr>
    <w:r>
      <w:fldChar w:fldCharType="begin"/>
    </w:r>
    <w:r>
      <w:instrText>PAGE</w:instrText>
    </w:r>
    <w:r>
      <w:fldChar w:fldCharType="separate"/>
    </w:r>
    <w:r w:rsidR="00633829">
      <w:rPr>
        <w:noProof/>
      </w:rPr>
      <w:t>2</w:t>
    </w:r>
    <w:r>
      <w:rPr>
        <w:noProof/>
      </w:rPr>
      <w:fldChar w:fldCharType="end"/>
    </w:r>
  </w:p>
  <w:p w:rsidR="00760F1C" w:rsidRDefault="00760F1C" w:rsidP="00B8693C">
    <w:pPr>
      <w:pStyle w:val="Header"/>
    </w:pPr>
    <w:r>
      <w:t>C</w:t>
    </w:r>
    <w:r w:rsidR="007F350B">
      <w:t>1</w:t>
    </w:r>
    <w:r w:rsidR="00B8298E">
      <w:t>7</w:t>
    </w:r>
    <w:r>
      <w:t>/</w:t>
    </w:r>
    <w:r w:rsidR="00B8693C">
      <w:t>71</w:t>
    </w:r>
    <w:r>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886DB5"/>
    <w:multiLevelType w:val="hybridMultilevel"/>
    <w:tmpl w:val="C89698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555792"/>
    <w:multiLevelType w:val="multilevel"/>
    <w:tmpl w:val="B4825A58"/>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asciiTheme="minorHAnsi" w:hAnsiTheme="minorHAnsi" w:cstheme="minorHAnsi" w:hint="default"/>
        <w:b w:val="0"/>
        <w:bCs/>
        <w:i w:val="0"/>
        <w:iCs w:val="0"/>
        <w:sz w:val="22"/>
        <w:szCs w:val="22"/>
      </w:rPr>
    </w:lvl>
    <w:lvl w:ilvl="2">
      <w:start w:val="1"/>
      <w:numFmt w:val="decimal"/>
      <w:isLgl/>
      <w:lvlText w:val="%1.%2.%3"/>
      <w:lvlJc w:val="left"/>
      <w:pPr>
        <w:ind w:left="1080" w:hanging="720"/>
      </w:pPr>
      <w:rPr>
        <w:rFonts w:hint="default"/>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70F"/>
    <w:rsid w:val="00093EEB"/>
    <w:rsid w:val="000B0D00"/>
    <w:rsid w:val="000B7C15"/>
    <w:rsid w:val="000D1D0F"/>
    <w:rsid w:val="000F5290"/>
    <w:rsid w:val="0010165C"/>
    <w:rsid w:val="00146BFB"/>
    <w:rsid w:val="001F14A2"/>
    <w:rsid w:val="002801AA"/>
    <w:rsid w:val="002C4676"/>
    <w:rsid w:val="002C70B0"/>
    <w:rsid w:val="002F3CC4"/>
    <w:rsid w:val="003B798E"/>
    <w:rsid w:val="00513630"/>
    <w:rsid w:val="00560125"/>
    <w:rsid w:val="00585553"/>
    <w:rsid w:val="005B34D9"/>
    <w:rsid w:val="005D0CCF"/>
    <w:rsid w:val="005F410F"/>
    <w:rsid w:val="0060149A"/>
    <w:rsid w:val="00601924"/>
    <w:rsid w:val="00633829"/>
    <w:rsid w:val="006447EA"/>
    <w:rsid w:val="0064731F"/>
    <w:rsid w:val="006710F6"/>
    <w:rsid w:val="006C1B56"/>
    <w:rsid w:val="006D4761"/>
    <w:rsid w:val="00726872"/>
    <w:rsid w:val="00760F1C"/>
    <w:rsid w:val="007657F0"/>
    <w:rsid w:val="0077252D"/>
    <w:rsid w:val="007E5DD3"/>
    <w:rsid w:val="007F350B"/>
    <w:rsid w:val="00820BE4"/>
    <w:rsid w:val="008451E8"/>
    <w:rsid w:val="008553FF"/>
    <w:rsid w:val="00913B9C"/>
    <w:rsid w:val="00956E77"/>
    <w:rsid w:val="00AA390C"/>
    <w:rsid w:val="00B0200A"/>
    <w:rsid w:val="00B574DB"/>
    <w:rsid w:val="00B826C2"/>
    <w:rsid w:val="00B8270F"/>
    <w:rsid w:val="00B8298E"/>
    <w:rsid w:val="00B8693C"/>
    <w:rsid w:val="00BD0723"/>
    <w:rsid w:val="00BD2518"/>
    <w:rsid w:val="00BF1D1C"/>
    <w:rsid w:val="00C20C59"/>
    <w:rsid w:val="00C55B1F"/>
    <w:rsid w:val="00C707ED"/>
    <w:rsid w:val="00CD01B1"/>
    <w:rsid w:val="00CF1A67"/>
    <w:rsid w:val="00D2750E"/>
    <w:rsid w:val="00D62446"/>
    <w:rsid w:val="00DA4EA2"/>
    <w:rsid w:val="00DC3D3E"/>
    <w:rsid w:val="00DE2C90"/>
    <w:rsid w:val="00DE3B24"/>
    <w:rsid w:val="00E06947"/>
    <w:rsid w:val="00E30C43"/>
    <w:rsid w:val="00E3592D"/>
    <w:rsid w:val="00E459A7"/>
    <w:rsid w:val="00E92DE8"/>
    <w:rsid w:val="00EB1212"/>
    <w:rsid w:val="00ED65AB"/>
    <w:rsid w:val="00F12850"/>
    <w:rsid w:val="00F33BF4"/>
    <w:rsid w:val="00F7105E"/>
    <w:rsid w:val="00F75F57"/>
    <w:rsid w:val="00F82FEE"/>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CD7D528-5537-4E20-98F7-E04B0CE74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table" w:styleId="TableGrid">
    <w:name w:val="Table Grid"/>
    <w:basedOn w:val="TableNormal"/>
    <w:uiPriority w:val="39"/>
    <w:rsid w:val="00B8270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B8270F"/>
    <w:pPr>
      <w:tabs>
        <w:tab w:val="clear" w:pos="567"/>
        <w:tab w:val="clear" w:pos="1134"/>
        <w:tab w:val="clear" w:pos="1701"/>
        <w:tab w:val="clear" w:pos="2268"/>
        <w:tab w:val="clear" w:pos="2835"/>
      </w:tabs>
      <w:overflowPunct/>
      <w:autoSpaceDE/>
      <w:autoSpaceDN/>
      <w:adjustRightInd/>
      <w:spacing w:before="0" w:after="160" w:line="259" w:lineRule="auto"/>
      <w:ind w:left="720"/>
      <w:contextualSpacing/>
      <w:textAlignment w:val="auto"/>
    </w:pPr>
    <w:rPr>
      <w:rFonts w:asciiTheme="minorHAnsi" w:eastAsiaTheme="minorEastAsia" w:hAnsiTheme="minorHAnsi" w:cstheme="minorBidi"/>
      <w:sz w:val="22"/>
      <w:szCs w:val="22"/>
      <w:lang w:val="en-US" w:eastAsia="zh-CN"/>
    </w:rPr>
  </w:style>
  <w:style w:type="character" w:customStyle="1" w:styleId="ListParagraphChar">
    <w:name w:val="List Paragraph Char"/>
    <w:link w:val="ListParagraph"/>
    <w:uiPriority w:val="34"/>
    <w:locked/>
    <w:rsid w:val="00B8270F"/>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pub/S-CONF-ACTF-2014" TargetMode="External"/><Relationship Id="rId13" Type="http://schemas.openxmlformats.org/officeDocument/2006/relationships/hyperlink" Target="https://www.itu.int/md/S17-CLCWGFHRM7-INF-0005/en"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itu.int/md/S17-CL-INF-0007/e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u.int/en/action/gender-equality/Documents/gender-policy-document.pdf"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itu.int/md/S17-CL-INF-0007/en" TargetMode="External"/><Relationship Id="rId4" Type="http://schemas.openxmlformats.org/officeDocument/2006/relationships/webSettings" Target="webSettings.xml"/><Relationship Id="rId9" Type="http://schemas.openxmlformats.org/officeDocument/2006/relationships/hyperlink" Target="https://www.itu.int/md/S13-CL-C-0039/en"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riano\AppData\Roaming\Microsoft\Templates\POOL%20S%20-%20ITU\PS_C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PS_C17.dotx</Template>
  <TotalTime>1</TotalTime>
  <Pages>10</Pages>
  <Words>3743</Words>
  <Characters>21339</Characters>
  <Application>Microsoft Office Word</Application>
  <DocSecurity>0</DocSecurity>
  <Lines>177</Lines>
  <Paragraphs>50</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25032</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Examen de la política de Igualdad e Integración de Género (IIG) de la UIT y propuesta de plan de aplicación para 2017</dc:title>
  <dc:subject>Consejo 2017</dc:subject>
  <dc:creator>Spanish</dc:creator>
  <cp:keywords>C2017, C17</cp:keywords>
  <dc:description>Documento C17/-S  Para: _x000d_Fecha del documento: enero de 2017_x000d_Registrado por ITU51009317 a 15:32:38 el 06/04/2017</dc:description>
  <cp:lastModifiedBy>Brouard, Ricarda</cp:lastModifiedBy>
  <cp:revision>3</cp:revision>
  <cp:lastPrinted>2006-03-24T09:51:00Z</cp:lastPrinted>
  <dcterms:created xsi:type="dcterms:W3CDTF">2017-05-01T13:12:00Z</dcterms:created>
  <dcterms:modified xsi:type="dcterms:W3CDTF">2017-05-01T13:13:00Z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