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8B0565">
        <w:trPr>
          <w:cantSplit/>
        </w:trPr>
        <w:tc>
          <w:tcPr>
            <w:tcW w:w="6912" w:type="dxa"/>
          </w:tcPr>
          <w:p w:rsidR="00520F36" w:rsidRPr="008B0565" w:rsidRDefault="00520F36" w:rsidP="00520F36">
            <w:pPr>
              <w:spacing w:before="360"/>
              <w:rPr>
                <w:lang w:val="fr-CH"/>
              </w:rPr>
            </w:pPr>
            <w:bookmarkStart w:id="0" w:name="dc06"/>
            <w:bookmarkEnd w:id="0"/>
            <w:r w:rsidRPr="008B0565">
              <w:rPr>
                <w:b/>
                <w:bCs/>
                <w:sz w:val="30"/>
                <w:szCs w:val="30"/>
                <w:lang w:val="fr-CH"/>
              </w:rPr>
              <w:t>Conseil 2017</w:t>
            </w:r>
            <w:r w:rsidRPr="008B0565">
              <w:rPr>
                <w:rFonts w:ascii="Verdana" w:hAnsi="Verdana"/>
                <w:b/>
                <w:bCs/>
                <w:sz w:val="26"/>
                <w:szCs w:val="26"/>
                <w:lang w:val="fr-CH"/>
              </w:rPr>
              <w:br/>
            </w:r>
            <w:r w:rsidRPr="008B0565">
              <w:rPr>
                <w:b/>
                <w:bCs/>
                <w:szCs w:val="24"/>
                <w:lang w:val="fr-CH"/>
              </w:rPr>
              <w:t>Gen</w:t>
            </w:r>
            <w:r w:rsidRPr="008B0565">
              <w:rPr>
                <w:b/>
                <w:bCs/>
                <w:szCs w:val="24"/>
                <w:lang w:val="en-US"/>
              </w:rPr>
              <w:t>ève</w:t>
            </w:r>
            <w:r w:rsidRPr="008B0565">
              <w:rPr>
                <w:b/>
                <w:bCs/>
                <w:szCs w:val="24"/>
                <w:lang w:val="fr-CH"/>
              </w:rPr>
              <w:t>, 15-25 mai 2017</w:t>
            </w:r>
          </w:p>
        </w:tc>
        <w:tc>
          <w:tcPr>
            <w:tcW w:w="3261" w:type="dxa"/>
          </w:tcPr>
          <w:p w:rsidR="00520F36" w:rsidRPr="008B0565" w:rsidRDefault="00520F36" w:rsidP="00520F36">
            <w:pPr>
              <w:spacing w:before="0"/>
              <w:jc w:val="right"/>
              <w:rPr>
                <w:lang w:val="fr-CH"/>
              </w:rPr>
            </w:pPr>
            <w:bookmarkStart w:id="1" w:name="ditulogo"/>
            <w:bookmarkEnd w:id="1"/>
            <w:r w:rsidRPr="008B0565">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8B0565" w:rsidTr="00266092">
        <w:trPr>
          <w:cantSplit/>
          <w:trHeight w:val="20"/>
        </w:trPr>
        <w:tc>
          <w:tcPr>
            <w:tcW w:w="6912" w:type="dxa"/>
            <w:tcBorders>
              <w:bottom w:val="single" w:sz="12" w:space="0" w:color="auto"/>
            </w:tcBorders>
            <w:vAlign w:val="center"/>
          </w:tcPr>
          <w:p w:rsidR="00520F36" w:rsidRPr="008B0565" w:rsidRDefault="00520F36" w:rsidP="004C37A9">
            <w:pPr>
              <w:spacing w:before="0"/>
              <w:rPr>
                <w:b/>
                <w:bCs/>
                <w:sz w:val="26"/>
                <w:szCs w:val="26"/>
                <w:lang w:val="fr-CH"/>
              </w:rPr>
            </w:pPr>
          </w:p>
        </w:tc>
        <w:tc>
          <w:tcPr>
            <w:tcW w:w="3261" w:type="dxa"/>
            <w:tcBorders>
              <w:bottom w:val="single" w:sz="12" w:space="0" w:color="auto"/>
            </w:tcBorders>
          </w:tcPr>
          <w:p w:rsidR="00520F36" w:rsidRPr="008B0565" w:rsidRDefault="00520F36" w:rsidP="00DF74DD">
            <w:pPr>
              <w:spacing w:before="0"/>
              <w:rPr>
                <w:b/>
                <w:bCs/>
              </w:rPr>
            </w:pPr>
          </w:p>
        </w:tc>
      </w:tr>
      <w:tr w:rsidR="00520F36" w:rsidRPr="008B0565">
        <w:trPr>
          <w:cantSplit/>
          <w:trHeight w:val="20"/>
        </w:trPr>
        <w:tc>
          <w:tcPr>
            <w:tcW w:w="6912" w:type="dxa"/>
            <w:tcBorders>
              <w:top w:val="single" w:sz="12" w:space="0" w:color="auto"/>
            </w:tcBorders>
          </w:tcPr>
          <w:p w:rsidR="00520F36" w:rsidRPr="008B0565" w:rsidRDefault="00520F36" w:rsidP="00DF74DD">
            <w:pPr>
              <w:spacing w:before="0"/>
              <w:rPr>
                <w:smallCaps/>
                <w:sz w:val="22"/>
                <w:lang w:val="fr-CH"/>
              </w:rPr>
            </w:pPr>
          </w:p>
        </w:tc>
        <w:tc>
          <w:tcPr>
            <w:tcW w:w="3261" w:type="dxa"/>
            <w:tcBorders>
              <w:top w:val="single" w:sz="12" w:space="0" w:color="auto"/>
            </w:tcBorders>
          </w:tcPr>
          <w:p w:rsidR="00520F36" w:rsidRPr="008B0565" w:rsidRDefault="00520F36" w:rsidP="00DF74DD">
            <w:pPr>
              <w:spacing w:before="0"/>
              <w:rPr>
                <w:b/>
                <w:bCs/>
              </w:rPr>
            </w:pPr>
          </w:p>
        </w:tc>
      </w:tr>
      <w:tr w:rsidR="00520F36" w:rsidRPr="008B0565">
        <w:trPr>
          <w:cantSplit/>
          <w:trHeight w:val="20"/>
        </w:trPr>
        <w:tc>
          <w:tcPr>
            <w:tcW w:w="6912" w:type="dxa"/>
            <w:vMerge w:val="restart"/>
          </w:tcPr>
          <w:p w:rsidR="00520F36" w:rsidRPr="008B0565" w:rsidRDefault="009A3974" w:rsidP="00DF74DD">
            <w:pPr>
              <w:spacing w:before="0"/>
              <w:rPr>
                <w:rFonts w:cs="Times"/>
                <w:b/>
                <w:bCs/>
                <w:szCs w:val="24"/>
                <w:lang w:val="fr-CH"/>
              </w:rPr>
            </w:pPr>
            <w:bookmarkStart w:id="2" w:name="dnum" w:colFirst="1" w:colLast="1"/>
            <w:bookmarkStart w:id="3" w:name="dmeeting" w:colFirst="0" w:colLast="0"/>
            <w:r w:rsidRPr="008B0565">
              <w:rPr>
                <w:b/>
              </w:rPr>
              <w:t>Point de l</w:t>
            </w:r>
            <w:r w:rsidR="00266092" w:rsidRPr="008B0565">
              <w:rPr>
                <w:b/>
              </w:rPr>
              <w:t>'</w:t>
            </w:r>
            <w:r w:rsidRPr="008B0565">
              <w:rPr>
                <w:b/>
              </w:rPr>
              <w:t>ordre du jour: PL 1.11</w:t>
            </w:r>
          </w:p>
        </w:tc>
        <w:tc>
          <w:tcPr>
            <w:tcW w:w="3261" w:type="dxa"/>
          </w:tcPr>
          <w:p w:rsidR="00520F36" w:rsidRPr="008B0565" w:rsidRDefault="00520F36" w:rsidP="009A3974">
            <w:pPr>
              <w:spacing w:before="0"/>
              <w:rPr>
                <w:b/>
                <w:bCs/>
              </w:rPr>
            </w:pPr>
            <w:r w:rsidRPr="008B0565">
              <w:rPr>
                <w:b/>
                <w:bCs/>
              </w:rPr>
              <w:t>Document C17/</w:t>
            </w:r>
            <w:r w:rsidR="009A3974" w:rsidRPr="008B0565">
              <w:rPr>
                <w:b/>
                <w:bCs/>
              </w:rPr>
              <w:t>71</w:t>
            </w:r>
            <w:r w:rsidRPr="008B0565">
              <w:rPr>
                <w:b/>
                <w:bCs/>
              </w:rPr>
              <w:t>-F</w:t>
            </w:r>
          </w:p>
        </w:tc>
      </w:tr>
      <w:tr w:rsidR="00520F36" w:rsidRPr="008B0565">
        <w:trPr>
          <w:cantSplit/>
          <w:trHeight w:val="20"/>
        </w:trPr>
        <w:tc>
          <w:tcPr>
            <w:tcW w:w="6912" w:type="dxa"/>
            <w:vMerge/>
          </w:tcPr>
          <w:p w:rsidR="00520F36" w:rsidRPr="008B0565"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8B0565" w:rsidRDefault="009A3974" w:rsidP="00520F36">
            <w:pPr>
              <w:spacing w:before="0"/>
              <w:rPr>
                <w:b/>
                <w:bCs/>
              </w:rPr>
            </w:pPr>
            <w:r w:rsidRPr="008B0565">
              <w:rPr>
                <w:b/>
                <w:bCs/>
              </w:rPr>
              <w:t>10 avril</w:t>
            </w:r>
            <w:r w:rsidR="00520F36" w:rsidRPr="008B0565">
              <w:rPr>
                <w:b/>
                <w:bCs/>
              </w:rPr>
              <w:t xml:space="preserve"> 2017</w:t>
            </w:r>
          </w:p>
        </w:tc>
      </w:tr>
      <w:tr w:rsidR="00520F36" w:rsidRPr="008B0565">
        <w:trPr>
          <w:cantSplit/>
          <w:trHeight w:val="20"/>
        </w:trPr>
        <w:tc>
          <w:tcPr>
            <w:tcW w:w="6912" w:type="dxa"/>
            <w:vMerge/>
          </w:tcPr>
          <w:p w:rsidR="00520F36" w:rsidRPr="008B0565"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8B0565" w:rsidRDefault="00520F36" w:rsidP="00520F36">
            <w:pPr>
              <w:spacing w:before="0"/>
              <w:rPr>
                <w:b/>
                <w:bCs/>
              </w:rPr>
            </w:pPr>
            <w:r w:rsidRPr="008B0565">
              <w:rPr>
                <w:b/>
                <w:bCs/>
              </w:rPr>
              <w:t>Original: anglais</w:t>
            </w:r>
          </w:p>
        </w:tc>
      </w:tr>
      <w:tr w:rsidR="00520F36" w:rsidRPr="008B0565">
        <w:trPr>
          <w:cantSplit/>
        </w:trPr>
        <w:tc>
          <w:tcPr>
            <w:tcW w:w="10173" w:type="dxa"/>
            <w:gridSpan w:val="2"/>
          </w:tcPr>
          <w:p w:rsidR="00520F36" w:rsidRPr="008B0565" w:rsidRDefault="009A3974" w:rsidP="00DF74DD">
            <w:pPr>
              <w:pStyle w:val="Source"/>
            </w:pPr>
            <w:bookmarkStart w:id="6" w:name="dsource" w:colFirst="0" w:colLast="0"/>
            <w:bookmarkEnd w:id="5"/>
            <w:r w:rsidRPr="008B0565">
              <w:t>Rapport du Secrétaire général</w:t>
            </w:r>
            <w:bookmarkStart w:id="7" w:name="_GoBack"/>
            <w:bookmarkEnd w:id="7"/>
          </w:p>
        </w:tc>
      </w:tr>
      <w:tr w:rsidR="00520F36" w:rsidRPr="008B0565">
        <w:trPr>
          <w:cantSplit/>
        </w:trPr>
        <w:tc>
          <w:tcPr>
            <w:tcW w:w="10173" w:type="dxa"/>
            <w:gridSpan w:val="2"/>
          </w:tcPr>
          <w:p w:rsidR="00520F36" w:rsidRPr="008B0565" w:rsidRDefault="009A3974" w:rsidP="00DF74DD">
            <w:pPr>
              <w:pStyle w:val="Title1"/>
            </w:pPr>
            <w:bookmarkStart w:id="8" w:name="dtitle1" w:colFirst="0" w:colLast="0"/>
            <w:bookmarkEnd w:id="6"/>
            <w:r w:rsidRPr="008B0565">
              <w:t>EXamen de la politique de l</w:t>
            </w:r>
            <w:r w:rsidR="00266092" w:rsidRPr="008B0565">
              <w:t>'</w:t>
            </w:r>
            <w:r w:rsidRPr="008B0565">
              <w:t xml:space="preserve">UIT relative à l'égalité hommes/femmes et à l'intégration du principe de l'égalité hommes/femmes et </w:t>
            </w:r>
            <w:r w:rsidR="00266092" w:rsidRPr="008B0565">
              <w:br/>
            </w:r>
            <w:r w:rsidRPr="008B0565">
              <w:t>plan de mise en oeuvre proposé pour 2017</w:t>
            </w:r>
          </w:p>
        </w:tc>
      </w:tr>
      <w:bookmarkEnd w:id="8"/>
    </w:tbl>
    <w:p w:rsidR="00520F36" w:rsidRPr="008B0565" w:rsidRDefault="00520F3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8B0565">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8B0565" w:rsidRDefault="00520F36">
            <w:pPr>
              <w:pStyle w:val="Headingb"/>
              <w:rPr>
                <w:lang w:val="fr-CH"/>
              </w:rPr>
            </w:pPr>
            <w:r w:rsidRPr="008B0565">
              <w:rPr>
                <w:lang w:val="fr-CH"/>
              </w:rPr>
              <w:t>Résumé</w:t>
            </w:r>
          </w:p>
          <w:p w:rsidR="00520F36" w:rsidRPr="008B0565" w:rsidRDefault="009A3974">
            <w:pPr>
              <w:rPr>
                <w:lang w:val="fr-CH"/>
              </w:rPr>
            </w:pPr>
            <w:r w:rsidRPr="008B0565">
              <w:t>Le présent document rend compte de la mise en oeuvre et des résultats de l</w:t>
            </w:r>
            <w:r w:rsidR="00266092" w:rsidRPr="008B0565">
              <w:t>'</w:t>
            </w:r>
            <w:r w:rsidRPr="008B0565">
              <w:t>examen quadriennal de la politique de l</w:t>
            </w:r>
            <w:r w:rsidR="00266092" w:rsidRPr="008B0565">
              <w:t>'</w:t>
            </w:r>
            <w:r w:rsidRPr="008B0565">
              <w:t>UIT relative à l'égalité hommes/femmes et à l'intégration du principe de l'égalité hommes/femmes, et présente un plan pour 2017 en vue d</w:t>
            </w:r>
            <w:r w:rsidR="00266092" w:rsidRPr="008B0565">
              <w:t>'</w:t>
            </w:r>
            <w:r w:rsidRPr="008B0565">
              <w:t>aider l</w:t>
            </w:r>
            <w:r w:rsidR="00266092" w:rsidRPr="008B0565">
              <w:t>'</w:t>
            </w:r>
            <w:r w:rsidRPr="008B0565">
              <w:t>UIT à mieux respecter les indicateurs de l</w:t>
            </w:r>
            <w:r w:rsidR="00266092" w:rsidRPr="008B0565">
              <w:t>'</w:t>
            </w:r>
            <w:r w:rsidRPr="008B0565">
              <w:t>ONU-SWAP d</w:t>
            </w:r>
            <w:r w:rsidR="00266092" w:rsidRPr="008B0565">
              <w:t>'</w:t>
            </w:r>
            <w:r w:rsidRPr="008B0565">
              <w:t>ici la fin de l</w:t>
            </w:r>
            <w:r w:rsidR="00266092" w:rsidRPr="008B0565">
              <w:t>'</w:t>
            </w:r>
            <w:r w:rsidRPr="008B0565">
              <w:t>année.</w:t>
            </w:r>
          </w:p>
          <w:p w:rsidR="00520F36" w:rsidRPr="008B0565" w:rsidRDefault="00520F36">
            <w:pPr>
              <w:pStyle w:val="Headingb"/>
              <w:rPr>
                <w:lang w:val="fr-CH"/>
              </w:rPr>
            </w:pPr>
            <w:r w:rsidRPr="008B0565">
              <w:rPr>
                <w:lang w:val="fr-CH"/>
              </w:rPr>
              <w:t>Suite à donner</w:t>
            </w:r>
          </w:p>
          <w:p w:rsidR="00520F36" w:rsidRPr="008B0565" w:rsidRDefault="009A3974">
            <w:pPr>
              <w:rPr>
                <w:lang w:val="fr-CH"/>
              </w:rPr>
            </w:pPr>
            <w:r w:rsidRPr="008B0565">
              <w:t xml:space="preserve">Le Conseil est invité à </w:t>
            </w:r>
            <w:r w:rsidRPr="008B0565">
              <w:rPr>
                <w:b/>
                <w:bCs/>
              </w:rPr>
              <w:t>prendre note du présent document et à approuver le plan de mise en oeuvre pour 2017.</w:t>
            </w:r>
          </w:p>
          <w:p w:rsidR="00520F36" w:rsidRPr="008B0565" w:rsidRDefault="00520F36">
            <w:pPr>
              <w:pStyle w:val="Table"/>
              <w:keepNext w:val="0"/>
              <w:spacing w:before="0" w:after="0"/>
              <w:rPr>
                <w:rFonts w:ascii="Calibri" w:hAnsi="Calibri"/>
                <w:caps w:val="0"/>
                <w:sz w:val="22"/>
                <w:lang w:val="fr-CH"/>
              </w:rPr>
            </w:pPr>
            <w:r w:rsidRPr="008B0565">
              <w:rPr>
                <w:rFonts w:ascii="Calibri" w:hAnsi="Calibri"/>
                <w:caps w:val="0"/>
                <w:sz w:val="22"/>
                <w:lang w:val="fr-CH"/>
              </w:rPr>
              <w:t>____________</w:t>
            </w:r>
          </w:p>
          <w:p w:rsidR="00520F36" w:rsidRPr="008B0565" w:rsidRDefault="00520F36">
            <w:pPr>
              <w:pStyle w:val="Headingb"/>
              <w:rPr>
                <w:lang w:val="fr-CH"/>
              </w:rPr>
            </w:pPr>
            <w:r w:rsidRPr="008B0565">
              <w:rPr>
                <w:lang w:val="fr-CH"/>
              </w:rPr>
              <w:t>Références</w:t>
            </w:r>
          </w:p>
          <w:p w:rsidR="00520F36" w:rsidRPr="008B0565" w:rsidRDefault="00AE03E7" w:rsidP="00266092">
            <w:pPr>
              <w:spacing w:after="120"/>
              <w:rPr>
                <w:i/>
                <w:iCs/>
                <w:lang w:val="fr-CH"/>
              </w:rPr>
            </w:pPr>
            <w:hyperlink r:id="rId8" w:history="1">
              <w:r w:rsidR="009A3974" w:rsidRPr="008B0565">
                <w:rPr>
                  <w:rStyle w:val="Hyperlink"/>
                  <w:i/>
                  <w:iCs/>
                </w:rPr>
                <w:t>Résolution 70 (Rév. Busan, 2014)</w:t>
              </w:r>
            </w:hyperlink>
            <w:r w:rsidR="009A3974" w:rsidRPr="008B0565">
              <w:t xml:space="preserve"> </w:t>
            </w:r>
            <w:r w:rsidR="009A3974" w:rsidRPr="008B0565">
              <w:rPr>
                <w:i/>
              </w:rPr>
              <w:t>de la Conférence de plénipotentiaires</w:t>
            </w:r>
            <w:r w:rsidR="009A3974" w:rsidRPr="008B0565">
              <w:rPr>
                <w:i/>
                <w:iCs/>
              </w:rPr>
              <w:t xml:space="preserve">; Documents du Conseil </w:t>
            </w:r>
            <w:hyperlink r:id="rId9" w:history="1">
              <w:r w:rsidR="009A3974" w:rsidRPr="008B0565">
                <w:rPr>
                  <w:rStyle w:val="Hyperlink"/>
                  <w:i/>
                  <w:iCs/>
                </w:rPr>
                <w:t>C13/39</w:t>
              </w:r>
            </w:hyperlink>
            <w:r w:rsidR="009A3974" w:rsidRPr="008B0565">
              <w:rPr>
                <w:i/>
                <w:iCs/>
              </w:rPr>
              <w:t xml:space="preserve">, </w:t>
            </w:r>
            <w:hyperlink r:id="rId10" w:history="1">
              <w:r w:rsidR="009A3974" w:rsidRPr="008B0565">
                <w:rPr>
                  <w:rStyle w:val="Hyperlink"/>
                  <w:i/>
                  <w:iCs/>
                </w:rPr>
                <w:t>C17/INF/7</w:t>
              </w:r>
            </w:hyperlink>
          </w:p>
        </w:tc>
      </w:tr>
    </w:tbl>
    <w:p w:rsidR="009A3974" w:rsidRPr="008B0565" w:rsidRDefault="00266092" w:rsidP="00266092">
      <w:pPr>
        <w:pStyle w:val="Heading1"/>
      </w:pPr>
      <w:r w:rsidRPr="008B0565">
        <w:t>1</w:t>
      </w:r>
      <w:r w:rsidRPr="008B0565">
        <w:tab/>
      </w:r>
      <w:r w:rsidR="009A3974" w:rsidRPr="008B0565">
        <w:t xml:space="preserve">Introduction </w:t>
      </w:r>
    </w:p>
    <w:p w:rsidR="009A3974" w:rsidRPr="008B0565" w:rsidRDefault="009A3974" w:rsidP="00266092">
      <w:pPr>
        <w:rPr>
          <w:rFonts w:asciiTheme="minorHAnsi" w:hAnsiTheme="minorHAnsi" w:cstheme="minorHAnsi"/>
          <w:szCs w:val="24"/>
        </w:rPr>
      </w:pPr>
      <w:r w:rsidRPr="008B0565">
        <w:t xml:space="preserve">La </w:t>
      </w:r>
      <w:hyperlink r:id="rId11" w:history="1">
        <w:r w:rsidRPr="008B0565">
          <w:rPr>
            <w:rStyle w:val="Hyperlink"/>
          </w:rPr>
          <w:t>Politique de l</w:t>
        </w:r>
        <w:r w:rsidR="00266092" w:rsidRPr="008B0565">
          <w:rPr>
            <w:rStyle w:val="Hyperlink"/>
          </w:rPr>
          <w:t>'</w:t>
        </w:r>
        <w:r w:rsidRPr="008B0565">
          <w:rPr>
            <w:rStyle w:val="Hyperlink"/>
          </w:rPr>
          <w:t>UIT relative à l'égalité hommes/femmes et à l'intégration du principe de l'égalité hommes/femmes</w:t>
        </w:r>
      </w:hyperlink>
      <w:r w:rsidRPr="008B0565">
        <w:t xml:space="preserve"> (GEM) </w:t>
      </w:r>
      <w:r w:rsidRPr="008B0565">
        <w:rPr>
          <w:rFonts w:asciiTheme="minorHAnsi" w:hAnsiTheme="minorHAnsi" w:cstheme="minorHAnsi"/>
          <w:szCs w:val="24"/>
        </w:rPr>
        <w:t xml:space="preserve">a été adoptée par le Conseil à sa session de 2013. Notant que la politique GEM est un document évolutif devant être réexaminé tous les quatre ans, le Conseil, à sa session de 2016, a chargé le secrétariat de </w:t>
      </w:r>
      <w:r w:rsidRPr="008B0565">
        <w:t>lancer un examen de cette politique dans le cadre de son Groupe de travail sur les ressources financières et les ressources humaines et de lui faire rapport sur cette question à sa session de 2017.</w:t>
      </w:r>
      <w:r w:rsidRPr="008B0565">
        <w:rPr>
          <w:rFonts w:asciiTheme="minorHAnsi" w:hAnsiTheme="minorHAnsi" w:cstheme="minorHAnsi"/>
          <w:szCs w:val="24"/>
        </w:rPr>
        <w:t xml:space="preserve"> Le secrétariat a donc pris les mesures suivantes: 1) processus d</w:t>
      </w:r>
      <w:r w:rsidR="00266092" w:rsidRPr="008B0565">
        <w:rPr>
          <w:rFonts w:asciiTheme="minorHAnsi" w:hAnsiTheme="minorHAnsi" w:cstheme="minorHAnsi"/>
          <w:szCs w:val="24"/>
        </w:rPr>
        <w:t>'</w:t>
      </w:r>
      <w:r w:rsidRPr="008B0565">
        <w:rPr>
          <w:rFonts w:asciiTheme="minorHAnsi" w:hAnsiTheme="minorHAnsi" w:cstheme="minorHAnsi"/>
          <w:szCs w:val="24"/>
        </w:rPr>
        <w:t>examen comportant une analyse du respect par l</w:t>
      </w:r>
      <w:r w:rsidR="00266092" w:rsidRPr="008B0565">
        <w:rPr>
          <w:rFonts w:asciiTheme="minorHAnsi" w:hAnsiTheme="minorHAnsi" w:cstheme="minorHAnsi"/>
          <w:szCs w:val="24"/>
        </w:rPr>
        <w:t>'</w:t>
      </w:r>
      <w:r w:rsidRPr="008B0565">
        <w:rPr>
          <w:rFonts w:asciiTheme="minorHAnsi" w:hAnsiTheme="minorHAnsi" w:cstheme="minorHAnsi"/>
          <w:szCs w:val="24"/>
        </w:rPr>
        <w:t xml:space="preserve">UIT du </w:t>
      </w:r>
      <w:r w:rsidRPr="008B0565">
        <w:rPr>
          <w:rStyle w:val="Emphasis"/>
          <w:i w:val="0"/>
        </w:rPr>
        <w:t>Plan</w:t>
      </w:r>
      <w:r w:rsidRPr="008B0565">
        <w:rPr>
          <w:rStyle w:val="preferred"/>
          <w:i/>
        </w:rPr>
        <w:t xml:space="preserve"> </w:t>
      </w:r>
      <w:r w:rsidRPr="008B0565">
        <w:rPr>
          <w:rStyle w:val="preferred"/>
        </w:rPr>
        <w:t>d</w:t>
      </w:r>
      <w:r w:rsidR="00266092" w:rsidRPr="008B0565">
        <w:rPr>
          <w:rStyle w:val="preferred"/>
        </w:rPr>
        <w:t>'</w:t>
      </w:r>
      <w:r w:rsidRPr="008B0565">
        <w:rPr>
          <w:rStyle w:val="Emphasis"/>
          <w:i w:val="0"/>
        </w:rPr>
        <w:t>action</w:t>
      </w:r>
      <w:r w:rsidRPr="008B0565">
        <w:rPr>
          <w:rStyle w:val="preferred"/>
        </w:rPr>
        <w:t xml:space="preserve"> à l</w:t>
      </w:r>
      <w:r w:rsidR="00266092" w:rsidRPr="008B0565">
        <w:rPr>
          <w:rStyle w:val="preferred"/>
        </w:rPr>
        <w:t>'</w:t>
      </w:r>
      <w:r w:rsidRPr="008B0565">
        <w:rPr>
          <w:rStyle w:val="preferred"/>
        </w:rPr>
        <w:t xml:space="preserve">échelle du système des </w:t>
      </w:r>
      <w:r w:rsidRPr="008B0565">
        <w:rPr>
          <w:rStyle w:val="Emphasis"/>
          <w:i w:val="0"/>
        </w:rPr>
        <w:t>Nations</w:t>
      </w:r>
      <w:r w:rsidRPr="008B0565">
        <w:rPr>
          <w:rStyle w:val="preferred"/>
        </w:rPr>
        <w:t xml:space="preserve"> Unies pour l</w:t>
      </w:r>
      <w:r w:rsidR="00266092" w:rsidRPr="008B0565">
        <w:rPr>
          <w:rStyle w:val="preferred"/>
        </w:rPr>
        <w:t>'</w:t>
      </w:r>
      <w:r w:rsidRPr="008B0565">
        <w:rPr>
          <w:rStyle w:val="preferred"/>
        </w:rPr>
        <w:t>égalité des sexes et l</w:t>
      </w:r>
      <w:r w:rsidR="00266092" w:rsidRPr="008B0565">
        <w:rPr>
          <w:rStyle w:val="preferred"/>
        </w:rPr>
        <w:t>'</w:t>
      </w:r>
      <w:r w:rsidRPr="008B0565">
        <w:rPr>
          <w:rStyle w:val="preferred"/>
        </w:rPr>
        <w:t>autonomisation des femmes</w:t>
      </w:r>
      <w:r w:rsidRPr="008B0565">
        <w:rPr>
          <w:rFonts w:asciiTheme="minorHAnsi" w:hAnsiTheme="minorHAnsi" w:cstheme="minorHAnsi"/>
          <w:szCs w:val="24"/>
        </w:rPr>
        <w:t xml:space="preserve"> (ONU-SWAP), approuvé par le </w:t>
      </w:r>
      <w:r w:rsidRPr="008B0565">
        <w:rPr>
          <w:rStyle w:val="preferred"/>
        </w:rPr>
        <w:t xml:space="preserve">Conseil des chefs de secrétariat des organismes des </w:t>
      </w:r>
      <w:r w:rsidRPr="008B0565">
        <w:rPr>
          <w:rStyle w:val="Emphasis"/>
          <w:i w:val="0"/>
        </w:rPr>
        <w:t>Nations</w:t>
      </w:r>
      <w:r w:rsidRPr="008B0565">
        <w:rPr>
          <w:rStyle w:val="preferred"/>
        </w:rPr>
        <w:t xml:space="preserve"> Unies pour la </w:t>
      </w:r>
      <w:r w:rsidRPr="008B0565">
        <w:rPr>
          <w:rStyle w:val="Emphasis"/>
          <w:i w:val="0"/>
        </w:rPr>
        <w:t>coordination</w:t>
      </w:r>
      <w:r w:rsidRPr="008B0565">
        <w:rPr>
          <w:rFonts w:asciiTheme="minorHAnsi" w:hAnsiTheme="minorHAnsi" w:cstheme="minorHAnsi"/>
          <w:szCs w:val="24"/>
        </w:rPr>
        <w:t xml:space="preserve"> (CSS) en avril 2012; 2) audit interne sur la politique GEM; et 3) large consultation du</w:t>
      </w:r>
      <w:r w:rsidR="008B0565">
        <w:rPr>
          <w:rFonts w:asciiTheme="minorHAnsi" w:hAnsiTheme="minorHAnsi" w:cstheme="minorHAnsi"/>
          <w:szCs w:val="24"/>
        </w:rPr>
        <w:t xml:space="preserve"> </w:t>
      </w:r>
      <w:r w:rsidRPr="008B0565">
        <w:rPr>
          <w:rFonts w:asciiTheme="minorHAnsi" w:hAnsiTheme="minorHAnsi" w:cstheme="minorHAnsi"/>
          <w:szCs w:val="24"/>
        </w:rPr>
        <w:t xml:space="preserve">personnel. Le présent document contient le résumé et les conclusions de cet examen, et propose </w:t>
      </w:r>
      <w:r w:rsidRPr="008B0565">
        <w:rPr>
          <w:rFonts w:asciiTheme="minorHAnsi" w:hAnsiTheme="minorHAnsi" w:cstheme="minorHAnsi"/>
          <w:szCs w:val="24"/>
        </w:rPr>
        <w:lastRenderedPageBreak/>
        <w:t>un plan d</w:t>
      </w:r>
      <w:r w:rsidR="00266092" w:rsidRPr="008B0565">
        <w:rPr>
          <w:rFonts w:asciiTheme="minorHAnsi" w:hAnsiTheme="minorHAnsi" w:cstheme="minorHAnsi"/>
          <w:szCs w:val="24"/>
        </w:rPr>
        <w:t>'</w:t>
      </w:r>
      <w:r w:rsidRPr="008B0565">
        <w:rPr>
          <w:rFonts w:asciiTheme="minorHAnsi" w:hAnsiTheme="minorHAnsi" w:cstheme="minorHAnsi"/>
          <w:szCs w:val="24"/>
        </w:rPr>
        <w:t>exécution de la politique GEM pour 2017, en vue d</w:t>
      </w:r>
      <w:r w:rsidR="00266092" w:rsidRPr="008B0565">
        <w:rPr>
          <w:rFonts w:asciiTheme="minorHAnsi" w:hAnsiTheme="minorHAnsi" w:cstheme="minorHAnsi"/>
          <w:szCs w:val="24"/>
        </w:rPr>
        <w:t>'</w:t>
      </w:r>
      <w:r w:rsidRPr="008B0565">
        <w:rPr>
          <w:rFonts w:asciiTheme="minorHAnsi" w:hAnsiTheme="minorHAnsi" w:cstheme="minorHAnsi"/>
          <w:szCs w:val="24"/>
        </w:rPr>
        <w:t>aider l</w:t>
      </w:r>
      <w:r w:rsidR="00266092" w:rsidRPr="008B0565">
        <w:rPr>
          <w:rFonts w:asciiTheme="minorHAnsi" w:hAnsiTheme="minorHAnsi" w:cstheme="minorHAnsi"/>
          <w:szCs w:val="24"/>
        </w:rPr>
        <w:t>'</w:t>
      </w:r>
      <w:r w:rsidRPr="008B0565">
        <w:rPr>
          <w:rFonts w:asciiTheme="minorHAnsi" w:hAnsiTheme="minorHAnsi" w:cstheme="minorHAnsi"/>
          <w:szCs w:val="24"/>
        </w:rPr>
        <w:t>UIT à progresser vers la réalisation de tous les indicateurs de performance de l</w:t>
      </w:r>
      <w:r w:rsidR="00266092" w:rsidRPr="008B0565">
        <w:rPr>
          <w:rFonts w:asciiTheme="minorHAnsi" w:hAnsiTheme="minorHAnsi" w:cstheme="minorHAnsi"/>
          <w:szCs w:val="24"/>
        </w:rPr>
        <w:t>'</w:t>
      </w:r>
      <w:r w:rsidRPr="008B0565">
        <w:rPr>
          <w:rFonts w:asciiTheme="minorHAnsi" w:hAnsiTheme="minorHAnsi" w:cstheme="minorHAnsi"/>
          <w:szCs w:val="24"/>
        </w:rPr>
        <w:t>ONU-SWAP en 2017.</w:t>
      </w:r>
    </w:p>
    <w:p w:rsidR="009A3974" w:rsidRPr="008B0565" w:rsidRDefault="00134D32" w:rsidP="00134D32">
      <w:pPr>
        <w:pStyle w:val="Heading1"/>
      </w:pPr>
      <w:r w:rsidRPr="008B0565">
        <w:t>2</w:t>
      </w:r>
      <w:r w:rsidRPr="008B0565">
        <w:tab/>
      </w:r>
      <w:r w:rsidR="009A3974" w:rsidRPr="008B0565">
        <w:t>Respect de l</w:t>
      </w:r>
      <w:r w:rsidR="00266092" w:rsidRPr="008B0565">
        <w:t>'</w:t>
      </w:r>
      <w:r w:rsidR="009A3974" w:rsidRPr="008B0565">
        <w:t>ONU-SWAP par l</w:t>
      </w:r>
      <w:r w:rsidR="00266092" w:rsidRPr="008B0565">
        <w:t>'</w:t>
      </w:r>
      <w:r w:rsidR="009A3974" w:rsidRPr="008B0565">
        <w:t xml:space="preserve">UIT </w:t>
      </w:r>
    </w:p>
    <w:p w:rsidR="009A3974" w:rsidRPr="008B0565" w:rsidRDefault="009A3974" w:rsidP="00134D32">
      <w:r w:rsidRPr="008B0565">
        <w:t>Le CSS souhaite voir l</w:t>
      </w:r>
      <w:r w:rsidR="00266092" w:rsidRPr="008B0565">
        <w:t>'</w:t>
      </w:r>
      <w:r w:rsidRPr="008B0565">
        <w:t>ensemble du système des Nations Unies satisfaire à tous les indicateurs de performance de l</w:t>
      </w:r>
      <w:r w:rsidR="00266092" w:rsidRPr="008B0565">
        <w:t>'</w:t>
      </w:r>
      <w:r w:rsidRPr="008B0565">
        <w:t>ONU-SWAP avant la fin de l</w:t>
      </w:r>
      <w:r w:rsidR="00266092" w:rsidRPr="008B0565">
        <w:t>'</w:t>
      </w:r>
      <w:r w:rsidRPr="008B0565">
        <w:t xml:space="preserve">année 2017. Ces indicateurs, au nombre de 15, sont regroupés dans </w:t>
      </w:r>
      <w:r w:rsidRPr="008B0565">
        <w:rPr>
          <w:iCs/>
          <w:sz w:val="23"/>
          <w:szCs w:val="23"/>
        </w:rPr>
        <w:t xml:space="preserve">six grands domaines fonctionnels. </w:t>
      </w:r>
      <w:r w:rsidRPr="008B0565">
        <w:t>Les organismes des Nations Unies doivent rendre compte chaque année à ONU-Femmes de la mise en oeuvre de ces indicateurs dans le cadre d</w:t>
      </w:r>
      <w:r w:rsidR="00266092" w:rsidRPr="008B0565">
        <w:t>'</w:t>
      </w:r>
      <w:r w:rsidRPr="008B0565">
        <w:t>un système d</w:t>
      </w:r>
      <w:r w:rsidR="00266092" w:rsidRPr="008B0565">
        <w:t>'</w:t>
      </w:r>
      <w:r w:rsidRPr="008B0565">
        <w:t>établissement de rapport en ligne. ONU-Femmes examine chacun des rapports ainsi que les documents justificatifs fournis</w:t>
      </w:r>
      <w:r w:rsidR="008B0565">
        <w:t xml:space="preserve"> pour vérifier la justesse des </w:t>
      </w:r>
      <w:r w:rsidRPr="008B0565">
        <w:t>évaluations et présente, dans une lettre, une analyse contenant des recommandations aux responsables des organismes des Nations Unies concernés. La lettre attestant de la bonne réception du rapport de l</w:t>
      </w:r>
      <w:r w:rsidR="00266092" w:rsidRPr="008B0565">
        <w:t>'</w:t>
      </w:r>
      <w:r w:rsidRPr="008B0565">
        <w:t xml:space="preserve">UIT de 2015 et contenant une analyse de ce rapport figure dans le Document </w:t>
      </w:r>
      <w:hyperlink r:id="rId12" w:history="1">
        <w:r w:rsidRPr="008B0565">
          <w:rPr>
            <w:rStyle w:val="Hyperlink"/>
            <w:rFonts w:asciiTheme="minorHAnsi" w:hAnsiTheme="minorHAnsi" w:cstheme="minorHAnsi"/>
            <w:szCs w:val="24"/>
          </w:rPr>
          <w:t>C17/INF/7</w:t>
        </w:r>
      </w:hyperlink>
      <w:r w:rsidRPr="008B0565">
        <w:t>.</w:t>
      </w:r>
    </w:p>
    <w:p w:rsidR="009A3974" w:rsidRPr="008B0565" w:rsidRDefault="009A3974" w:rsidP="00134D32">
      <w:r w:rsidRPr="008B0565">
        <w:t>L</w:t>
      </w:r>
      <w:r w:rsidR="00266092" w:rsidRPr="008B0565">
        <w:t>'</w:t>
      </w:r>
      <w:r w:rsidRPr="008B0565">
        <w:t>examen de la politique GEM a été l</w:t>
      </w:r>
      <w:r w:rsidR="00266092" w:rsidRPr="008B0565">
        <w:t>'</w:t>
      </w:r>
      <w:r w:rsidRPr="008B0565">
        <w:t>occasion pour le secrétariat de mener une réflexion sur le dernier rapport annuel de l</w:t>
      </w:r>
      <w:r w:rsidR="00266092" w:rsidRPr="008B0565">
        <w:t>'</w:t>
      </w:r>
      <w:r w:rsidRPr="008B0565">
        <w:t>UIT sur la mise en oeuvre de l</w:t>
      </w:r>
      <w:r w:rsidR="00266092" w:rsidRPr="008B0565">
        <w:t>'</w:t>
      </w:r>
      <w:r w:rsidRPr="008B0565">
        <w:t>ONU-SWAP, et sur l</w:t>
      </w:r>
      <w:r w:rsidR="00266092" w:rsidRPr="008B0565">
        <w:t>'</w:t>
      </w:r>
      <w:r w:rsidRPr="008B0565">
        <w:t>analyse qu</w:t>
      </w:r>
      <w:r w:rsidR="00266092" w:rsidRPr="008B0565">
        <w:t>'</w:t>
      </w:r>
      <w:r w:rsidRPr="008B0565">
        <w:t>en a fait ONU-Femmes. En janvier 2017, l</w:t>
      </w:r>
      <w:r w:rsidR="00266092" w:rsidRPr="008B0565">
        <w:t>'</w:t>
      </w:r>
      <w:r w:rsidRPr="008B0565">
        <w:t xml:space="preserve">UIT a indiqué </w:t>
      </w:r>
      <w:r w:rsidR="002A42BB" w:rsidRPr="008B0565">
        <w:t>"</w:t>
      </w:r>
      <w:r w:rsidRPr="008B0565">
        <w:t>satisfaire aux exigences</w:t>
      </w:r>
      <w:r w:rsidR="002A42BB" w:rsidRPr="008B0565">
        <w:t>"</w:t>
      </w:r>
      <w:r w:rsidRPr="008B0565">
        <w:t xml:space="preserve"> pour cinq indicateurs de performance, être </w:t>
      </w:r>
      <w:r w:rsidR="002A42BB" w:rsidRPr="008B0565">
        <w:t>"</w:t>
      </w:r>
      <w:r w:rsidRPr="008B0565">
        <w:t>proche du niveau exigé</w:t>
      </w:r>
      <w:r w:rsidR="002A42BB" w:rsidRPr="008B0565">
        <w:t>"</w:t>
      </w:r>
      <w:r w:rsidRPr="008B0565">
        <w:t xml:space="preserve"> pour six indicateurs et a signalé trois indicateurs </w:t>
      </w:r>
      <w:r w:rsidR="002A42BB" w:rsidRPr="008B0565">
        <w:t>"</w:t>
      </w:r>
      <w:r w:rsidRPr="008B0565">
        <w:t>manquants</w:t>
      </w:r>
      <w:r w:rsidR="002A42BB" w:rsidRPr="008B0565">
        <w:t>"</w:t>
      </w:r>
      <w:r w:rsidRPr="008B0565">
        <w:t>, à savoir: 1) l</w:t>
      </w:r>
      <w:r w:rsidR="00266092" w:rsidRPr="008B0565">
        <w:t>'</w:t>
      </w:r>
      <w:r w:rsidRPr="008B0565">
        <w:t>audit sur l</w:t>
      </w:r>
      <w:r w:rsidR="00266092" w:rsidRPr="008B0565">
        <w:t>'</w:t>
      </w:r>
      <w:r w:rsidRPr="008B0565">
        <w:t>égalité des sexes, 2) l</w:t>
      </w:r>
      <w:r w:rsidR="00266092" w:rsidRPr="008B0565">
        <w:t>'</w:t>
      </w:r>
      <w:r w:rsidRPr="008B0565">
        <w:t>allocation de ressources financières, et 3) l</w:t>
      </w:r>
      <w:r w:rsidR="00266092" w:rsidRPr="008B0565">
        <w:t>'</w:t>
      </w:r>
      <w:r w:rsidRPr="008B0565">
        <w:t xml:space="preserve">évaluation des capacités. </w:t>
      </w:r>
    </w:p>
    <w:p w:rsidR="009A3974" w:rsidRPr="008B0565" w:rsidRDefault="00134D32" w:rsidP="00134D32">
      <w:pPr>
        <w:pStyle w:val="Heading1"/>
      </w:pPr>
      <w:r w:rsidRPr="008B0565">
        <w:t>3</w:t>
      </w:r>
      <w:r w:rsidRPr="008B0565">
        <w:tab/>
      </w:r>
      <w:r w:rsidR="009A3974" w:rsidRPr="008B0565">
        <w:t>Audit interne sur l</w:t>
      </w:r>
      <w:r w:rsidR="00266092" w:rsidRPr="008B0565">
        <w:t>'</w:t>
      </w:r>
      <w:r w:rsidR="009A3974" w:rsidRPr="008B0565">
        <w:t>égalité des sexes et l</w:t>
      </w:r>
      <w:r w:rsidR="00266092" w:rsidRPr="008B0565">
        <w:t>'</w:t>
      </w:r>
      <w:r w:rsidR="009A3974" w:rsidRPr="008B0565">
        <w:t>intégration du principe d</w:t>
      </w:r>
      <w:r w:rsidR="00266092" w:rsidRPr="008B0565">
        <w:t>'</w:t>
      </w:r>
      <w:r w:rsidR="009A3974" w:rsidRPr="008B0565">
        <w:t>égalité hommes/femmes à l</w:t>
      </w:r>
      <w:r w:rsidR="00266092" w:rsidRPr="008B0565">
        <w:t>'</w:t>
      </w:r>
      <w:r w:rsidR="009A3974" w:rsidRPr="008B0565">
        <w:t>UIT</w:t>
      </w:r>
    </w:p>
    <w:p w:rsidR="009A3974" w:rsidRPr="008B0565" w:rsidRDefault="009A3974" w:rsidP="00134D32">
      <w:r w:rsidRPr="008B0565">
        <w:t>Pour remédier à l</w:t>
      </w:r>
      <w:r w:rsidR="00266092" w:rsidRPr="008B0565">
        <w:t>'</w:t>
      </w:r>
      <w:r w:rsidRPr="008B0565">
        <w:t>absence de l</w:t>
      </w:r>
      <w:r w:rsidR="00266092" w:rsidRPr="008B0565">
        <w:t>'</w:t>
      </w:r>
      <w:r w:rsidRPr="008B0565">
        <w:t>un des trois indicateurs de l</w:t>
      </w:r>
      <w:r w:rsidR="00266092" w:rsidRPr="008B0565">
        <w:t>'</w:t>
      </w:r>
      <w:r w:rsidRPr="008B0565">
        <w:t xml:space="preserve">ONU-SWAP, un audit sur </w:t>
      </w:r>
      <w:r w:rsidRPr="008B0565">
        <w:rPr>
          <w:bCs/>
        </w:rPr>
        <w:t>l</w:t>
      </w:r>
      <w:r w:rsidR="00266092" w:rsidRPr="008B0565">
        <w:rPr>
          <w:bCs/>
        </w:rPr>
        <w:t>'</w:t>
      </w:r>
      <w:r w:rsidRPr="008B0565">
        <w:rPr>
          <w:bCs/>
        </w:rPr>
        <w:t>égalité d</w:t>
      </w:r>
      <w:r w:rsidR="002A42BB" w:rsidRPr="008B0565">
        <w:rPr>
          <w:bCs/>
        </w:rPr>
        <w:t>e</w:t>
      </w:r>
      <w:r w:rsidRPr="008B0565">
        <w:rPr>
          <w:bCs/>
        </w:rPr>
        <w:t>s sexes et l</w:t>
      </w:r>
      <w:r w:rsidR="00266092" w:rsidRPr="008B0565">
        <w:rPr>
          <w:bCs/>
        </w:rPr>
        <w:t>'</w:t>
      </w:r>
      <w:r w:rsidRPr="008B0565">
        <w:rPr>
          <w:bCs/>
        </w:rPr>
        <w:t>intégration du principe d</w:t>
      </w:r>
      <w:r w:rsidR="00266092" w:rsidRPr="008B0565">
        <w:rPr>
          <w:bCs/>
        </w:rPr>
        <w:t>'</w:t>
      </w:r>
      <w:r w:rsidRPr="008B0565">
        <w:rPr>
          <w:bCs/>
        </w:rPr>
        <w:t>égalité hommes/femmes à l</w:t>
      </w:r>
      <w:r w:rsidR="00266092" w:rsidRPr="008B0565">
        <w:rPr>
          <w:bCs/>
        </w:rPr>
        <w:t>'</w:t>
      </w:r>
      <w:r w:rsidRPr="008B0565">
        <w:rPr>
          <w:bCs/>
        </w:rPr>
        <w:t>UIT</w:t>
      </w:r>
      <w:r w:rsidRPr="008B0565">
        <w:t xml:space="preserve"> a été réalisé, début 2017, par l</w:t>
      </w:r>
      <w:r w:rsidR="00266092" w:rsidRPr="008B0565">
        <w:t>'</w:t>
      </w:r>
      <w:r w:rsidRPr="008B0565">
        <w:t>Unité de l</w:t>
      </w:r>
      <w:r w:rsidR="00266092" w:rsidRPr="008B0565">
        <w:t>'</w:t>
      </w:r>
      <w:r w:rsidRPr="008B0565">
        <w:t>audit interne. Dans les conclusions préliminaires de cet audit, l</w:t>
      </w:r>
      <w:r w:rsidR="00266092" w:rsidRPr="008B0565">
        <w:t>'</w:t>
      </w:r>
      <w:r w:rsidRPr="008B0565">
        <w:t>Unité préconise d</w:t>
      </w:r>
      <w:r w:rsidR="00266092" w:rsidRPr="008B0565">
        <w:t>'</w:t>
      </w:r>
      <w:r w:rsidRPr="008B0565">
        <w:t>aligner la politique GEM de l</w:t>
      </w:r>
      <w:r w:rsidR="00266092" w:rsidRPr="008B0565">
        <w:t>'</w:t>
      </w:r>
      <w:r w:rsidRPr="008B0565">
        <w:t>UIT sur l</w:t>
      </w:r>
      <w:r w:rsidR="00266092" w:rsidRPr="008B0565">
        <w:t>'</w:t>
      </w:r>
      <w:r w:rsidRPr="008B0565">
        <w:t>ONU-SWAP, en particulier dans les domaines suivants: capacités et cohérence, connaissances et information, et l</w:t>
      </w:r>
      <w:r w:rsidR="00266092" w:rsidRPr="008B0565">
        <w:t>'</w:t>
      </w:r>
      <w:r w:rsidRPr="008B0565">
        <w:t>obligation de rendre compte. Elle propose également, entre autres, de réexaminer le déploiement, le mandat, la composition et obligation de rendre compte du Groupe spécial sur les questions de genre (GTF) de l</w:t>
      </w:r>
      <w:r w:rsidR="00266092" w:rsidRPr="008B0565">
        <w:t>'</w:t>
      </w:r>
      <w:r w:rsidRPr="008B0565">
        <w:t>UIT chargé de surveiller et mettre en oeuvre la politique GEM, afin de renforcer le rôle et la visibilité de celui-ci au sein de l</w:t>
      </w:r>
      <w:r w:rsidR="00266092" w:rsidRPr="008B0565">
        <w:t>'</w:t>
      </w:r>
      <w:r w:rsidRPr="008B0565">
        <w:t>Union.</w:t>
      </w:r>
    </w:p>
    <w:p w:rsidR="009A3974" w:rsidRPr="008B0565" w:rsidRDefault="00134D32" w:rsidP="00134D32">
      <w:pPr>
        <w:pStyle w:val="Heading1"/>
      </w:pPr>
      <w:r w:rsidRPr="008B0565">
        <w:t>4</w:t>
      </w:r>
      <w:r w:rsidRPr="008B0565">
        <w:tab/>
      </w:r>
      <w:r w:rsidR="009A3974" w:rsidRPr="008B0565">
        <w:t>Consultation du personnel de l</w:t>
      </w:r>
      <w:r w:rsidR="00266092" w:rsidRPr="008B0565">
        <w:t>'</w:t>
      </w:r>
      <w:r w:rsidR="009A3974" w:rsidRPr="008B0565">
        <w:t xml:space="preserve">UIT </w:t>
      </w:r>
    </w:p>
    <w:p w:rsidR="009A3974" w:rsidRPr="008B0565" w:rsidRDefault="009A3974" w:rsidP="00134D32">
      <w:r w:rsidRPr="008B0565">
        <w:t>Le Secrétaire général de l</w:t>
      </w:r>
      <w:r w:rsidR="00266092" w:rsidRPr="008B0565">
        <w:t>'</w:t>
      </w:r>
      <w:r w:rsidRPr="008B0565">
        <w:t>UIT et le Président du Conseil du personnel ont invité le personnel de l</w:t>
      </w:r>
      <w:r w:rsidR="00266092" w:rsidRPr="008B0565">
        <w:t>'</w:t>
      </w:r>
      <w:r w:rsidR="008B0565">
        <w:t>UIT à</w:t>
      </w:r>
      <w:r w:rsidRPr="008B0565">
        <w:t xml:space="preserve"> formuler leurs observations sur la politique GEM et à proposer de nouvelles mesures par l</w:t>
      </w:r>
      <w:r w:rsidR="00266092" w:rsidRPr="008B0565">
        <w:t>'</w:t>
      </w:r>
      <w:r w:rsidRPr="008B0565">
        <w:t>intermédiaire d</w:t>
      </w:r>
      <w:r w:rsidR="00266092" w:rsidRPr="008B0565">
        <w:t>'</w:t>
      </w:r>
      <w:r w:rsidRPr="008B0565">
        <w:t xml:space="preserve">une plate-forme de consultation en ligne en anglais et en français offrant la possibilité de répondre de manière anonyme. La plate-forme a été présentée au cours de la réunion du Groupe de travail du Conseil sur les ressources financières et les ressources humaines de janvier 2017, dans le Document </w:t>
      </w:r>
      <w:hyperlink r:id="rId13" w:history="1">
        <w:r w:rsidRPr="008B0565">
          <w:rPr>
            <w:rStyle w:val="Hyperlink"/>
            <w:rFonts w:asciiTheme="minorHAnsi" w:hAnsiTheme="minorHAnsi" w:cstheme="minorHAnsi"/>
            <w:szCs w:val="24"/>
          </w:rPr>
          <w:t>CWG-FHR-INF 5/2</w:t>
        </w:r>
      </w:hyperlink>
      <w:r w:rsidRPr="008B0565">
        <w:t>.</w:t>
      </w:r>
    </w:p>
    <w:p w:rsidR="009A3974" w:rsidRPr="008B0565" w:rsidRDefault="009A3974" w:rsidP="00134D32">
      <w:r w:rsidRPr="008B0565">
        <w:t>Le secrétariat a également consulté les responsables des questions de genre du GTF, le Département des ressources humaines et le Responsable de la déontologie. Le secrétariat a en outre procédé à un vaste examen des politiques et bonnes pratiques en matière d</w:t>
      </w:r>
      <w:r w:rsidR="00266092" w:rsidRPr="008B0565">
        <w:t>'</w:t>
      </w:r>
      <w:r w:rsidRPr="008B0565">
        <w:t>égalité hommes/femmes mises en oeuvre dans d</w:t>
      </w:r>
      <w:r w:rsidR="00266092" w:rsidRPr="008B0565">
        <w:t>'</w:t>
      </w:r>
      <w:r w:rsidRPr="008B0565">
        <w:t>autres organismes des Nations Unies.</w:t>
      </w:r>
    </w:p>
    <w:p w:rsidR="009A3974" w:rsidRPr="008B0565" w:rsidRDefault="009A3974" w:rsidP="00134D32">
      <w:r w:rsidRPr="008B0565">
        <w:lastRenderedPageBreak/>
        <w:t>Si, dans l</w:t>
      </w:r>
      <w:r w:rsidR="00266092" w:rsidRPr="008B0565">
        <w:t>'</w:t>
      </w:r>
      <w:r w:rsidRPr="008B0565">
        <w:t>ensemble, le personnel est sensible à la brièveté de cette politique et à sa large couverture, le fait qu</w:t>
      </w:r>
      <w:r w:rsidR="00266092" w:rsidRPr="008B0565">
        <w:t>'</w:t>
      </w:r>
      <w:r w:rsidRPr="008B0565">
        <w:t>elle manque de détails est considéré comme un obstacle à sa mise en oeuvre. Dans leurs observations, les membres du personnel ont également souligné les points suivants: la nécessité de voir le principe de l</w:t>
      </w:r>
      <w:r w:rsidR="00266092" w:rsidRPr="008B0565">
        <w:t>'</w:t>
      </w:r>
      <w:r w:rsidRPr="008B0565">
        <w:t>égalité hommes/femmes porté par les Nations Unies comme un droit de l</w:t>
      </w:r>
      <w:r w:rsidR="00266092" w:rsidRPr="008B0565">
        <w:t>'</w:t>
      </w:r>
      <w:r w:rsidRPr="008B0565">
        <w:t>homme, l</w:t>
      </w:r>
      <w:r w:rsidR="00266092" w:rsidRPr="008B0565">
        <w:t>'</w:t>
      </w:r>
      <w:r w:rsidRPr="008B0565">
        <w:t>importance de l</w:t>
      </w:r>
      <w:r w:rsidR="00266092" w:rsidRPr="008B0565">
        <w:t>'</w:t>
      </w:r>
      <w:r w:rsidRPr="008B0565">
        <w:t>égalité dans les politiques relatives au personnel et les politiques visant à assurer un équilibre entre vie professionnelle et vie privée, la nécessité de réexaminer les processus de recrutement, et le problème de la représentation insuffisante des femmes, en particulier aux postes de grade D et parmi les fonctionnaires élus de l</w:t>
      </w:r>
      <w:r w:rsidR="00266092" w:rsidRPr="008B0565">
        <w:t>'</w:t>
      </w:r>
      <w:r w:rsidRPr="008B0565">
        <w:t xml:space="preserve">UIT. </w:t>
      </w:r>
    </w:p>
    <w:p w:rsidR="009A3974" w:rsidRPr="008B0565" w:rsidRDefault="00134D32" w:rsidP="00134D32">
      <w:pPr>
        <w:pStyle w:val="Heading1"/>
      </w:pPr>
      <w:r w:rsidRPr="008B0565">
        <w:t>5</w:t>
      </w:r>
      <w:r w:rsidRPr="008B0565">
        <w:tab/>
      </w:r>
      <w:r w:rsidR="009A3974" w:rsidRPr="008B0565">
        <w:t>Plan de mise en oeuvre de la politique GEM pour 2017</w:t>
      </w:r>
    </w:p>
    <w:p w:rsidR="009A3974" w:rsidRPr="008B0565" w:rsidRDefault="009A3974" w:rsidP="00134D32">
      <w:r w:rsidRPr="008B0565">
        <w:t>L</w:t>
      </w:r>
      <w:r w:rsidR="00266092" w:rsidRPr="008B0565">
        <w:t>'</w:t>
      </w:r>
      <w:r w:rsidRPr="008B0565">
        <w:t>examen de la politique GEM rejoint en grande partie les analyses faites par ONU-Femmes des premières politiques en matière d</w:t>
      </w:r>
      <w:r w:rsidR="00266092" w:rsidRPr="008B0565">
        <w:t>'</w:t>
      </w:r>
      <w:r w:rsidRPr="008B0565">
        <w:t>égalité hommes-femmes mises en place à l</w:t>
      </w:r>
      <w:r w:rsidR="00266092" w:rsidRPr="008B0565">
        <w:t>'</w:t>
      </w:r>
      <w:r w:rsidRPr="008B0565">
        <w:t>échelle du système. Ces politiques en matière d</w:t>
      </w:r>
      <w:r w:rsidR="00266092" w:rsidRPr="008B0565">
        <w:t>'</w:t>
      </w:r>
      <w:r w:rsidRPr="008B0565">
        <w:t xml:space="preserve">égalité hommes-femmes dites </w:t>
      </w:r>
      <w:r w:rsidR="002A42BB" w:rsidRPr="008B0565">
        <w:t>"</w:t>
      </w:r>
      <w:r w:rsidRPr="008B0565">
        <w:t>de première génération</w:t>
      </w:r>
      <w:r w:rsidR="002A42BB" w:rsidRPr="008B0565">
        <w:t>"</w:t>
      </w:r>
      <w:r w:rsidRPr="008B0565">
        <w:t>: 1) ne comprennent pas systématiquement des indicateurs de performance; 2) ne sont pas pleinement alignées sur le document central de planification stratégique; et 3) sont associées à des plans de mise en oeuvre peu performants qui ne prévoient aucun délai et n</w:t>
      </w:r>
      <w:r w:rsidR="00266092" w:rsidRPr="008B0565">
        <w:t>'</w:t>
      </w:r>
      <w:r w:rsidRPr="008B0565">
        <w:t>ont pas reçu les ressources ni les capacités nécessaires à leur bonne exécution. Le secrétariat a donc élaboré un plan de mise en oeuvre pour 2017 qui donne un degré de priorité élevé à certains éléments et mesures spécifiques pour faire progresser le respect des indicateurs de l</w:t>
      </w:r>
      <w:r w:rsidR="00266092" w:rsidRPr="008B0565">
        <w:t>'</w:t>
      </w:r>
      <w:r w:rsidRPr="008B0565">
        <w:t>ONU-SWAP d</w:t>
      </w:r>
      <w:r w:rsidR="00266092" w:rsidRPr="008B0565">
        <w:t>'</w:t>
      </w:r>
      <w:r w:rsidRPr="008B0565">
        <w:t>ici la fin 2017. Pour chaque indicateur mentionné ci-après, on trouvera un rappel des exigences de l</w:t>
      </w:r>
      <w:r w:rsidR="00266092" w:rsidRPr="008B0565">
        <w:t>'</w:t>
      </w:r>
      <w:r w:rsidRPr="008B0565">
        <w:t>ONU-SWAP et une description des mesures prises par l</w:t>
      </w:r>
      <w:r w:rsidR="00266092" w:rsidRPr="008B0565">
        <w:t>'</w:t>
      </w:r>
      <w:r w:rsidRPr="008B0565">
        <w:t>UIT ainsi que les produits attendus et les délais fixés, la nécessité de rendre des comptes étant soulignée. Le plan prévoit également deux nouveaux indicateurs qui devraient figurer dans la version 2.0 de l</w:t>
      </w:r>
      <w:r w:rsidR="00266092" w:rsidRPr="008B0565">
        <w:t>'</w:t>
      </w:r>
      <w:r w:rsidRPr="008B0565">
        <w:t>ONU-SWAP qui sera lancée fin 2017 (voir les indicateurs 2 et 12 ci-dessous), l</w:t>
      </w:r>
      <w:r w:rsidR="00266092" w:rsidRPr="008B0565">
        <w:t>'</w:t>
      </w:r>
      <w:r w:rsidRPr="008B0565">
        <w:t>un des principaux objectifs étant d</w:t>
      </w:r>
      <w:r w:rsidR="00266092" w:rsidRPr="008B0565">
        <w:t>'</w:t>
      </w:r>
      <w:r w:rsidRPr="008B0565">
        <w:t>améliorer le respect des exigences définies par l</w:t>
      </w:r>
      <w:r w:rsidR="00266092" w:rsidRPr="008B0565">
        <w:t>'</w:t>
      </w:r>
      <w:r w:rsidRPr="008B0565">
        <w:t>ONU-SWAP. L</w:t>
      </w:r>
      <w:r w:rsidR="00266092" w:rsidRPr="008B0565">
        <w:t>'</w:t>
      </w:r>
      <w:r w:rsidRPr="008B0565">
        <w:t>approche proposée tient compte des bonnes pratiques mises en oeuvre au sein du système des Nations Unies et simplifie les procédures d</w:t>
      </w:r>
      <w:r w:rsidR="00266092" w:rsidRPr="008B0565">
        <w:t>'</w:t>
      </w:r>
      <w:r w:rsidRPr="008B0565">
        <w:t>établissement de rapport tant au Conseil qu</w:t>
      </w:r>
      <w:r w:rsidR="00266092" w:rsidRPr="008B0565">
        <w:t>'</w:t>
      </w:r>
      <w:r w:rsidRPr="008B0565">
        <w:t xml:space="preserve">à ONU-femmes, tout en renforçant les mécanismes internes de surveillance et de responsabilisation. </w:t>
      </w:r>
    </w:p>
    <w:p w:rsidR="002A42BB" w:rsidRPr="008B0565" w:rsidRDefault="002A42BB">
      <w:pPr>
        <w:tabs>
          <w:tab w:val="clear" w:pos="567"/>
          <w:tab w:val="clear" w:pos="1134"/>
          <w:tab w:val="clear" w:pos="1701"/>
          <w:tab w:val="clear" w:pos="2268"/>
          <w:tab w:val="clear" w:pos="2835"/>
        </w:tabs>
        <w:overflowPunct/>
        <w:autoSpaceDE/>
        <w:autoSpaceDN/>
        <w:adjustRightInd/>
        <w:spacing w:before="0"/>
        <w:textAlignment w:val="auto"/>
        <w:rPr>
          <w:b/>
          <w:bCs/>
          <w:color w:val="000000" w:themeColor="text1"/>
        </w:rPr>
      </w:pPr>
      <w:r w:rsidRPr="008B0565">
        <w:rPr>
          <w:b/>
          <w:bCs/>
          <w:color w:val="000000" w:themeColor="text1"/>
        </w:rPr>
        <w:br w:type="page"/>
      </w:r>
    </w:p>
    <w:p w:rsidR="009A3974" w:rsidRPr="008B0565" w:rsidRDefault="009A3974" w:rsidP="0074709B">
      <w:pPr>
        <w:pStyle w:val="Title4"/>
      </w:pPr>
      <w:r w:rsidRPr="008B0565">
        <w:lastRenderedPageBreak/>
        <w:t>Plan de mise en oeuvre de la Politique relative à l</w:t>
      </w:r>
      <w:r w:rsidR="00266092" w:rsidRPr="008B0565">
        <w:t>'</w:t>
      </w:r>
      <w:r w:rsidRPr="008B0565">
        <w:t>égalité hommes/femmes et à l</w:t>
      </w:r>
      <w:r w:rsidR="00266092" w:rsidRPr="008B0565">
        <w:t>'</w:t>
      </w:r>
      <w:r w:rsidRPr="008B0565">
        <w:t>intégration du principe de l'égalité hommes/femmes (GEM) pour 2017</w:t>
      </w:r>
    </w:p>
    <w:p w:rsidR="002A42BB" w:rsidRPr="008B0565" w:rsidRDefault="002A42BB" w:rsidP="0074709B">
      <w:pPr>
        <w:pStyle w:val="Heading1"/>
        <w:pBdr>
          <w:bottom w:val="single" w:sz="4" w:space="1" w:color="auto"/>
        </w:pBdr>
        <w:spacing w:before="240"/>
      </w:pPr>
      <w:r w:rsidRPr="008B0565">
        <w:t>1</w:t>
      </w:r>
      <w:r w:rsidRPr="008B0565">
        <w:tab/>
      </w:r>
      <w:r w:rsidR="009A3974" w:rsidRPr="008B0565">
        <w:t xml:space="preserve">Politique et </w:t>
      </w:r>
      <w:r w:rsidR="0016765C" w:rsidRPr="008B0565">
        <w:t>P</w:t>
      </w:r>
      <w:r w:rsidR="009A3974" w:rsidRPr="008B0565">
        <w:t>lan d</w:t>
      </w:r>
      <w:r w:rsidR="00266092" w:rsidRPr="008B0565">
        <w:t>'</w:t>
      </w:r>
      <w:r w:rsidR="009A3974" w:rsidRPr="008B0565">
        <w:t>action</w:t>
      </w:r>
      <w:r w:rsidR="009A3974" w:rsidRPr="008B0565">
        <w:tab/>
      </w:r>
    </w:p>
    <w:p w:rsidR="009A3974" w:rsidRPr="008B0565" w:rsidRDefault="009A3974" w:rsidP="002A42BB">
      <w:pPr>
        <w:pStyle w:val="Heading1"/>
        <w:pBdr>
          <w:bottom w:val="single" w:sz="4" w:space="1" w:color="auto"/>
        </w:pBdr>
        <w:spacing w:before="0"/>
      </w:pPr>
      <w:r w:rsidRPr="008B0565">
        <w:rPr>
          <w:sz w:val="24"/>
          <w:szCs w:val="18"/>
        </w:rPr>
        <w:t>Situation en 2016 au regard de l</w:t>
      </w:r>
      <w:r w:rsidR="00266092" w:rsidRPr="008B0565">
        <w:rPr>
          <w:sz w:val="24"/>
          <w:szCs w:val="18"/>
        </w:rPr>
        <w:t>'</w:t>
      </w:r>
      <w:r w:rsidRPr="008B0565">
        <w:rPr>
          <w:sz w:val="24"/>
          <w:szCs w:val="18"/>
        </w:rPr>
        <w:t xml:space="preserve">ONU-SWAP: </w:t>
      </w:r>
      <w:r w:rsidRPr="00181AC8">
        <w:rPr>
          <w:b w:val="0"/>
          <w:bCs/>
          <w:sz w:val="24"/>
          <w:szCs w:val="18"/>
        </w:rPr>
        <w:t>proche du niveau exigé</w:t>
      </w:r>
    </w:p>
    <w:p w:rsidR="009A3974" w:rsidRPr="008B0565" w:rsidRDefault="009A3974" w:rsidP="00EF7266">
      <w:pPr>
        <w:spacing w:after="120"/>
      </w:pPr>
      <w:r w:rsidRPr="008B0565">
        <w:t>Pour satisfaire aux indicateurs de performance de l</w:t>
      </w:r>
      <w:r w:rsidR="00266092" w:rsidRPr="008B0565">
        <w:t>'</w:t>
      </w:r>
      <w:r w:rsidRPr="008B0565">
        <w:t>ONU-SWAP, l</w:t>
      </w:r>
      <w:r w:rsidR="00266092" w:rsidRPr="008B0565">
        <w:t>'</w:t>
      </w:r>
      <w:r w:rsidRPr="008B0565">
        <w:t>UIT devrait disposer d</w:t>
      </w:r>
      <w:r w:rsidR="00266092" w:rsidRPr="008B0565">
        <w:t>'</w:t>
      </w:r>
      <w:r w:rsidRPr="008B0565">
        <w:t>une politique/d</w:t>
      </w:r>
      <w:r w:rsidR="00266092" w:rsidRPr="008B0565">
        <w:t>'</w:t>
      </w:r>
      <w:r w:rsidRPr="008B0565">
        <w:t>un plan en faveur de l</w:t>
      </w:r>
      <w:r w:rsidR="00266092" w:rsidRPr="008B0565">
        <w:t>'</w:t>
      </w:r>
      <w:r w:rsidRPr="008B0565">
        <w:t>égalité hommes/femmes qui tienne compte à la fois de l</w:t>
      </w:r>
      <w:r w:rsidR="00266092" w:rsidRPr="008B0565">
        <w:t>'</w:t>
      </w:r>
      <w:r w:rsidRPr="008B0565">
        <w:t>intégration du principe d</w:t>
      </w:r>
      <w:r w:rsidR="00266092" w:rsidRPr="008B0565">
        <w:t>'</w:t>
      </w:r>
      <w:r w:rsidRPr="008B0565">
        <w:t>égalité hommes/femmes et de la représentation égale des hommes et des femmes. Le contenu de ce document devrait être aligné sur les exigences définies par l</w:t>
      </w:r>
      <w:r w:rsidR="00266092" w:rsidRPr="008B0565">
        <w:t>'</w:t>
      </w:r>
      <w:r w:rsidRPr="008B0565">
        <w:t>ONU-SWAP et prévoir l</w:t>
      </w:r>
      <w:r w:rsidR="00266092" w:rsidRPr="008B0565">
        <w:t>'</w:t>
      </w:r>
      <w:r w:rsidRPr="008B0565">
        <w:t>obligation de rendre compte à tous les niveaux, y compris pour la direction. Au nombre des mesures de responsabilisation devraient figurer des évaluations dans le cadre de la notation des fonctionnaires et/ou un accord moral pour les cadres supérieurs qui préciserait tous les points dont ces derniers devraient répondre. Ce plan devrait clairement mentionner l</w:t>
      </w:r>
      <w:r w:rsidR="00266092" w:rsidRPr="008B0565">
        <w:t>'</w:t>
      </w:r>
      <w:r w:rsidRPr="008B0565">
        <w:t>intégration du principe d</w:t>
      </w:r>
      <w:r w:rsidR="00266092" w:rsidRPr="008B0565">
        <w:t>'</w:t>
      </w:r>
      <w:r w:rsidRPr="008B0565">
        <w:t>égalité hommes/femmes, des mesures axées sur les femmes, et la représentation égale des femmes et des hommes au sein du personnel. En outre, le suivi et l</w:t>
      </w:r>
      <w:r w:rsidR="00266092" w:rsidRPr="008B0565">
        <w:t>'</w:t>
      </w:r>
      <w:r w:rsidRPr="008B0565">
        <w:t>évaluation de cette politique/ ce plan d</w:t>
      </w:r>
      <w:r w:rsidR="00266092" w:rsidRPr="008B0565">
        <w:t>'</w:t>
      </w:r>
      <w:r w:rsidRPr="008B0565">
        <w:t xml:space="preserve">action devraient être menés de manière claire et complète, et il conviendrait de fixer des délais et de mettre en place des mécanismes de contrôle et de veiller à ce que les résultats soient rapportés et pris en compte dans la programmation.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EF7266" w:rsidRPr="008B0565" w:rsidTr="0016765C">
        <w:tc>
          <w:tcPr>
            <w:tcW w:w="5245" w:type="dxa"/>
            <w:vAlign w:val="center"/>
          </w:tcPr>
          <w:p w:rsidR="00EF7266" w:rsidRPr="008B0565" w:rsidRDefault="00EF7266" w:rsidP="0016765C">
            <w:pPr>
              <w:spacing w:before="0"/>
              <w:rPr>
                <w:u w:val="single"/>
              </w:rPr>
            </w:pPr>
            <w:r w:rsidRPr="008B0565">
              <w:rPr>
                <w:u w:val="single"/>
              </w:rPr>
              <w:t>Produits</w:t>
            </w:r>
          </w:p>
        </w:tc>
        <w:tc>
          <w:tcPr>
            <w:tcW w:w="3255" w:type="dxa"/>
            <w:vAlign w:val="center"/>
          </w:tcPr>
          <w:p w:rsidR="00EF7266" w:rsidRPr="008B0565" w:rsidRDefault="00EF7266" w:rsidP="0016765C">
            <w:pPr>
              <w:spacing w:before="0"/>
              <w:rPr>
                <w:u w:val="single"/>
              </w:rPr>
            </w:pPr>
            <w:r w:rsidRPr="008B0565">
              <w:rPr>
                <w:u w:val="single"/>
              </w:rPr>
              <w:t>Entité responsable/concernée</w:t>
            </w:r>
          </w:p>
        </w:tc>
        <w:tc>
          <w:tcPr>
            <w:tcW w:w="1276" w:type="dxa"/>
            <w:vAlign w:val="center"/>
          </w:tcPr>
          <w:p w:rsidR="00EF7266" w:rsidRPr="008B0565" w:rsidRDefault="00EF7266" w:rsidP="0016765C">
            <w:pPr>
              <w:tabs>
                <w:tab w:val="clear" w:pos="2835"/>
                <w:tab w:val="left" w:pos="5812"/>
                <w:tab w:val="center" w:pos="7655"/>
                <w:tab w:val="right" w:pos="9639"/>
              </w:tabs>
              <w:spacing w:before="0"/>
              <w:rPr>
                <w:u w:val="single"/>
              </w:rPr>
            </w:pPr>
            <w:r w:rsidRPr="008B0565">
              <w:rPr>
                <w:u w:val="single"/>
              </w:rPr>
              <w:t>Délai</w:t>
            </w:r>
          </w:p>
        </w:tc>
      </w:tr>
      <w:tr w:rsidR="00EF7266" w:rsidRPr="008B0565" w:rsidTr="0016765C">
        <w:tc>
          <w:tcPr>
            <w:tcW w:w="5245" w:type="dxa"/>
          </w:tcPr>
          <w:p w:rsidR="00EF7266" w:rsidRPr="008B0565" w:rsidRDefault="00EF7266" w:rsidP="0016765C">
            <w:pPr>
              <w:spacing w:before="0"/>
            </w:pPr>
            <w:r w:rsidRPr="008B0565">
              <w:t>1.1</w:t>
            </w:r>
            <w:r w:rsidRPr="008B0565">
              <w:tab/>
              <w:t>Examen de la politique GEM</w:t>
            </w:r>
          </w:p>
        </w:tc>
        <w:tc>
          <w:tcPr>
            <w:tcW w:w="3255" w:type="dxa"/>
          </w:tcPr>
          <w:p w:rsidR="00EF7266" w:rsidRPr="008B0565" w:rsidRDefault="00EF7266" w:rsidP="00AE03E7">
            <w:pPr>
              <w:spacing w:before="0"/>
              <w:jc w:val="center"/>
            </w:pPr>
            <w:r w:rsidRPr="008B0565">
              <w:t>GTF</w:t>
            </w:r>
          </w:p>
        </w:tc>
        <w:tc>
          <w:tcPr>
            <w:tcW w:w="1276" w:type="dxa"/>
          </w:tcPr>
          <w:p w:rsidR="00EF7266" w:rsidRPr="008B0565" w:rsidRDefault="00EF7266" w:rsidP="0016765C">
            <w:pPr>
              <w:spacing w:before="0"/>
            </w:pPr>
            <w:r w:rsidRPr="008B0565">
              <w:t>jan-mars</w:t>
            </w:r>
          </w:p>
        </w:tc>
      </w:tr>
      <w:tr w:rsidR="00EF7266" w:rsidRPr="008B0565" w:rsidTr="0016765C">
        <w:tc>
          <w:tcPr>
            <w:tcW w:w="5245" w:type="dxa"/>
          </w:tcPr>
          <w:p w:rsidR="00EF7266" w:rsidRPr="008B0565" w:rsidRDefault="00EF7266" w:rsidP="0016765C">
            <w:pPr>
              <w:spacing w:before="0"/>
            </w:pPr>
            <w:r w:rsidRPr="008B0565">
              <w:t>1.2</w:t>
            </w:r>
            <w:r w:rsidRPr="008B0565">
              <w:tab/>
              <w:t>Plan de mise en oeuvre</w:t>
            </w:r>
          </w:p>
        </w:tc>
        <w:tc>
          <w:tcPr>
            <w:tcW w:w="3255" w:type="dxa"/>
          </w:tcPr>
          <w:p w:rsidR="00EF7266" w:rsidRPr="008B0565" w:rsidRDefault="00EF7266" w:rsidP="00AE03E7">
            <w:pPr>
              <w:spacing w:before="0"/>
              <w:jc w:val="center"/>
            </w:pPr>
            <w:r w:rsidRPr="008B0565">
              <w:t>GTF</w:t>
            </w:r>
          </w:p>
        </w:tc>
        <w:tc>
          <w:tcPr>
            <w:tcW w:w="1276" w:type="dxa"/>
          </w:tcPr>
          <w:p w:rsidR="00EF7266" w:rsidRPr="008B0565" w:rsidRDefault="00EF7266" w:rsidP="0016765C">
            <w:pPr>
              <w:spacing w:before="0"/>
            </w:pPr>
            <w:r w:rsidRPr="008B0565">
              <w:t>jan-mars</w:t>
            </w:r>
          </w:p>
        </w:tc>
      </w:tr>
      <w:tr w:rsidR="00EF7266" w:rsidRPr="008B0565" w:rsidTr="0016765C">
        <w:tc>
          <w:tcPr>
            <w:tcW w:w="5245" w:type="dxa"/>
          </w:tcPr>
          <w:p w:rsidR="00EF7266" w:rsidRPr="008B0565" w:rsidRDefault="00EF7266" w:rsidP="0016765C">
            <w:pPr>
              <w:spacing w:before="0"/>
              <w:ind w:left="567" w:hanging="567"/>
            </w:pPr>
            <w:r w:rsidRPr="008B0565">
              <w:t>1.3</w:t>
            </w:r>
            <w:r w:rsidRPr="008B0565">
              <w:tab/>
              <w:t>Création d'un mécanisme/d'une structure de responsabilisation</w:t>
            </w:r>
          </w:p>
        </w:tc>
        <w:tc>
          <w:tcPr>
            <w:tcW w:w="3255" w:type="dxa"/>
          </w:tcPr>
          <w:p w:rsidR="00EF7266" w:rsidRPr="008B0565" w:rsidRDefault="00EF7266" w:rsidP="00AE03E7">
            <w:pPr>
              <w:spacing w:before="0"/>
              <w:jc w:val="center"/>
            </w:pPr>
            <w:r w:rsidRPr="008B0565">
              <w:t>GTF/SGO</w:t>
            </w:r>
          </w:p>
        </w:tc>
        <w:tc>
          <w:tcPr>
            <w:tcW w:w="1276" w:type="dxa"/>
          </w:tcPr>
          <w:p w:rsidR="00EF7266" w:rsidRPr="008B0565" w:rsidRDefault="00EF7266" w:rsidP="0016765C">
            <w:pPr>
              <w:spacing w:before="0"/>
            </w:pPr>
            <w:r w:rsidRPr="008B0565">
              <w:t>juin-août</w:t>
            </w:r>
          </w:p>
        </w:tc>
      </w:tr>
    </w:tbl>
    <w:p w:rsidR="009A3974" w:rsidRPr="008B0565" w:rsidRDefault="0074709B" w:rsidP="000065D0">
      <w:pPr>
        <w:pStyle w:val="Heading1"/>
        <w:spacing w:before="240"/>
      </w:pPr>
      <w:r w:rsidRPr="008B0565">
        <w:t>2</w:t>
      </w:r>
      <w:r w:rsidRPr="008B0565">
        <w:tab/>
      </w:r>
      <w:r w:rsidR="009A3974" w:rsidRPr="008B0565">
        <w:t>Rôle de chef de file</w:t>
      </w:r>
    </w:p>
    <w:p w:rsidR="009A3974" w:rsidRPr="008B0565" w:rsidRDefault="009A3974" w:rsidP="0074709B">
      <w:pPr>
        <w:pStyle w:val="Heading1"/>
        <w:pBdr>
          <w:bottom w:val="single" w:sz="4" w:space="1" w:color="auto"/>
        </w:pBdr>
        <w:spacing w:before="0"/>
        <w:ind w:left="0" w:firstLine="0"/>
      </w:pPr>
      <w:r w:rsidRPr="008B0565">
        <w:rPr>
          <w:sz w:val="24"/>
          <w:szCs w:val="18"/>
        </w:rPr>
        <w:t>Situation en 2016 au regard de l</w:t>
      </w:r>
      <w:r w:rsidR="00266092" w:rsidRPr="008B0565">
        <w:rPr>
          <w:sz w:val="24"/>
          <w:szCs w:val="18"/>
        </w:rPr>
        <w:t>'</w:t>
      </w:r>
      <w:r w:rsidRPr="008B0565">
        <w:rPr>
          <w:sz w:val="24"/>
          <w:szCs w:val="18"/>
        </w:rPr>
        <w:t xml:space="preserve">ONU-SWAP: </w:t>
      </w:r>
      <w:r w:rsidRPr="00181AC8">
        <w:rPr>
          <w:b w:val="0"/>
          <w:bCs/>
          <w:sz w:val="24"/>
          <w:szCs w:val="18"/>
        </w:rPr>
        <w:t>sans objet, nouvel indicateur pour 2017</w:t>
      </w:r>
    </w:p>
    <w:p w:rsidR="009A3974" w:rsidRPr="008B0565" w:rsidRDefault="009A3974" w:rsidP="0074709B">
      <w:pPr>
        <w:spacing w:after="120"/>
      </w:pPr>
      <w:r w:rsidRPr="008B0565">
        <w:t>Pour satisfaire aux indicateurs de performance de l</w:t>
      </w:r>
      <w:r w:rsidR="00266092" w:rsidRPr="008B0565">
        <w:t>'</w:t>
      </w:r>
      <w:r w:rsidRPr="008B0565">
        <w:t>ONU-SWAP, les cadres supérieurs de l</w:t>
      </w:r>
      <w:r w:rsidR="00266092" w:rsidRPr="008B0565">
        <w:t>'</w:t>
      </w:r>
      <w:r w:rsidRPr="008B0565">
        <w:t>UIT devraient plaider publiquement en faveur de l</w:t>
      </w:r>
      <w:r w:rsidR="00266092" w:rsidRPr="008B0565">
        <w:t>'</w:t>
      </w:r>
      <w:r w:rsidRPr="008B0565">
        <w:t>égalité des sexes et de l</w:t>
      </w:r>
      <w:r w:rsidR="00266092" w:rsidRPr="008B0565">
        <w:t>'</w:t>
      </w:r>
      <w:r w:rsidRPr="008B0565">
        <w:t>autonomisation des femmes, y compris la représentation égale des femmes et des hommes à tous les niveaux. L</w:t>
      </w:r>
      <w:r w:rsidR="00266092" w:rsidRPr="008B0565">
        <w:t>'</w:t>
      </w:r>
      <w:r w:rsidRPr="008B0565">
        <w:t>UIT devrait faire rapport chaque année au Conseil sur les résultats atteints au regard de l</w:t>
      </w:r>
      <w:r w:rsidR="00266092" w:rsidRPr="008B0565">
        <w:t>'</w:t>
      </w:r>
      <w:r w:rsidRPr="008B0565">
        <w:t xml:space="preserve">ONU-SWAP.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74709B" w:rsidRPr="008B0565" w:rsidTr="0016765C">
        <w:tc>
          <w:tcPr>
            <w:tcW w:w="5245" w:type="dxa"/>
            <w:vAlign w:val="center"/>
          </w:tcPr>
          <w:p w:rsidR="0074709B" w:rsidRPr="008B0565" w:rsidRDefault="0074709B" w:rsidP="0016765C">
            <w:pPr>
              <w:spacing w:before="0"/>
              <w:rPr>
                <w:u w:val="single"/>
              </w:rPr>
            </w:pPr>
            <w:r w:rsidRPr="008B0565">
              <w:rPr>
                <w:u w:val="single"/>
              </w:rPr>
              <w:t>Produits</w:t>
            </w:r>
          </w:p>
        </w:tc>
        <w:tc>
          <w:tcPr>
            <w:tcW w:w="3255" w:type="dxa"/>
            <w:vAlign w:val="center"/>
          </w:tcPr>
          <w:p w:rsidR="0074709B" w:rsidRPr="008B0565" w:rsidRDefault="0074709B" w:rsidP="0016765C">
            <w:pPr>
              <w:spacing w:before="0"/>
              <w:rPr>
                <w:u w:val="single"/>
              </w:rPr>
            </w:pPr>
            <w:r w:rsidRPr="008B0565">
              <w:rPr>
                <w:u w:val="single"/>
              </w:rPr>
              <w:t>Entité responsable/concernée</w:t>
            </w:r>
          </w:p>
        </w:tc>
        <w:tc>
          <w:tcPr>
            <w:tcW w:w="1276" w:type="dxa"/>
            <w:vAlign w:val="center"/>
          </w:tcPr>
          <w:p w:rsidR="0074709B" w:rsidRPr="008B0565" w:rsidRDefault="0074709B" w:rsidP="0016765C">
            <w:pPr>
              <w:tabs>
                <w:tab w:val="clear" w:pos="2835"/>
                <w:tab w:val="left" w:pos="5812"/>
                <w:tab w:val="center" w:pos="7655"/>
                <w:tab w:val="right" w:pos="9639"/>
              </w:tabs>
              <w:spacing w:before="0"/>
              <w:rPr>
                <w:u w:val="single"/>
              </w:rPr>
            </w:pPr>
            <w:r w:rsidRPr="008B0565">
              <w:rPr>
                <w:u w:val="single"/>
              </w:rPr>
              <w:t>Délai</w:t>
            </w:r>
          </w:p>
        </w:tc>
      </w:tr>
      <w:tr w:rsidR="0074709B" w:rsidRPr="008B0565" w:rsidTr="000065D0">
        <w:tc>
          <w:tcPr>
            <w:tcW w:w="5245" w:type="dxa"/>
          </w:tcPr>
          <w:p w:rsidR="0074709B" w:rsidRPr="008B0565" w:rsidRDefault="0074709B" w:rsidP="0016765C">
            <w:pPr>
              <w:tabs>
                <w:tab w:val="left" w:pos="426"/>
                <w:tab w:val="center" w:pos="7655"/>
                <w:tab w:val="right" w:pos="9639"/>
              </w:tabs>
              <w:spacing w:before="0"/>
              <w:ind w:left="426" w:hanging="426"/>
              <w:rPr>
                <w:rFonts w:asciiTheme="minorHAnsi" w:hAnsiTheme="minorHAnsi"/>
                <w:color w:val="000000" w:themeColor="text1"/>
                <w:szCs w:val="24"/>
              </w:rPr>
            </w:pPr>
            <w:r w:rsidRPr="008B0565">
              <w:rPr>
                <w:rFonts w:asciiTheme="minorHAnsi" w:hAnsiTheme="minorHAnsi"/>
                <w:color w:val="000000" w:themeColor="text1"/>
                <w:szCs w:val="24"/>
              </w:rPr>
              <w:t>2.1</w:t>
            </w:r>
            <w:r w:rsidRPr="008B0565">
              <w:rPr>
                <w:rFonts w:asciiTheme="minorHAnsi" w:hAnsiTheme="minorHAnsi"/>
                <w:color w:val="000000" w:themeColor="text1"/>
                <w:szCs w:val="24"/>
              </w:rPr>
              <w:tab/>
              <w:t>Initiatives prises par le Secrétaire général en 2017 en tant que "champion de l'égalité hommes/femmes" au niveau international</w:t>
            </w:r>
          </w:p>
        </w:tc>
        <w:tc>
          <w:tcPr>
            <w:tcW w:w="3255" w:type="dxa"/>
            <w:vAlign w:val="center"/>
          </w:tcPr>
          <w:p w:rsidR="0074709B" w:rsidRPr="008B0565" w:rsidRDefault="0074709B" w:rsidP="00AE03E7">
            <w:pPr>
              <w:spacing w:before="0"/>
              <w:jc w:val="center"/>
            </w:pPr>
            <w:r w:rsidRPr="008B0565">
              <w:t>GTF/SGO</w:t>
            </w:r>
          </w:p>
        </w:tc>
        <w:tc>
          <w:tcPr>
            <w:tcW w:w="1276" w:type="dxa"/>
            <w:vAlign w:val="center"/>
          </w:tcPr>
          <w:p w:rsidR="0074709B" w:rsidRPr="008B0565" w:rsidRDefault="0074709B" w:rsidP="000065D0">
            <w:pPr>
              <w:spacing w:before="0"/>
            </w:pPr>
            <w:r w:rsidRPr="008B0565">
              <w:t>fév</w:t>
            </w:r>
          </w:p>
        </w:tc>
      </w:tr>
      <w:tr w:rsidR="0074709B" w:rsidRPr="008B0565" w:rsidTr="000065D0">
        <w:tc>
          <w:tcPr>
            <w:tcW w:w="5245" w:type="dxa"/>
          </w:tcPr>
          <w:p w:rsidR="0074709B" w:rsidRPr="008B0565" w:rsidRDefault="0074709B" w:rsidP="0016765C">
            <w:pPr>
              <w:tabs>
                <w:tab w:val="left" w:pos="426"/>
                <w:tab w:val="center" w:pos="7655"/>
                <w:tab w:val="right" w:pos="9639"/>
              </w:tabs>
              <w:spacing w:before="0"/>
              <w:ind w:left="426" w:hanging="426"/>
            </w:pPr>
            <w:r w:rsidRPr="008B0565">
              <w:t>2.2</w:t>
            </w:r>
            <w:r w:rsidRPr="008B0565">
              <w:tab/>
            </w:r>
            <w:r w:rsidRPr="008B0565">
              <w:rPr>
                <w:rFonts w:asciiTheme="minorHAnsi" w:hAnsiTheme="minorHAnsi"/>
                <w:color w:val="000000" w:themeColor="text1"/>
                <w:szCs w:val="24"/>
              </w:rPr>
              <w:t>Rapport au Conseil sur les résultats atteints au regard de l'ONU-SWAP</w:t>
            </w:r>
          </w:p>
        </w:tc>
        <w:tc>
          <w:tcPr>
            <w:tcW w:w="3255" w:type="dxa"/>
            <w:vAlign w:val="center"/>
          </w:tcPr>
          <w:p w:rsidR="0074709B" w:rsidRPr="008B0565" w:rsidRDefault="0074709B" w:rsidP="00AE03E7">
            <w:pPr>
              <w:spacing w:before="0"/>
              <w:jc w:val="center"/>
            </w:pPr>
            <w:r w:rsidRPr="008B0565">
              <w:t>GTF</w:t>
            </w:r>
          </w:p>
        </w:tc>
        <w:tc>
          <w:tcPr>
            <w:tcW w:w="1276" w:type="dxa"/>
            <w:vAlign w:val="center"/>
          </w:tcPr>
          <w:p w:rsidR="0074709B" w:rsidRPr="008B0565" w:rsidRDefault="0074709B" w:rsidP="000065D0">
            <w:pPr>
              <w:spacing w:before="0"/>
            </w:pPr>
            <w:r w:rsidRPr="008B0565">
              <w:t>mai</w:t>
            </w:r>
          </w:p>
        </w:tc>
      </w:tr>
    </w:tbl>
    <w:p w:rsidR="009A3974" w:rsidRPr="008B0565" w:rsidRDefault="0074709B" w:rsidP="000065D0">
      <w:pPr>
        <w:pStyle w:val="Heading1"/>
        <w:spacing w:before="240"/>
      </w:pPr>
      <w:r w:rsidRPr="008B0565">
        <w:t>3</w:t>
      </w:r>
      <w:r w:rsidRPr="008B0565">
        <w:tab/>
      </w:r>
      <w:r w:rsidR="009A3974" w:rsidRPr="008B0565">
        <w:t>Gestion de la performance tenant compte des questions d</w:t>
      </w:r>
      <w:r w:rsidR="00266092" w:rsidRPr="008B0565">
        <w:t>'</w:t>
      </w:r>
      <w:r w:rsidRPr="008B0565">
        <w:t>égalité hommes/femmes</w:t>
      </w:r>
    </w:p>
    <w:p w:rsidR="009A3974" w:rsidRPr="008B0565" w:rsidRDefault="009A3974" w:rsidP="0074709B">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181AC8">
        <w:rPr>
          <w:b w:val="0"/>
          <w:bCs/>
          <w:sz w:val="24"/>
          <w:szCs w:val="18"/>
        </w:rPr>
        <w:t>proche du niveau exigé</w:t>
      </w:r>
    </w:p>
    <w:p w:rsidR="009A3974" w:rsidRPr="008B0565" w:rsidRDefault="009A3974" w:rsidP="000B7E58">
      <w:pPr>
        <w:spacing w:after="120"/>
      </w:pPr>
      <w:r w:rsidRPr="008B0565">
        <w:t>Pour satisfaire aux indicateurs de performance de l</w:t>
      </w:r>
      <w:r w:rsidR="00266092" w:rsidRPr="008B0565">
        <w:t>'</w:t>
      </w:r>
      <w:r w:rsidRPr="008B0565">
        <w:t>ONU-SWAP, il conviendrait d</w:t>
      </w:r>
      <w:r w:rsidR="00266092" w:rsidRPr="008B0565">
        <w:t>'</w:t>
      </w:r>
      <w:r w:rsidRPr="008B0565">
        <w:t>intégrer l</w:t>
      </w:r>
      <w:r w:rsidR="00266092" w:rsidRPr="008B0565">
        <w:t>'</w:t>
      </w:r>
      <w:r w:rsidRPr="008B0565">
        <w:t>évaluation de l</w:t>
      </w:r>
      <w:r w:rsidR="00266092" w:rsidRPr="008B0565">
        <w:t>'</w:t>
      </w:r>
      <w:r w:rsidRPr="008B0565">
        <w:t>égalité des sexes et de l</w:t>
      </w:r>
      <w:r w:rsidR="00266092" w:rsidRPr="008B0565">
        <w:t>'</w:t>
      </w:r>
      <w:r w:rsidRPr="008B0565">
        <w:t>autonomisation des femmes dans les valeurs fondamentales et/ou les compétences de base requises pour tout le personnel, et tout particulièrement pour les supérieurs hiérarchiques et les fonctionnaires de niveau P4 et au-delà.</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0B7E58" w:rsidRPr="008B0565" w:rsidTr="000065D0">
        <w:tc>
          <w:tcPr>
            <w:tcW w:w="5245" w:type="dxa"/>
            <w:vAlign w:val="center"/>
          </w:tcPr>
          <w:p w:rsidR="000B7E58" w:rsidRPr="008B0565" w:rsidRDefault="000B7E58" w:rsidP="000065D0">
            <w:pPr>
              <w:spacing w:before="0"/>
              <w:rPr>
                <w:u w:val="single"/>
              </w:rPr>
            </w:pPr>
            <w:r w:rsidRPr="008B0565">
              <w:rPr>
                <w:u w:val="single"/>
              </w:rPr>
              <w:lastRenderedPageBreak/>
              <w:t>Produits</w:t>
            </w:r>
          </w:p>
        </w:tc>
        <w:tc>
          <w:tcPr>
            <w:tcW w:w="3255" w:type="dxa"/>
            <w:vAlign w:val="center"/>
          </w:tcPr>
          <w:p w:rsidR="000B7E58" w:rsidRPr="008B0565" w:rsidRDefault="000B7E58" w:rsidP="000065D0">
            <w:pPr>
              <w:spacing w:before="0"/>
              <w:rPr>
                <w:u w:val="single"/>
              </w:rPr>
            </w:pPr>
            <w:r w:rsidRPr="008B0565">
              <w:rPr>
                <w:u w:val="single"/>
              </w:rPr>
              <w:t>Entité responsable/concernée</w:t>
            </w:r>
          </w:p>
        </w:tc>
        <w:tc>
          <w:tcPr>
            <w:tcW w:w="1276" w:type="dxa"/>
            <w:vAlign w:val="center"/>
          </w:tcPr>
          <w:p w:rsidR="000B7E58" w:rsidRPr="008B0565" w:rsidRDefault="000B7E58" w:rsidP="000065D0">
            <w:pPr>
              <w:tabs>
                <w:tab w:val="clear" w:pos="2835"/>
                <w:tab w:val="left" w:pos="5812"/>
                <w:tab w:val="center" w:pos="7655"/>
                <w:tab w:val="right" w:pos="9639"/>
              </w:tabs>
              <w:spacing w:before="0"/>
              <w:rPr>
                <w:u w:val="single"/>
              </w:rPr>
            </w:pPr>
            <w:r w:rsidRPr="008B0565">
              <w:rPr>
                <w:u w:val="single"/>
              </w:rPr>
              <w:t>Délai</w:t>
            </w:r>
          </w:p>
        </w:tc>
      </w:tr>
      <w:tr w:rsidR="000B7E58" w:rsidRPr="008B0565" w:rsidTr="000065D0">
        <w:tc>
          <w:tcPr>
            <w:tcW w:w="5245" w:type="dxa"/>
            <w:vAlign w:val="center"/>
          </w:tcPr>
          <w:p w:rsidR="000B7E58" w:rsidRPr="008B0565" w:rsidRDefault="000B7E58" w:rsidP="000065D0">
            <w:pPr>
              <w:tabs>
                <w:tab w:val="left" w:pos="426"/>
                <w:tab w:val="center" w:pos="7655"/>
                <w:tab w:val="right" w:pos="9639"/>
              </w:tabs>
              <w:spacing w:before="0"/>
              <w:ind w:left="426" w:hanging="426"/>
              <w:rPr>
                <w:rFonts w:asciiTheme="minorHAnsi" w:hAnsiTheme="minorHAnsi"/>
                <w:color w:val="000000" w:themeColor="text1"/>
                <w:szCs w:val="24"/>
              </w:rPr>
            </w:pPr>
            <w:r w:rsidRPr="008B0565">
              <w:rPr>
                <w:rFonts w:asciiTheme="minorHAnsi" w:hAnsiTheme="minorHAnsi"/>
                <w:szCs w:val="24"/>
              </w:rPr>
              <w:t>3.1</w:t>
            </w:r>
            <w:r w:rsidRPr="008B0565">
              <w:rPr>
                <w:rFonts w:asciiTheme="minorHAnsi" w:hAnsiTheme="minorHAnsi"/>
                <w:szCs w:val="24"/>
              </w:rPr>
              <w:tab/>
              <w:t xml:space="preserve">Intégrer la dimension hommes/femmes dans les valeurs fondamentales </w:t>
            </w:r>
            <w:r w:rsidRPr="008B0565">
              <w:rPr>
                <w:rFonts w:asciiTheme="minorHAnsi" w:hAnsiTheme="minorHAnsi"/>
                <w:color w:val="000000" w:themeColor="text1"/>
                <w:szCs w:val="24"/>
              </w:rPr>
              <w:t>et les compétences de base à l'UIT</w:t>
            </w:r>
          </w:p>
        </w:tc>
        <w:tc>
          <w:tcPr>
            <w:tcW w:w="3255" w:type="dxa"/>
            <w:vAlign w:val="center"/>
          </w:tcPr>
          <w:p w:rsidR="000B7E58" w:rsidRPr="008B0565" w:rsidRDefault="000B7E58" w:rsidP="00AE03E7">
            <w:pPr>
              <w:spacing w:before="0"/>
              <w:jc w:val="center"/>
            </w:pPr>
            <w:r w:rsidRPr="008B0565">
              <w:rPr>
                <w:rFonts w:asciiTheme="minorHAnsi" w:hAnsiTheme="minorHAnsi"/>
                <w:color w:val="000000" w:themeColor="text1"/>
                <w:szCs w:val="24"/>
              </w:rPr>
              <w:t>HRMD/GTF</w:t>
            </w:r>
          </w:p>
        </w:tc>
        <w:tc>
          <w:tcPr>
            <w:tcW w:w="1276" w:type="dxa"/>
            <w:vAlign w:val="center"/>
          </w:tcPr>
          <w:p w:rsidR="000B7E58" w:rsidRPr="008B0565" w:rsidRDefault="000B7E58" w:rsidP="000065D0">
            <w:pPr>
              <w:spacing w:before="0"/>
            </w:pPr>
            <w:r w:rsidRPr="008B0565">
              <w:t>en cours</w:t>
            </w:r>
          </w:p>
        </w:tc>
      </w:tr>
    </w:tbl>
    <w:p w:rsidR="009A3974" w:rsidRPr="008B0565" w:rsidRDefault="000272EE" w:rsidP="000065D0">
      <w:pPr>
        <w:pStyle w:val="Heading1"/>
        <w:spacing w:before="240"/>
      </w:pPr>
      <w:r w:rsidRPr="008B0565">
        <w:t>4</w:t>
      </w:r>
      <w:r w:rsidRPr="008B0565">
        <w:tab/>
      </w:r>
      <w:r w:rsidR="009A3974" w:rsidRPr="008B0565">
        <w:t>Planification stratégique</w:t>
      </w:r>
      <w:r w:rsidR="009A3974" w:rsidRPr="008B0565">
        <w:tab/>
      </w:r>
    </w:p>
    <w:p w:rsidR="009A3974" w:rsidRPr="008B0565" w:rsidRDefault="009A3974" w:rsidP="000272EE">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181AC8">
        <w:rPr>
          <w:b w:val="0"/>
          <w:bCs/>
          <w:sz w:val="24"/>
          <w:szCs w:val="18"/>
        </w:rPr>
        <w:t>satisfait aux exigences</w:t>
      </w:r>
    </w:p>
    <w:p w:rsidR="009A3974" w:rsidRPr="008B0565" w:rsidRDefault="009A3974" w:rsidP="000272EE">
      <w:pPr>
        <w:spacing w:after="120"/>
      </w:pPr>
      <w:r w:rsidRPr="008B0565">
        <w:t>Pour satisfaire aux indicateurs de performance de l</w:t>
      </w:r>
      <w:r w:rsidR="00266092" w:rsidRPr="008B0565">
        <w:t>'</w:t>
      </w:r>
      <w:r w:rsidRPr="008B0565">
        <w:t>ONU-SWAP, l</w:t>
      </w:r>
      <w:r w:rsidR="00266092" w:rsidRPr="008B0565">
        <w:t>'</w:t>
      </w:r>
      <w:r w:rsidRPr="008B0565">
        <w:t>UIT devrait intégrer des analyses par sexe dans les Plans stratégique et opérationnel de l</w:t>
      </w:r>
      <w:r w:rsidR="00266092" w:rsidRPr="008B0565">
        <w:t>'</w:t>
      </w:r>
      <w:r w:rsidRPr="008B0565">
        <w:t>Union. Le Plan stratégique de l</w:t>
      </w:r>
      <w:r w:rsidR="00266092" w:rsidRPr="008B0565">
        <w:t>'</w:t>
      </w:r>
      <w:r w:rsidRPr="008B0565">
        <w:t>Union devrait comprendre au moins un résultat/une réalisation attendue spécifique et un indicateur spécifique portant sur l</w:t>
      </w:r>
      <w:r w:rsidR="00266092" w:rsidRPr="008B0565">
        <w:t>'</w:t>
      </w:r>
      <w:r w:rsidRPr="008B0565">
        <w:t>égalité des sexes et l</w:t>
      </w:r>
      <w:r w:rsidR="00266092" w:rsidRPr="008B0565">
        <w:t>'</w:t>
      </w:r>
      <w:r w:rsidRPr="008B0565">
        <w:t>autonomisation des femmes. Le résumé devrait comporter une référenc</w:t>
      </w:r>
      <w:r w:rsidR="000272EE" w:rsidRPr="008B0565">
        <w:t>e à la dimension hommes/femmes.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0272EE" w:rsidRPr="008B0565" w:rsidTr="000065D0">
        <w:tc>
          <w:tcPr>
            <w:tcW w:w="5245" w:type="dxa"/>
            <w:vAlign w:val="center"/>
          </w:tcPr>
          <w:p w:rsidR="000272EE" w:rsidRPr="008B0565" w:rsidRDefault="000272EE" w:rsidP="000065D0">
            <w:pPr>
              <w:spacing w:before="0"/>
              <w:rPr>
                <w:u w:val="single"/>
              </w:rPr>
            </w:pPr>
            <w:r w:rsidRPr="008B0565">
              <w:rPr>
                <w:u w:val="single"/>
              </w:rPr>
              <w:t>Produits</w:t>
            </w:r>
          </w:p>
        </w:tc>
        <w:tc>
          <w:tcPr>
            <w:tcW w:w="3255" w:type="dxa"/>
            <w:vAlign w:val="center"/>
          </w:tcPr>
          <w:p w:rsidR="000272EE" w:rsidRPr="008B0565" w:rsidRDefault="000272EE" w:rsidP="000065D0">
            <w:pPr>
              <w:spacing w:before="0"/>
              <w:rPr>
                <w:u w:val="single"/>
              </w:rPr>
            </w:pPr>
            <w:r w:rsidRPr="008B0565">
              <w:rPr>
                <w:u w:val="single"/>
              </w:rPr>
              <w:t>Entité responsable/concernée</w:t>
            </w:r>
          </w:p>
        </w:tc>
        <w:tc>
          <w:tcPr>
            <w:tcW w:w="1276" w:type="dxa"/>
            <w:vAlign w:val="center"/>
          </w:tcPr>
          <w:p w:rsidR="000272EE" w:rsidRPr="008B0565" w:rsidRDefault="000272EE" w:rsidP="000065D0">
            <w:pPr>
              <w:tabs>
                <w:tab w:val="clear" w:pos="2835"/>
                <w:tab w:val="left" w:pos="5812"/>
                <w:tab w:val="center" w:pos="7655"/>
                <w:tab w:val="right" w:pos="9639"/>
              </w:tabs>
              <w:spacing w:before="0"/>
              <w:rPr>
                <w:u w:val="single"/>
              </w:rPr>
            </w:pPr>
            <w:r w:rsidRPr="008B0565">
              <w:rPr>
                <w:u w:val="single"/>
              </w:rPr>
              <w:t>Délai</w:t>
            </w:r>
          </w:p>
        </w:tc>
      </w:tr>
      <w:tr w:rsidR="000272EE" w:rsidRPr="008B0565" w:rsidTr="000065D0">
        <w:tc>
          <w:tcPr>
            <w:tcW w:w="5245" w:type="dxa"/>
          </w:tcPr>
          <w:p w:rsidR="000272EE" w:rsidRPr="008B0565" w:rsidRDefault="00385496" w:rsidP="000065D0">
            <w:pPr>
              <w:spacing w:before="0"/>
              <w:ind w:left="567" w:hanging="567"/>
            </w:pPr>
            <w:r w:rsidRPr="008B0565">
              <w:t>4</w:t>
            </w:r>
            <w:r w:rsidR="000272EE" w:rsidRPr="008B0565">
              <w:t>.1</w:t>
            </w:r>
            <w:r w:rsidR="000272EE" w:rsidRPr="008B0565">
              <w:tab/>
            </w:r>
            <w:r w:rsidRPr="008B0565">
              <w:rPr>
                <w:rFonts w:asciiTheme="minorHAnsi" w:hAnsiTheme="minorHAnsi"/>
                <w:szCs w:val="24"/>
              </w:rPr>
              <w:t>Participation du GTF à l'élaboration du prochain plan stratégique</w:t>
            </w:r>
          </w:p>
        </w:tc>
        <w:tc>
          <w:tcPr>
            <w:tcW w:w="3255" w:type="dxa"/>
          </w:tcPr>
          <w:p w:rsidR="000272EE" w:rsidRPr="008B0565" w:rsidRDefault="00385496" w:rsidP="00AE03E7">
            <w:pPr>
              <w:spacing w:before="0"/>
              <w:jc w:val="center"/>
            </w:pPr>
            <w:r w:rsidRPr="008B0565">
              <w:rPr>
                <w:rFonts w:asciiTheme="minorHAnsi" w:hAnsiTheme="minorHAnsi"/>
                <w:color w:val="000000" w:themeColor="text1"/>
                <w:szCs w:val="24"/>
              </w:rPr>
              <w:t>SPM/GTF</w:t>
            </w:r>
          </w:p>
        </w:tc>
        <w:tc>
          <w:tcPr>
            <w:tcW w:w="1276" w:type="dxa"/>
          </w:tcPr>
          <w:p w:rsidR="000272EE" w:rsidRPr="008B0565" w:rsidRDefault="00385496" w:rsidP="000065D0">
            <w:pPr>
              <w:spacing w:before="0"/>
            </w:pPr>
            <w:r w:rsidRPr="008B0565">
              <w:t>mai-déc</w:t>
            </w:r>
          </w:p>
        </w:tc>
      </w:tr>
      <w:tr w:rsidR="000272EE" w:rsidRPr="008B0565" w:rsidTr="000065D0">
        <w:tc>
          <w:tcPr>
            <w:tcW w:w="5245" w:type="dxa"/>
          </w:tcPr>
          <w:p w:rsidR="000272EE" w:rsidRPr="008B0565" w:rsidRDefault="00385496" w:rsidP="000065D0">
            <w:pPr>
              <w:spacing w:before="0"/>
              <w:ind w:left="567" w:hanging="567"/>
            </w:pPr>
            <w:r w:rsidRPr="008B0565">
              <w:t>4</w:t>
            </w:r>
            <w:r w:rsidR="000272EE" w:rsidRPr="008B0565">
              <w:t>.2</w:t>
            </w:r>
            <w:r w:rsidR="000272EE" w:rsidRPr="008B0565">
              <w:tab/>
            </w:r>
            <w:r w:rsidRPr="008B0565">
              <w:rPr>
                <w:rFonts w:asciiTheme="minorHAnsi" w:hAnsiTheme="minorHAnsi"/>
                <w:szCs w:val="24"/>
              </w:rPr>
              <w:t>Participation du GTF à l'élaboration du prochain plan opérationnel</w:t>
            </w:r>
          </w:p>
        </w:tc>
        <w:tc>
          <w:tcPr>
            <w:tcW w:w="3255" w:type="dxa"/>
          </w:tcPr>
          <w:p w:rsidR="000272EE" w:rsidRPr="008B0565" w:rsidRDefault="00385496" w:rsidP="00AE03E7">
            <w:pPr>
              <w:spacing w:before="0"/>
              <w:jc w:val="center"/>
            </w:pPr>
            <w:r w:rsidRPr="008B0565">
              <w:rPr>
                <w:rFonts w:asciiTheme="minorHAnsi" w:hAnsiTheme="minorHAnsi"/>
                <w:color w:val="000000" w:themeColor="text1"/>
                <w:szCs w:val="24"/>
              </w:rPr>
              <w:t>SPM/GTF</w:t>
            </w:r>
          </w:p>
        </w:tc>
        <w:tc>
          <w:tcPr>
            <w:tcW w:w="1276" w:type="dxa"/>
          </w:tcPr>
          <w:p w:rsidR="000272EE" w:rsidRPr="008B0565" w:rsidRDefault="000272EE" w:rsidP="000065D0">
            <w:pPr>
              <w:spacing w:before="0"/>
            </w:pPr>
            <w:r w:rsidRPr="008B0565">
              <w:t>jan-mars</w:t>
            </w:r>
          </w:p>
        </w:tc>
      </w:tr>
    </w:tbl>
    <w:p w:rsidR="009A3974" w:rsidRPr="008B0565" w:rsidRDefault="00385496" w:rsidP="000065D0">
      <w:pPr>
        <w:pStyle w:val="Heading1"/>
        <w:spacing w:before="240"/>
      </w:pPr>
      <w:r w:rsidRPr="008B0565">
        <w:t>5</w:t>
      </w:r>
      <w:r w:rsidRPr="008B0565">
        <w:tab/>
      </w:r>
      <w:r w:rsidR="009A3974" w:rsidRPr="008B0565">
        <w:t xml:space="preserve">Etablissement de </w:t>
      </w:r>
      <w:r w:rsidR="00E76871">
        <w:t>rapports et analyse des données</w:t>
      </w:r>
    </w:p>
    <w:p w:rsidR="009A3974" w:rsidRPr="008B0565" w:rsidRDefault="009A3974" w:rsidP="00385496">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E76871">
        <w:rPr>
          <w:b w:val="0"/>
          <w:bCs/>
          <w:sz w:val="24"/>
          <w:szCs w:val="18"/>
        </w:rPr>
        <w:t>satisfait aux exigences</w:t>
      </w:r>
    </w:p>
    <w:p w:rsidR="009A3974" w:rsidRPr="008B0565" w:rsidRDefault="009A3974" w:rsidP="00385496">
      <w:pPr>
        <w:spacing w:after="120"/>
      </w:pPr>
      <w:r w:rsidRPr="008B0565">
        <w:t>Pour satisfaire aux indicateurs de performance de l</w:t>
      </w:r>
      <w:r w:rsidR="00266092" w:rsidRPr="008B0565">
        <w:t>'</w:t>
      </w:r>
      <w:r w:rsidRPr="008B0565">
        <w:t>ONU-SWAP, l</w:t>
      </w:r>
      <w:r w:rsidR="00266092" w:rsidRPr="008B0565">
        <w:t>'</w:t>
      </w:r>
      <w:r w:rsidRPr="008B0565">
        <w:t>UIT devrait rendre compte des résultats atteints en matière d</w:t>
      </w:r>
      <w:r w:rsidR="00266092" w:rsidRPr="008B0565">
        <w:t>'</w:t>
      </w:r>
      <w:r w:rsidRPr="008B0565">
        <w:t>égalité des sexes et d</w:t>
      </w:r>
      <w:r w:rsidR="00266092" w:rsidRPr="008B0565">
        <w:t>'</w:t>
      </w:r>
      <w:r w:rsidRPr="008B0565">
        <w:t>autonomisation des femmes eu égard au document central de planification stratégique. Toutes les données clés de l</w:t>
      </w:r>
      <w:r w:rsidR="00266092" w:rsidRPr="008B0565">
        <w:t>'</w:t>
      </w:r>
      <w:r w:rsidRPr="008B0565">
        <w:t>Union sont ventilées par sexe. S</w:t>
      </w:r>
      <w:r w:rsidR="00266092" w:rsidRPr="008B0565">
        <w:t>'</w:t>
      </w:r>
      <w:r w:rsidRPr="008B0565">
        <w:t>il existe une raison particulière de ne pas le faire, elle doit être</w:t>
      </w:r>
      <w:r w:rsidR="00385496" w:rsidRPr="008B0565">
        <w:t xml:space="preserve"> spécifiée.</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385496" w:rsidRPr="008B0565" w:rsidTr="00F530C3">
        <w:tc>
          <w:tcPr>
            <w:tcW w:w="5245" w:type="dxa"/>
            <w:vAlign w:val="center"/>
          </w:tcPr>
          <w:p w:rsidR="00385496" w:rsidRPr="008B0565" w:rsidRDefault="00385496" w:rsidP="00F530C3">
            <w:pPr>
              <w:spacing w:before="0"/>
              <w:rPr>
                <w:u w:val="single"/>
              </w:rPr>
            </w:pPr>
            <w:r w:rsidRPr="008B0565">
              <w:rPr>
                <w:u w:val="single"/>
              </w:rPr>
              <w:t>Produits</w:t>
            </w:r>
          </w:p>
        </w:tc>
        <w:tc>
          <w:tcPr>
            <w:tcW w:w="3255" w:type="dxa"/>
            <w:vAlign w:val="center"/>
          </w:tcPr>
          <w:p w:rsidR="00385496" w:rsidRPr="008B0565" w:rsidRDefault="00385496" w:rsidP="00F530C3">
            <w:pPr>
              <w:spacing w:before="0"/>
              <w:rPr>
                <w:u w:val="single"/>
              </w:rPr>
            </w:pPr>
            <w:r w:rsidRPr="008B0565">
              <w:rPr>
                <w:u w:val="single"/>
              </w:rPr>
              <w:t>Entité responsable/concernée</w:t>
            </w:r>
          </w:p>
        </w:tc>
        <w:tc>
          <w:tcPr>
            <w:tcW w:w="1276" w:type="dxa"/>
            <w:vAlign w:val="center"/>
          </w:tcPr>
          <w:p w:rsidR="00385496" w:rsidRPr="008B0565" w:rsidRDefault="00385496" w:rsidP="00F530C3">
            <w:pPr>
              <w:tabs>
                <w:tab w:val="clear" w:pos="2835"/>
                <w:tab w:val="left" w:pos="5812"/>
                <w:tab w:val="center" w:pos="7655"/>
                <w:tab w:val="right" w:pos="9639"/>
              </w:tabs>
              <w:spacing w:before="0"/>
              <w:rPr>
                <w:u w:val="single"/>
              </w:rPr>
            </w:pPr>
            <w:r w:rsidRPr="008B0565">
              <w:rPr>
                <w:u w:val="single"/>
              </w:rPr>
              <w:t>Délai</w:t>
            </w:r>
          </w:p>
        </w:tc>
      </w:tr>
      <w:tr w:rsidR="00385496" w:rsidRPr="008B0565" w:rsidTr="00F530C3">
        <w:tc>
          <w:tcPr>
            <w:tcW w:w="5245" w:type="dxa"/>
          </w:tcPr>
          <w:p w:rsidR="00385496" w:rsidRPr="008B0565" w:rsidRDefault="00385496" w:rsidP="00F530C3">
            <w:pPr>
              <w:spacing w:before="0"/>
              <w:ind w:left="567" w:hanging="567"/>
            </w:pPr>
            <w:r w:rsidRPr="008B0565">
              <w:t>5.1</w:t>
            </w:r>
            <w:r w:rsidRPr="008B0565">
              <w:tab/>
            </w:r>
            <w:r w:rsidRPr="008B0565">
              <w:rPr>
                <w:rFonts w:asciiTheme="minorHAnsi" w:hAnsiTheme="minorHAnsi"/>
                <w:szCs w:val="24"/>
              </w:rPr>
              <w:t>Réexaminer les disparités en matière de données de base</w:t>
            </w:r>
          </w:p>
        </w:tc>
        <w:tc>
          <w:tcPr>
            <w:tcW w:w="3255" w:type="dxa"/>
          </w:tcPr>
          <w:p w:rsidR="00385496" w:rsidRPr="008B0565" w:rsidRDefault="00385496" w:rsidP="00AE03E7">
            <w:pPr>
              <w:spacing w:before="0"/>
              <w:jc w:val="center"/>
            </w:pPr>
            <w:r w:rsidRPr="008B0565">
              <w:rPr>
                <w:rFonts w:asciiTheme="minorHAnsi" w:hAnsiTheme="minorHAnsi"/>
                <w:color w:val="000000" w:themeColor="text1"/>
                <w:szCs w:val="24"/>
              </w:rPr>
              <w:t>GTF/BDT</w:t>
            </w:r>
          </w:p>
        </w:tc>
        <w:tc>
          <w:tcPr>
            <w:tcW w:w="1276" w:type="dxa"/>
          </w:tcPr>
          <w:p w:rsidR="00385496" w:rsidRPr="008B0565" w:rsidRDefault="00385496" w:rsidP="00F530C3">
            <w:pPr>
              <w:spacing w:before="0"/>
            </w:pPr>
            <w:r w:rsidRPr="008B0565">
              <w:t>mai-juil</w:t>
            </w:r>
          </w:p>
        </w:tc>
      </w:tr>
    </w:tbl>
    <w:p w:rsidR="00385496" w:rsidRPr="008B0565" w:rsidRDefault="00385496" w:rsidP="00F530C3">
      <w:pPr>
        <w:pStyle w:val="Heading1"/>
        <w:spacing w:before="240"/>
      </w:pPr>
      <w:r w:rsidRPr="008B0565">
        <w:t>6</w:t>
      </w:r>
      <w:r w:rsidRPr="008B0565">
        <w:tab/>
        <w:t>Evaluation</w:t>
      </w:r>
    </w:p>
    <w:p w:rsidR="009A3974" w:rsidRPr="008B0565" w:rsidRDefault="009A3974" w:rsidP="00385496">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E76871">
        <w:rPr>
          <w:b w:val="0"/>
          <w:bCs/>
          <w:sz w:val="24"/>
          <w:szCs w:val="18"/>
        </w:rPr>
        <w:t>sans objet</w:t>
      </w:r>
    </w:p>
    <w:p w:rsidR="009A3974" w:rsidRPr="008B0565" w:rsidRDefault="009A3974" w:rsidP="000E6172">
      <w:pPr>
        <w:spacing w:after="120"/>
      </w:pPr>
      <w:r w:rsidRPr="008B0565">
        <w:t>Pour satisfaire aux indicateurs de performance de l</w:t>
      </w:r>
      <w:r w:rsidR="00266092" w:rsidRPr="008B0565">
        <w:t>'</w:t>
      </w:r>
      <w:r w:rsidRPr="008B0565">
        <w:t>ONU-SWAP, l</w:t>
      </w:r>
      <w:r w:rsidR="00266092" w:rsidRPr="008B0565">
        <w:t>'</w:t>
      </w:r>
      <w:r w:rsidRPr="008B0565">
        <w:t>UIT devrait respecter les normes et exigences en matière d</w:t>
      </w:r>
      <w:r w:rsidR="00266092" w:rsidRPr="008B0565">
        <w:t>'</w:t>
      </w:r>
      <w:r w:rsidRPr="008B0565">
        <w:t>égalité hommes-femmes définies par le Groupe des Nations Unies pour l</w:t>
      </w:r>
      <w:r w:rsidR="00266092" w:rsidRPr="008B0565">
        <w:t>'</w:t>
      </w:r>
      <w:r w:rsidRPr="008B0565">
        <w:t>évaluation (GNUE). Comme suite à la proposition du Groupe de coordination de la gestion de l</w:t>
      </w:r>
      <w:r w:rsidR="00266092" w:rsidRPr="008B0565">
        <w:t>'</w:t>
      </w:r>
      <w:r w:rsidRPr="008B0565">
        <w:t>UIT de créer un mécanisme institutionnel central d</w:t>
      </w:r>
      <w:r w:rsidR="00266092" w:rsidRPr="008B0565">
        <w:t>'</w:t>
      </w:r>
      <w:r w:rsidRPr="008B0565">
        <w:t>évaluation au sein de l</w:t>
      </w:r>
      <w:r w:rsidR="00266092" w:rsidRPr="008B0565">
        <w:t>'</w:t>
      </w:r>
      <w:r w:rsidRPr="008B0565">
        <w:t>Unité de l'audit interne, une étude a été menée au quatrième trimestre de l</w:t>
      </w:r>
      <w:r w:rsidR="00266092" w:rsidRPr="008B0565">
        <w:t>'</w:t>
      </w:r>
      <w:r w:rsidRPr="008B0565">
        <w:t>année 2016 et au premier trimestre de l</w:t>
      </w:r>
      <w:r w:rsidR="00266092" w:rsidRPr="008B0565">
        <w:t>'</w:t>
      </w:r>
      <w:r w:rsidRPr="008B0565">
        <w:t>année 2017 pour: 1) élaborer une politique d</w:t>
      </w:r>
      <w:r w:rsidR="00266092" w:rsidRPr="008B0565">
        <w:t>'</w:t>
      </w:r>
      <w:r w:rsidRPr="008B0565">
        <w:t>évaluation et un plan de travail; 2) évaluer les capacités nécessaires; et 3) proposer les prochaines étapes de la création du mécanisme d</w:t>
      </w:r>
      <w:r w:rsidR="00266092" w:rsidRPr="008B0565">
        <w:t>'</w:t>
      </w:r>
      <w:r w:rsidRPr="008B0565">
        <w:t>évaluation en se fondant sur les bonnes pratiques mises en oeuvre par les mécanismes d</w:t>
      </w:r>
      <w:r w:rsidR="00266092" w:rsidRPr="008B0565">
        <w:t>'</w:t>
      </w:r>
      <w:r w:rsidRPr="008B0565">
        <w:t>évaluation d</w:t>
      </w:r>
      <w:r w:rsidR="00266092" w:rsidRPr="008B0565">
        <w:t>'</w:t>
      </w:r>
      <w:r w:rsidRPr="008B0565">
        <w:t>autres organismes du système des Nations Unies et sur l</w:t>
      </w:r>
      <w:r w:rsidR="00385496" w:rsidRPr="008B0565">
        <w:t>es normes et exigences du GNUE.</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0E6172" w:rsidRPr="008B0565" w:rsidTr="008D2559">
        <w:tc>
          <w:tcPr>
            <w:tcW w:w="5245" w:type="dxa"/>
            <w:vAlign w:val="center"/>
          </w:tcPr>
          <w:p w:rsidR="000E6172" w:rsidRPr="008B0565" w:rsidRDefault="000E6172" w:rsidP="00292C85">
            <w:pPr>
              <w:spacing w:before="0"/>
              <w:rPr>
                <w:u w:val="single"/>
              </w:rPr>
            </w:pPr>
            <w:r w:rsidRPr="008B0565">
              <w:rPr>
                <w:u w:val="single"/>
              </w:rPr>
              <w:t>Produits</w:t>
            </w:r>
          </w:p>
        </w:tc>
        <w:tc>
          <w:tcPr>
            <w:tcW w:w="3255" w:type="dxa"/>
            <w:vAlign w:val="center"/>
          </w:tcPr>
          <w:p w:rsidR="000E6172" w:rsidRPr="008B0565" w:rsidRDefault="000E6172" w:rsidP="00292C85">
            <w:pPr>
              <w:spacing w:before="0"/>
              <w:rPr>
                <w:u w:val="single"/>
              </w:rPr>
            </w:pPr>
            <w:r w:rsidRPr="008B0565">
              <w:rPr>
                <w:u w:val="single"/>
              </w:rPr>
              <w:t>Entité responsable/concernée</w:t>
            </w:r>
          </w:p>
        </w:tc>
        <w:tc>
          <w:tcPr>
            <w:tcW w:w="1276" w:type="dxa"/>
            <w:vAlign w:val="center"/>
          </w:tcPr>
          <w:p w:rsidR="000E6172" w:rsidRPr="008B0565" w:rsidRDefault="000E6172" w:rsidP="00292C85">
            <w:pPr>
              <w:tabs>
                <w:tab w:val="clear" w:pos="2835"/>
                <w:tab w:val="left" w:pos="5812"/>
                <w:tab w:val="center" w:pos="7655"/>
                <w:tab w:val="right" w:pos="9639"/>
              </w:tabs>
              <w:spacing w:before="0"/>
              <w:rPr>
                <w:u w:val="single"/>
              </w:rPr>
            </w:pPr>
            <w:r w:rsidRPr="008B0565">
              <w:rPr>
                <w:u w:val="single"/>
              </w:rPr>
              <w:t>Délai</w:t>
            </w:r>
          </w:p>
        </w:tc>
      </w:tr>
      <w:tr w:rsidR="000E6172" w:rsidRPr="008B0565" w:rsidTr="00EB165D">
        <w:tc>
          <w:tcPr>
            <w:tcW w:w="5245" w:type="dxa"/>
          </w:tcPr>
          <w:p w:rsidR="000E6172" w:rsidRPr="008B0565" w:rsidRDefault="009F5874" w:rsidP="00292C85">
            <w:pPr>
              <w:tabs>
                <w:tab w:val="left" w:pos="426"/>
                <w:tab w:val="center" w:pos="7655"/>
                <w:tab w:val="right" w:pos="9639"/>
              </w:tabs>
              <w:spacing w:before="0"/>
              <w:ind w:left="426" w:hanging="426"/>
            </w:pPr>
            <w:r w:rsidRPr="008B0565">
              <w:t>6</w:t>
            </w:r>
            <w:r w:rsidR="000E6172" w:rsidRPr="008B0565">
              <w:t>.1</w:t>
            </w:r>
            <w:r w:rsidR="000E6172" w:rsidRPr="008B0565">
              <w:tab/>
            </w:r>
            <w:r w:rsidR="00EB165D" w:rsidRPr="008B0565">
              <w:rPr>
                <w:rFonts w:asciiTheme="minorHAnsi" w:hAnsiTheme="minorHAnsi"/>
                <w:szCs w:val="24"/>
              </w:rPr>
              <w:t>Examiner les normes et exigences en matière d'égalité hommes/femmes du GNUE</w:t>
            </w:r>
          </w:p>
        </w:tc>
        <w:tc>
          <w:tcPr>
            <w:tcW w:w="3255" w:type="dxa"/>
            <w:vAlign w:val="center"/>
          </w:tcPr>
          <w:p w:rsidR="000E6172" w:rsidRPr="008B0565" w:rsidRDefault="00EB165D" w:rsidP="00AE03E7">
            <w:pPr>
              <w:spacing w:before="0"/>
              <w:jc w:val="center"/>
            </w:pPr>
            <w:r w:rsidRPr="008B0565">
              <w:rPr>
                <w:rFonts w:asciiTheme="minorHAnsi" w:hAnsiTheme="minorHAnsi"/>
                <w:color w:val="000000" w:themeColor="text1"/>
                <w:szCs w:val="24"/>
              </w:rPr>
              <w:t>IA/Bureaux</w:t>
            </w:r>
          </w:p>
        </w:tc>
        <w:tc>
          <w:tcPr>
            <w:tcW w:w="1276" w:type="dxa"/>
            <w:vAlign w:val="center"/>
          </w:tcPr>
          <w:p w:rsidR="000E6172" w:rsidRPr="008B0565" w:rsidRDefault="00EB165D" w:rsidP="00292C85">
            <w:pPr>
              <w:spacing w:before="0"/>
            </w:pPr>
            <w:r w:rsidRPr="008B0565">
              <w:t>déc</w:t>
            </w:r>
          </w:p>
        </w:tc>
      </w:tr>
    </w:tbl>
    <w:p w:rsidR="009A3974" w:rsidRPr="008B0565" w:rsidRDefault="001806CB" w:rsidP="001806CB">
      <w:pPr>
        <w:pStyle w:val="Heading1"/>
        <w:spacing w:before="0"/>
      </w:pPr>
      <w:r w:rsidRPr="008B0565">
        <w:lastRenderedPageBreak/>
        <w:t>7</w:t>
      </w:r>
      <w:r w:rsidRPr="008B0565">
        <w:tab/>
      </w:r>
      <w:r w:rsidR="009A3974" w:rsidRPr="008B0565">
        <w:t>Audit sur l</w:t>
      </w:r>
      <w:r w:rsidR="00266092" w:rsidRPr="008B0565">
        <w:t>'</w:t>
      </w:r>
      <w:r w:rsidR="009A3974" w:rsidRPr="008B0565">
        <w:t xml:space="preserve">égalité des sexes </w:t>
      </w:r>
    </w:p>
    <w:p w:rsidR="009A3974" w:rsidRPr="008B0565" w:rsidRDefault="009A3974" w:rsidP="001806CB">
      <w:pPr>
        <w:pStyle w:val="Heading1"/>
        <w:pBdr>
          <w:bottom w:val="single" w:sz="4" w:space="1" w:color="auto"/>
        </w:pBdr>
        <w:spacing w:before="0"/>
        <w:rPr>
          <w:sz w:val="24"/>
          <w:szCs w:val="24"/>
        </w:rPr>
      </w:pPr>
      <w:r w:rsidRPr="008B0565">
        <w:rPr>
          <w:sz w:val="24"/>
          <w:szCs w:val="24"/>
        </w:rPr>
        <w:t>Situation en 2016 au regard de l</w:t>
      </w:r>
      <w:r w:rsidR="00266092" w:rsidRPr="008B0565">
        <w:rPr>
          <w:sz w:val="24"/>
          <w:szCs w:val="24"/>
        </w:rPr>
        <w:t>'</w:t>
      </w:r>
      <w:r w:rsidRPr="008B0565">
        <w:rPr>
          <w:sz w:val="24"/>
          <w:szCs w:val="24"/>
        </w:rPr>
        <w:t xml:space="preserve">ONU-SWAP: </w:t>
      </w:r>
      <w:r w:rsidRPr="00E76871">
        <w:rPr>
          <w:b w:val="0"/>
          <w:bCs/>
          <w:sz w:val="24"/>
          <w:szCs w:val="24"/>
        </w:rPr>
        <w:t>indicateur manquant</w:t>
      </w:r>
    </w:p>
    <w:p w:rsidR="009A3974" w:rsidRPr="008B0565" w:rsidRDefault="009A3974" w:rsidP="009F5874">
      <w:pPr>
        <w:spacing w:after="120"/>
      </w:pPr>
      <w:r w:rsidRPr="008B0565">
        <w:t>Pour satisfaire aux indicateurs de performance de l</w:t>
      </w:r>
      <w:r w:rsidR="00266092" w:rsidRPr="008B0565">
        <w:t>'</w:t>
      </w:r>
      <w:r w:rsidRPr="008B0565">
        <w:t>ONU-SWAP, l</w:t>
      </w:r>
      <w:r w:rsidR="00266092" w:rsidRPr="008B0565">
        <w:t>'</w:t>
      </w:r>
      <w:r w:rsidRPr="008B0565">
        <w:t>Unité de l</w:t>
      </w:r>
      <w:r w:rsidR="00266092" w:rsidRPr="008B0565">
        <w:t>'</w:t>
      </w:r>
      <w:r w:rsidRPr="008B0565">
        <w:t>audit interne de l</w:t>
      </w:r>
      <w:r w:rsidR="00266092" w:rsidRPr="008B0565">
        <w:t>'</w:t>
      </w:r>
      <w:r w:rsidRPr="008B0565">
        <w:t>UIT devrait mener une consultation avec le responsable/département chargé des questions d</w:t>
      </w:r>
      <w:r w:rsidR="00266092" w:rsidRPr="008B0565">
        <w:t>'</w:t>
      </w:r>
      <w:r w:rsidRPr="008B0565">
        <w:t>égalité entre hommes et femmes sur les risques encourus en cas de non-prise en compte du principe d</w:t>
      </w:r>
      <w:r w:rsidR="00266092" w:rsidRPr="008B0565">
        <w:t>'</w:t>
      </w:r>
      <w:r w:rsidRPr="008B0565">
        <w:t>égalité des sexes et de l</w:t>
      </w:r>
      <w:r w:rsidR="00266092" w:rsidRPr="008B0565">
        <w:t>'</w:t>
      </w:r>
      <w:r w:rsidRPr="008B0565">
        <w:t>autonomisation des femmes, dans le cadre du cycle annuel de planification de l</w:t>
      </w:r>
      <w:r w:rsidR="00266092" w:rsidRPr="008B0565">
        <w:t>'</w:t>
      </w:r>
      <w:r w:rsidRPr="008B0565">
        <w:t>audit axé sur les risques. Cela suppose que l</w:t>
      </w:r>
      <w:r w:rsidR="00266092" w:rsidRPr="008B0565">
        <w:t>'</w:t>
      </w:r>
      <w:r w:rsidRPr="008B0565">
        <w:t>Unité de l</w:t>
      </w:r>
      <w:r w:rsidR="00266092" w:rsidRPr="008B0565">
        <w:t>'</w:t>
      </w:r>
      <w:r w:rsidRPr="008B0565">
        <w:t>audit interne examine tous les risques importants qui menacent l</w:t>
      </w:r>
      <w:r w:rsidR="00266092" w:rsidRPr="008B0565">
        <w:t>'</w:t>
      </w:r>
      <w:r w:rsidRPr="008B0565">
        <w:t>entité en donnant un degré de priorité élevé à son programme de travail annuel ou pluriannuel en matière d</w:t>
      </w:r>
      <w:r w:rsidR="00266092" w:rsidRPr="008B0565">
        <w:t>'</w:t>
      </w:r>
      <w:r w:rsidRPr="008B0565">
        <w:t>audit. Les documents se rapportant à la planification du travail devraient permettre de mesurer si les risques induits dans le cadre de la réalisation du principe d</w:t>
      </w:r>
      <w:r w:rsidR="00266092" w:rsidRPr="008B0565">
        <w:t>'</w:t>
      </w:r>
      <w:r w:rsidRPr="008B0565">
        <w:t>égalité des sexes et de l</w:t>
      </w:r>
      <w:r w:rsidR="00266092" w:rsidRPr="008B0565">
        <w:t>'</w:t>
      </w:r>
      <w:r w:rsidRPr="008B0565">
        <w:t>autonomisation des femmes sont gérés de manière convenable. L</w:t>
      </w:r>
      <w:r w:rsidR="00266092" w:rsidRPr="008B0565">
        <w:t>'</w:t>
      </w:r>
      <w:r w:rsidRPr="008B0565">
        <w:t>Unité devrait indiquer s</w:t>
      </w:r>
      <w:r w:rsidR="00266092" w:rsidRPr="008B0565">
        <w:t>'</w:t>
      </w:r>
      <w:r w:rsidRPr="008B0565">
        <w:t>il est nécessaire de prévoir un audit interne sur l</w:t>
      </w:r>
      <w:r w:rsidR="00266092" w:rsidRPr="008B0565">
        <w:t>'</w:t>
      </w:r>
      <w:r w:rsidRPr="008B0565">
        <w:t>égalité des sexes dans le plan annuel en matière d</w:t>
      </w:r>
      <w:r w:rsidR="00266092" w:rsidRPr="008B0565">
        <w:t>'</w:t>
      </w:r>
      <w:r w:rsidRPr="008B0565">
        <w:t>audit, ou si la bonne gestion des risques rend tout audit supplémentaire inutile</w:t>
      </w:r>
      <w:r w:rsidR="001806CB" w:rsidRPr="008B0565">
        <w:t>.</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9F5874" w:rsidRPr="008B0565" w:rsidTr="008D2559">
        <w:tc>
          <w:tcPr>
            <w:tcW w:w="5245" w:type="dxa"/>
            <w:vAlign w:val="center"/>
          </w:tcPr>
          <w:p w:rsidR="009F5874" w:rsidRPr="008B0565" w:rsidRDefault="009F5874" w:rsidP="00292C85">
            <w:pPr>
              <w:spacing w:before="0"/>
              <w:rPr>
                <w:u w:val="single"/>
              </w:rPr>
            </w:pPr>
            <w:r w:rsidRPr="008B0565">
              <w:rPr>
                <w:u w:val="single"/>
              </w:rPr>
              <w:t>Produits</w:t>
            </w:r>
          </w:p>
        </w:tc>
        <w:tc>
          <w:tcPr>
            <w:tcW w:w="3255" w:type="dxa"/>
            <w:vAlign w:val="center"/>
          </w:tcPr>
          <w:p w:rsidR="009F5874" w:rsidRPr="008B0565" w:rsidRDefault="009F5874" w:rsidP="00292C85">
            <w:pPr>
              <w:spacing w:before="0"/>
              <w:rPr>
                <w:u w:val="single"/>
              </w:rPr>
            </w:pPr>
            <w:r w:rsidRPr="008B0565">
              <w:rPr>
                <w:u w:val="single"/>
              </w:rPr>
              <w:t>Entité responsable/concernée</w:t>
            </w:r>
          </w:p>
        </w:tc>
        <w:tc>
          <w:tcPr>
            <w:tcW w:w="1276" w:type="dxa"/>
            <w:vAlign w:val="center"/>
          </w:tcPr>
          <w:p w:rsidR="009F5874" w:rsidRPr="008B0565" w:rsidRDefault="009F5874" w:rsidP="00292C85">
            <w:pPr>
              <w:tabs>
                <w:tab w:val="clear" w:pos="2835"/>
                <w:tab w:val="left" w:pos="5812"/>
                <w:tab w:val="center" w:pos="7655"/>
                <w:tab w:val="right" w:pos="9639"/>
              </w:tabs>
              <w:spacing w:before="0"/>
              <w:rPr>
                <w:u w:val="single"/>
              </w:rPr>
            </w:pPr>
            <w:r w:rsidRPr="008B0565">
              <w:rPr>
                <w:u w:val="single"/>
              </w:rPr>
              <w:t>Délai</w:t>
            </w:r>
          </w:p>
        </w:tc>
      </w:tr>
      <w:tr w:rsidR="009F5874" w:rsidRPr="008B0565" w:rsidTr="008D2559">
        <w:tc>
          <w:tcPr>
            <w:tcW w:w="5245" w:type="dxa"/>
          </w:tcPr>
          <w:p w:rsidR="009F5874" w:rsidRPr="008B0565" w:rsidRDefault="009F5874" w:rsidP="00292C85">
            <w:pPr>
              <w:tabs>
                <w:tab w:val="left" w:pos="426"/>
                <w:tab w:val="center" w:pos="7655"/>
                <w:tab w:val="right" w:pos="9639"/>
              </w:tabs>
              <w:spacing w:before="0"/>
              <w:ind w:left="426" w:hanging="426"/>
            </w:pPr>
            <w:r w:rsidRPr="008B0565">
              <w:t>7.1</w:t>
            </w:r>
            <w:r w:rsidRPr="008B0565">
              <w:tab/>
            </w:r>
            <w:r w:rsidR="00706146" w:rsidRPr="008B0565">
              <w:rPr>
                <w:rFonts w:asciiTheme="minorHAnsi" w:hAnsiTheme="minorHAnsi"/>
                <w:szCs w:val="24"/>
              </w:rPr>
              <w:t>Audit sur l'égalité des sexes et l'intégration du principe d'égalité hommes/femmes à l'UIT</w:t>
            </w:r>
          </w:p>
        </w:tc>
        <w:tc>
          <w:tcPr>
            <w:tcW w:w="3255" w:type="dxa"/>
            <w:vAlign w:val="center"/>
          </w:tcPr>
          <w:p w:rsidR="009F5874" w:rsidRPr="008B0565" w:rsidRDefault="009F5874" w:rsidP="00AE03E7">
            <w:pPr>
              <w:spacing w:before="0"/>
              <w:jc w:val="center"/>
            </w:pPr>
            <w:r w:rsidRPr="008B0565">
              <w:rPr>
                <w:rFonts w:asciiTheme="minorHAnsi" w:hAnsiTheme="minorHAnsi"/>
                <w:color w:val="000000" w:themeColor="text1"/>
                <w:szCs w:val="24"/>
              </w:rPr>
              <w:t>IA</w:t>
            </w:r>
          </w:p>
        </w:tc>
        <w:tc>
          <w:tcPr>
            <w:tcW w:w="1276" w:type="dxa"/>
            <w:vAlign w:val="center"/>
          </w:tcPr>
          <w:p w:rsidR="009F5874" w:rsidRPr="008B0565" w:rsidRDefault="00706146" w:rsidP="00292C85">
            <w:pPr>
              <w:spacing w:before="0"/>
            </w:pPr>
            <w:r w:rsidRPr="008B0565">
              <w:t>jan-mars</w:t>
            </w:r>
          </w:p>
        </w:tc>
      </w:tr>
    </w:tbl>
    <w:p w:rsidR="009A3974" w:rsidRPr="008B0565" w:rsidRDefault="00D104F3" w:rsidP="00FE3B9E">
      <w:pPr>
        <w:pStyle w:val="Heading1"/>
        <w:spacing w:before="240"/>
      </w:pPr>
      <w:r w:rsidRPr="008B0565">
        <w:t>8</w:t>
      </w:r>
      <w:r w:rsidRPr="008B0565">
        <w:tab/>
        <w:t>Examen des programmes</w:t>
      </w:r>
    </w:p>
    <w:p w:rsidR="009A3974" w:rsidRPr="008B0565" w:rsidRDefault="009A3974" w:rsidP="00FE3B9E">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E76871">
        <w:rPr>
          <w:b w:val="0"/>
          <w:bCs/>
          <w:sz w:val="24"/>
          <w:szCs w:val="18"/>
        </w:rPr>
        <w:t>proche du niveau exigé</w:t>
      </w:r>
    </w:p>
    <w:p w:rsidR="009A3974" w:rsidRPr="008B0565" w:rsidRDefault="009A3974" w:rsidP="008B0565">
      <w:r w:rsidRPr="008B0565">
        <w:t>Pour satisfaire aux indicateurs de performance de l</w:t>
      </w:r>
      <w:r w:rsidR="00266092" w:rsidRPr="008B0565">
        <w:t>'</w:t>
      </w:r>
      <w:r w:rsidRPr="008B0565">
        <w:t>ONU-SWAP, les systèmes de contrôle de la qualité des programmes devraient intégrer pleinement des analyses par sexe. Les documents décrivant les programmes de l</w:t>
      </w:r>
      <w:r w:rsidR="00266092" w:rsidRPr="008B0565">
        <w:t>'</w:t>
      </w:r>
      <w:r w:rsidRPr="008B0565">
        <w:t>UIT devraient comprendre les éléments suivants: 1) une analyse par sexe dans les considérations générales ainsi que les raisons de l</w:t>
      </w:r>
      <w:r w:rsidR="00266092" w:rsidRPr="008B0565">
        <w:t>'</w:t>
      </w:r>
      <w:r w:rsidRPr="008B0565">
        <w:t>élaboration du document; 2) une déclaration expresse sur les moyens prévus pour promouvoir l</w:t>
      </w:r>
      <w:r w:rsidR="00266092" w:rsidRPr="008B0565">
        <w:t>'</w:t>
      </w:r>
      <w:r w:rsidRPr="008B0565">
        <w:t>égalité des sexes et l</w:t>
      </w:r>
      <w:r w:rsidR="00266092" w:rsidRPr="008B0565">
        <w:t>'</w:t>
      </w:r>
      <w:r w:rsidRPr="008B0565">
        <w:t xml:space="preserve">autonomisation des femmes; les phrases du type </w:t>
      </w:r>
      <w:r w:rsidR="002A42BB" w:rsidRPr="008B0565">
        <w:t>"</w:t>
      </w:r>
      <w:r w:rsidRPr="008B0565">
        <w:t>en faveur des femmes</w:t>
      </w:r>
      <w:r w:rsidR="002A42BB" w:rsidRPr="008B0565">
        <w:t>"</w:t>
      </w:r>
      <w:r w:rsidRPr="008B0565">
        <w:t xml:space="preserve"> ou </w:t>
      </w:r>
      <w:r w:rsidR="002A42BB" w:rsidRPr="008B0565">
        <w:t>"</w:t>
      </w:r>
      <w:r w:rsidRPr="008B0565">
        <w:t>en accordant une attention particulière aux groupes vulnérables, y compris les femmes</w:t>
      </w:r>
      <w:r w:rsidR="002A42BB" w:rsidRPr="008B0565">
        <w:t>"</w:t>
      </w:r>
      <w:r w:rsidRPr="008B0565">
        <w:t xml:space="preserve"> ne sont pas suffisantes; 3) une déclaration expresse sur la manière dont les deux sexes pourraient tirer profit du </w:t>
      </w:r>
      <w:r w:rsidR="008B0565">
        <w:t xml:space="preserve">programme; 4) les attributions </w:t>
      </w:r>
      <w:r w:rsidRPr="008B0565">
        <w:t>spécifiques des hommes et des femmes qui seront chargés de mettre en oeuvre le programme; 5) des plans de suivi et d</w:t>
      </w:r>
      <w:r w:rsidR="00266092" w:rsidRPr="008B0565">
        <w:t>'</w:t>
      </w:r>
      <w:r w:rsidRPr="008B0565">
        <w:t>évaluation permettant d</w:t>
      </w:r>
      <w:r w:rsidR="00266092" w:rsidRPr="008B0565">
        <w:t>'</w:t>
      </w:r>
      <w:r w:rsidRPr="008B0565">
        <w:t>évaluer de quelle manière les objectifs ont été atteints; 6) la ventilation par sexe de toutes les données clés relatives à la population; si tel n</w:t>
      </w:r>
      <w:r w:rsidR="00266092" w:rsidRPr="008B0565">
        <w:t>'</w:t>
      </w:r>
      <w:r w:rsidRPr="008B0565">
        <w:t>est pas le cas, la raison devra être spécifiée</w:t>
      </w:r>
      <w:r w:rsidR="00FE3B9E" w:rsidRPr="008B0565">
        <w:t>.</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D405FE" w:rsidRPr="008B0565" w:rsidTr="008D2559">
        <w:tc>
          <w:tcPr>
            <w:tcW w:w="5245" w:type="dxa"/>
            <w:vAlign w:val="center"/>
          </w:tcPr>
          <w:p w:rsidR="00D405FE" w:rsidRPr="008B0565" w:rsidRDefault="00D405FE" w:rsidP="00292C85">
            <w:pPr>
              <w:spacing w:before="0"/>
              <w:rPr>
                <w:u w:val="single"/>
              </w:rPr>
            </w:pPr>
            <w:r w:rsidRPr="008B0565">
              <w:rPr>
                <w:u w:val="single"/>
              </w:rPr>
              <w:t>Produits</w:t>
            </w:r>
          </w:p>
        </w:tc>
        <w:tc>
          <w:tcPr>
            <w:tcW w:w="3255" w:type="dxa"/>
            <w:vAlign w:val="center"/>
          </w:tcPr>
          <w:p w:rsidR="00D405FE" w:rsidRPr="008B0565" w:rsidRDefault="00D405FE" w:rsidP="00292C85">
            <w:pPr>
              <w:spacing w:before="0"/>
              <w:rPr>
                <w:u w:val="single"/>
              </w:rPr>
            </w:pPr>
            <w:r w:rsidRPr="008B0565">
              <w:rPr>
                <w:u w:val="single"/>
              </w:rPr>
              <w:t>Entité responsable/concernée</w:t>
            </w:r>
          </w:p>
        </w:tc>
        <w:tc>
          <w:tcPr>
            <w:tcW w:w="1276" w:type="dxa"/>
            <w:vAlign w:val="center"/>
          </w:tcPr>
          <w:p w:rsidR="00D405FE" w:rsidRPr="008B0565" w:rsidRDefault="00D405FE" w:rsidP="00292C85">
            <w:pPr>
              <w:tabs>
                <w:tab w:val="clear" w:pos="2835"/>
                <w:tab w:val="left" w:pos="5812"/>
                <w:tab w:val="center" w:pos="7655"/>
                <w:tab w:val="right" w:pos="9639"/>
              </w:tabs>
              <w:spacing w:before="0"/>
              <w:rPr>
                <w:u w:val="single"/>
              </w:rPr>
            </w:pPr>
            <w:r w:rsidRPr="008B0565">
              <w:rPr>
                <w:u w:val="single"/>
              </w:rPr>
              <w:t>Délai</w:t>
            </w:r>
          </w:p>
        </w:tc>
      </w:tr>
      <w:tr w:rsidR="00D405FE" w:rsidRPr="008B0565" w:rsidTr="008D2559">
        <w:tc>
          <w:tcPr>
            <w:tcW w:w="5245" w:type="dxa"/>
          </w:tcPr>
          <w:p w:rsidR="00D405FE" w:rsidRPr="008B0565" w:rsidRDefault="00D405FE" w:rsidP="00292C85">
            <w:pPr>
              <w:tabs>
                <w:tab w:val="left" w:pos="426"/>
                <w:tab w:val="center" w:pos="7655"/>
                <w:tab w:val="right" w:pos="9639"/>
              </w:tabs>
              <w:spacing w:before="0"/>
              <w:ind w:left="426" w:hanging="426"/>
            </w:pPr>
            <w:r w:rsidRPr="008B0565">
              <w:t>8.1</w:t>
            </w:r>
            <w:r w:rsidRPr="008B0565">
              <w:tab/>
            </w:r>
            <w:r w:rsidRPr="008B0565">
              <w:rPr>
                <w:rFonts w:asciiTheme="minorHAnsi" w:hAnsiTheme="minorHAnsi"/>
                <w:color w:val="000000" w:themeColor="text1"/>
                <w:szCs w:val="24"/>
              </w:rPr>
              <w:t>Liste récapitulative des programmes/projets de coopération technique</w:t>
            </w:r>
          </w:p>
        </w:tc>
        <w:tc>
          <w:tcPr>
            <w:tcW w:w="3255" w:type="dxa"/>
            <w:vAlign w:val="center"/>
          </w:tcPr>
          <w:p w:rsidR="00D405FE" w:rsidRPr="008B0565" w:rsidRDefault="00D405FE" w:rsidP="00AE03E7">
            <w:pPr>
              <w:spacing w:before="0"/>
              <w:jc w:val="center"/>
            </w:pPr>
            <w:r w:rsidRPr="008B0565">
              <w:rPr>
                <w:rFonts w:asciiTheme="minorHAnsi" w:hAnsiTheme="minorHAnsi"/>
                <w:color w:val="000000" w:themeColor="text1"/>
                <w:szCs w:val="24"/>
              </w:rPr>
              <w:t>Bureaux</w:t>
            </w:r>
          </w:p>
        </w:tc>
        <w:tc>
          <w:tcPr>
            <w:tcW w:w="1276" w:type="dxa"/>
            <w:vAlign w:val="center"/>
          </w:tcPr>
          <w:p w:rsidR="00D405FE" w:rsidRPr="008B0565" w:rsidRDefault="00D405FE" w:rsidP="00292C85">
            <w:pPr>
              <w:spacing w:before="0"/>
            </w:pPr>
            <w:r w:rsidRPr="008B0565">
              <w:t>nov-déc</w:t>
            </w:r>
          </w:p>
        </w:tc>
      </w:tr>
      <w:tr w:rsidR="00D405FE" w:rsidRPr="008B0565" w:rsidTr="008D2559">
        <w:tc>
          <w:tcPr>
            <w:tcW w:w="5245" w:type="dxa"/>
          </w:tcPr>
          <w:p w:rsidR="00D405FE" w:rsidRPr="008B0565" w:rsidRDefault="00D405FE" w:rsidP="00292C85">
            <w:pPr>
              <w:tabs>
                <w:tab w:val="left" w:pos="426"/>
                <w:tab w:val="center" w:pos="7655"/>
                <w:tab w:val="right" w:pos="9639"/>
              </w:tabs>
              <w:spacing w:before="0"/>
              <w:ind w:left="426" w:hanging="426"/>
            </w:pPr>
            <w:r w:rsidRPr="008B0565">
              <w:t>8.2</w:t>
            </w:r>
            <w:r w:rsidRPr="008B0565">
              <w:tab/>
            </w:r>
            <w:r w:rsidRPr="008B0565">
              <w:rPr>
                <w:rFonts w:asciiTheme="minorHAnsi" w:hAnsiTheme="minorHAnsi"/>
                <w:color w:val="000000" w:themeColor="text1"/>
                <w:szCs w:val="24"/>
              </w:rPr>
              <w:t>Examen des programmes; formation/expertise en matière d'égalité hommes/femmes</w:t>
            </w:r>
          </w:p>
        </w:tc>
        <w:tc>
          <w:tcPr>
            <w:tcW w:w="3255" w:type="dxa"/>
            <w:vAlign w:val="center"/>
          </w:tcPr>
          <w:p w:rsidR="00D405FE" w:rsidRPr="008B0565" w:rsidRDefault="00D405FE"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Bureaux/GTF</w:t>
            </w:r>
          </w:p>
        </w:tc>
        <w:tc>
          <w:tcPr>
            <w:tcW w:w="1276" w:type="dxa"/>
            <w:vAlign w:val="center"/>
          </w:tcPr>
          <w:p w:rsidR="00D405FE" w:rsidRPr="008B0565" w:rsidRDefault="00D405FE" w:rsidP="00292C85">
            <w:pPr>
              <w:spacing w:before="0"/>
            </w:pPr>
            <w:r w:rsidRPr="008B0565">
              <w:t>nov-déc</w:t>
            </w:r>
          </w:p>
        </w:tc>
      </w:tr>
    </w:tbl>
    <w:p w:rsidR="00FE3B9E" w:rsidRPr="008B0565" w:rsidRDefault="00FE3B9E" w:rsidP="009A3974">
      <w:pPr>
        <w:tabs>
          <w:tab w:val="center" w:pos="7655"/>
          <w:tab w:val="right" w:pos="9639"/>
        </w:tabs>
        <w:spacing w:before="0"/>
        <w:jc w:val="both"/>
        <w:rPr>
          <w:rFonts w:asciiTheme="minorHAnsi" w:hAnsiTheme="minorHAnsi"/>
          <w:color w:val="000000" w:themeColor="text1"/>
          <w:szCs w:val="24"/>
        </w:rPr>
      </w:pPr>
    </w:p>
    <w:p w:rsidR="009A3974" w:rsidRPr="008B0565" w:rsidRDefault="00DE5AA2" w:rsidP="00DE5AA2">
      <w:pPr>
        <w:pStyle w:val="Heading1"/>
        <w:spacing w:before="0"/>
      </w:pPr>
      <w:r w:rsidRPr="008B0565">
        <w:lastRenderedPageBreak/>
        <w:t>9</w:t>
      </w:r>
      <w:r w:rsidRPr="008B0565">
        <w:tab/>
      </w:r>
      <w:r w:rsidR="009A3974" w:rsidRPr="008B0565">
        <w:t>Suivi des ressources</w:t>
      </w:r>
    </w:p>
    <w:p w:rsidR="009A3974" w:rsidRPr="008B0565" w:rsidRDefault="009A3974" w:rsidP="00DE5AA2">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E76871">
        <w:rPr>
          <w:b w:val="0"/>
          <w:bCs/>
          <w:sz w:val="24"/>
          <w:szCs w:val="18"/>
        </w:rPr>
        <w:t>satisfait aux exigences</w:t>
      </w:r>
    </w:p>
    <w:p w:rsidR="009A3974" w:rsidRPr="008B0565" w:rsidRDefault="009A3974" w:rsidP="00DE5AA2">
      <w:pPr>
        <w:keepNext/>
        <w:keepLines/>
        <w:spacing w:after="120"/>
      </w:pPr>
      <w:r w:rsidRPr="008B0565">
        <w:rPr>
          <w:rFonts w:asciiTheme="minorHAnsi" w:hAnsiTheme="minorHAnsi"/>
          <w:color w:val="000000" w:themeColor="text1"/>
          <w:szCs w:val="24"/>
        </w:rPr>
        <w:t>Pour satisfaire aux indicateurs de performance de l</w:t>
      </w:r>
      <w:r w:rsidR="00266092" w:rsidRPr="008B0565">
        <w:rPr>
          <w:rFonts w:asciiTheme="minorHAnsi" w:hAnsiTheme="minorHAnsi"/>
          <w:color w:val="000000" w:themeColor="text1"/>
          <w:szCs w:val="24"/>
        </w:rPr>
        <w:t>'</w:t>
      </w:r>
      <w:r w:rsidRPr="008B0565">
        <w:rPr>
          <w:rFonts w:asciiTheme="minorHAnsi" w:hAnsiTheme="minorHAnsi"/>
          <w:color w:val="000000" w:themeColor="text1"/>
          <w:szCs w:val="24"/>
        </w:rPr>
        <w:t>ONU-SWAP, l</w:t>
      </w:r>
      <w:r w:rsidR="00266092" w:rsidRPr="008B0565">
        <w:rPr>
          <w:rFonts w:asciiTheme="minorHAnsi" w:hAnsiTheme="minorHAnsi"/>
          <w:color w:val="000000" w:themeColor="text1"/>
          <w:szCs w:val="24"/>
        </w:rPr>
        <w:t>'</w:t>
      </w:r>
      <w:r w:rsidRPr="008B0565">
        <w:rPr>
          <w:rFonts w:asciiTheme="minorHAnsi" w:hAnsiTheme="minorHAnsi"/>
          <w:color w:val="000000" w:themeColor="text1"/>
          <w:szCs w:val="24"/>
        </w:rPr>
        <w:t>UIT devrait poursuivre l</w:t>
      </w:r>
      <w:r w:rsidR="00266092" w:rsidRPr="008B0565">
        <w:rPr>
          <w:rFonts w:asciiTheme="minorHAnsi" w:hAnsiTheme="minorHAnsi"/>
          <w:color w:val="000000" w:themeColor="text1"/>
          <w:szCs w:val="24"/>
        </w:rPr>
        <w:t>'</w:t>
      </w:r>
      <w:r w:rsidRPr="008B0565">
        <w:t>exercice consistant à estimer les ressources utilisées pour promouvoir l</w:t>
      </w:r>
      <w:r w:rsidR="00266092" w:rsidRPr="008B0565">
        <w:t>'</w:t>
      </w:r>
      <w:r w:rsidRPr="008B0565">
        <w:t>égalité des sexes et l</w:t>
      </w:r>
      <w:r w:rsidR="00266092" w:rsidRPr="008B0565">
        <w:t>'</w:t>
      </w:r>
      <w:r w:rsidRPr="008B0565">
        <w:t>autonomisation des femmes. L</w:t>
      </w:r>
      <w:r w:rsidR="00266092" w:rsidRPr="008B0565">
        <w:t>'</w:t>
      </w:r>
      <w:r w:rsidRPr="008B0565">
        <w:t>UIT a déjà introduit un indicateur de l</w:t>
      </w:r>
      <w:r w:rsidR="00266092" w:rsidRPr="008B0565">
        <w:t>'</w:t>
      </w:r>
      <w:r w:rsidRPr="008B0565">
        <w:t>égalité hommes/femmes dans le système ERP de l</w:t>
      </w:r>
      <w:r w:rsidR="00266092" w:rsidRPr="008B0565">
        <w:t>'</w:t>
      </w:r>
      <w:r w:rsidRPr="008B0565">
        <w:t>UIT en 2016 et continuera d</w:t>
      </w:r>
      <w:r w:rsidR="00266092" w:rsidRPr="008B0565">
        <w:t>'</w:t>
      </w:r>
      <w:r w:rsidRPr="008B0565">
        <w:t>améliorer ce système ainsi que les outils connexes pour l</w:t>
      </w:r>
      <w:r w:rsidR="00266092" w:rsidRPr="008B0565">
        <w:t>'</w:t>
      </w:r>
      <w:r w:rsidRPr="008B0565">
        <w:t>établissement de rapport.</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DE5AA2" w:rsidRPr="008B0565" w:rsidTr="008D2559">
        <w:tc>
          <w:tcPr>
            <w:tcW w:w="5245" w:type="dxa"/>
            <w:vAlign w:val="center"/>
          </w:tcPr>
          <w:p w:rsidR="00DE5AA2" w:rsidRPr="008B0565" w:rsidRDefault="00DE5AA2" w:rsidP="00292C85">
            <w:pPr>
              <w:spacing w:before="0"/>
              <w:rPr>
                <w:u w:val="single"/>
              </w:rPr>
            </w:pPr>
            <w:r w:rsidRPr="008B0565">
              <w:rPr>
                <w:u w:val="single"/>
              </w:rPr>
              <w:t>Produits</w:t>
            </w:r>
          </w:p>
        </w:tc>
        <w:tc>
          <w:tcPr>
            <w:tcW w:w="3255" w:type="dxa"/>
            <w:vAlign w:val="center"/>
          </w:tcPr>
          <w:p w:rsidR="00DE5AA2" w:rsidRPr="008B0565" w:rsidRDefault="00DE5AA2" w:rsidP="00292C85">
            <w:pPr>
              <w:spacing w:before="0"/>
              <w:rPr>
                <w:u w:val="single"/>
              </w:rPr>
            </w:pPr>
            <w:r w:rsidRPr="008B0565">
              <w:rPr>
                <w:u w:val="single"/>
              </w:rPr>
              <w:t>Entité responsable/concernée</w:t>
            </w:r>
          </w:p>
        </w:tc>
        <w:tc>
          <w:tcPr>
            <w:tcW w:w="1276" w:type="dxa"/>
            <w:vAlign w:val="center"/>
          </w:tcPr>
          <w:p w:rsidR="00DE5AA2" w:rsidRPr="008B0565" w:rsidRDefault="00DE5AA2" w:rsidP="00292C85">
            <w:pPr>
              <w:tabs>
                <w:tab w:val="clear" w:pos="2835"/>
                <w:tab w:val="left" w:pos="5812"/>
                <w:tab w:val="center" w:pos="7655"/>
                <w:tab w:val="right" w:pos="9639"/>
              </w:tabs>
              <w:spacing w:before="0"/>
              <w:rPr>
                <w:u w:val="single"/>
              </w:rPr>
            </w:pPr>
            <w:r w:rsidRPr="008B0565">
              <w:rPr>
                <w:u w:val="single"/>
              </w:rPr>
              <w:t>Délai</w:t>
            </w:r>
          </w:p>
        </w:tc>
      </w:tr>
      <w:tr w:rsidR="00DE5AA2" w:rsidRPr="008B0565" w:rsidTr="008D2559">
        <w:tc>
          <w:tcPr>
            <w:tcW w:w="5245" w:type="dxa"/>
          </w:tcPr>
          <w:p w:rsidR="00DE5AA2" w:rsidRPr="008B0565" w:rsidRDefault="00DE5AA2" w:rsidP="00292C85">
            <w:pPr>
              <w:tabs>
                <w:tab w:val="left" w:pos="426"/>
                <w:tab w:val="center" w:pos="7655"/>
                <w:tab w:val="right" w:pos="9639"/>
              </w:tabs>
              <w:spacing w:before="0"/>
              <w:ind w:left="426" w:hanging="426"/>
            </w:pPr>
            <w:r w:rsidRPr="008B0565">
              <w:t>9.1</w:t>
            </w:r>
            <w:r w:rsidRPr="008B0565">
              <w:tab/>
            </w:r>
            <w:r w:rsidRPr="008B0565">
              <w:rPr>
                <w:szCs w:val="24"/>
              </w:rPr>
              <w:t>Rendre compte sur l'indicateur de l'égalité hommes/femmes et sur les ressources allouées aux activités en faveur de l'égalité hommes/femmes</w:t>
            </w:r>
          </w:p>
        </w:tc>
        <w:tc>
          <w:tcPr>
            <w:tcW w:w="3255" w:type="dxa"/>
            <w:vAlign w:val="center"/>
          </w:tcPr>
          <w:p w:rsidR="00DE5AA2" w:rsidRPr="008B0565" w:rsidRDefault="00DE5AA2" w:rsidP="00AE03E7">
            <w:pPr>
              <w:spacing w:before="0"/>
              <w:jc w:val="center"/>
            </w:pPr>
            <w:r w:rsidRPr="008B0565">
              <w:rPr>
                <w:rFonts w:asciiTheme="minorHAnsi" w:hAnsiTheme="minorHAnsi"/>
                <w:color w:val="000000" w:themeColor="text1"/>
                <w:szCs w:val="24"/>
              </w:rPr>
              <w:t>FRMD</w:t>
            </w:r>
          </w:p>
        </w:tc>
        <w:tc>
          <w:tcPr>
            <w:tcW w:w="1276" w:type="dxa"/>
            <w:vAlign w:val="center"/>
          </w:tcPr>
          <w:p w:rsidR="00DE5AA2" w:rsidRPr="008B0565" w:rsidRDefault="00DE5AA2" w:rsidP="00292C85">
            <w:pPr>
              <w:spacing w:before="0"/>
            </w:pPr>
            <w:r w:rsidRPr="008B0565">
              <w:t>nov-déc</w:t>
            </w:r>
          </w:p>
        </w:tc>
      </w:tr>
    </w:tbl>
    <w:p w:rsidR="009A3974" w:rsidRPr="008B0565" w:rsidRDefault="00F25737" w:rsidP="00F25737">
      <w:pPr>
        <w:pStyle w:val="Heading1"/>
        <w:spacing w:before="240"/>
      </w:pPr>
      <w:r w:rsidRPr="008B0565">
        <w:t>10</w:t>
      </w:r>
      <w:r w:rsidRPr="008B0565">
        <w:tab/>
      </w:r>
      <w:r w:rsidR="009A3974" w:rsidRPr="008B0565">
        <w:t>Allocation de ressources</w:t>
      </w:r>
    </w:p>
    <w:p w:rsidR="009A3974" w:rsidRPr="008B0565" w:rsidRDefault="009A3974" w:rsidP="00F25737">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E76871">
        <w:rPr>
          <w:b w:val="0"/>
          <w:bCs/>
          <w:sz w:val="24"/>
          <w:szCs w:val="18"/>
        </w:rPr>
        <w:t>indicateur manquant</w:t>
      </w:r>
    </w:p>
    <w:p w:rsidR="009A3974" w:rsidRPr="008B0565" w:rsidRDefault="009A3974" w:rsidP="00F25737">
      <w:pPr>
        <w:spacing w:after="120"/>
      </w:pPr>
      <w:r w:rsidRPr="008B0565">
        <w:t>Pour satisfaire aux indicateurs de performance de l</w:t>
      </w:r>
      <w:r w:rsidR="00266092" w:rsidRPr="008B0565">
        <w:t>'</w:t>
      </w:r>
      <w:r w:rsidRPr="008B0565">
        <w:t>ONU-SWAP, l</w:t>
      </w:r>
      <w:r w:rsidR="00266092" w:rsidRPr="008B0565">
        <w:t>'</w:t>
      </w:r>
      <w:r w:rsidRPr="008B0565">
        <w:t>UIT</w:t>
      </w:r>
      <w:r w:rsidR="008B0565">
        <w:t xml:space="preserve"> devrait avoir fixé et atteint </w:t>
      </w:r>
      <w:r w:rsidRPr="008B0565">
        <w:t>un objectif financier en vue de s</w:t>
      </w:r>
      <w:r w:rsidR="00266092" w:rsidRPr="008B0565">
        <w:t>'</w:t>
      </w:r>
      <w:r w:rsidRPr="008B0565">
        <w:t>acquitter de son mandat dans le domaine de l</w:t>
      </w:r>
      <w:r w:rsidR="00266092" w:rsidRPr="008B0565">
        <w:t>'</w:t>
      </w:r>
      <w:r w:rsidRPr="008B0565">
        <w:t>égalité des sexes et de l</w:t>
      </w:r>
      <w:r w:rsidR="00266092" w:rsidRPr="008B0565">
        <w:t>'</w:t>
      </w:r>
      <w:r w:rsidRPr="008B0565">
        <w:t>autonomisation des femmes dans tous ses budgets, à savoir le budget du siège, le budget de base, les ressources budgétaires ordinaires et les ressources extrabudgétaires. Il convient de noter qu</w:t>
      </w:r>
      <w:r w:rsidR="00266092" w:rsidRPr="008B0565">
        <w:t>'</w:t>
      </w:r>
      <w:r w:rsidRPr="008B0565">
        <w:t>aucune ressource n</w:t>
      </w:r>
      <w:r w:rsidR="00266092" w:rsidRPr="008B0565">
        <w:t>'</w:t>
      </w:r>
      <w:r w:rsidRPr="008B0565">
        <w:t>a été allouée aux activités en faveur de l</w:t>
      </w:r>
      <w:r w:rsidR="00266092" w:rsidRPr="008B0565">
        <w:t>'</w:t>
      </w:r>
      <w:r w:rsidRPr="008B0565">
        <w:t>égalité hommes/femmes dans le projet de budget 2018-2019 et que l</w:t>
      </w:r>
      <w:r w:rsidR="00266092" w:rsidRPr="008B0565">
        <w:t>'</w:t>
      </w:r>
      <w:r w:rsidRPr="008B0565">
        <w:t>UIT devrait donc encourager les contributions volontaires. On pourrait considérer que le poste du budget correspondant aux activités en faveur de l</w:t>
      </w:r>
      <w:r w:rsidR="00266092" w:rsidRPr="008B0565">
        <w:t>'</w:t>
      </w:r>
      <w:r w:rsidRPr="008B0565">
        <w:t>égalité hommes/femmes est suffisamment approvisionné s</w:t>
      </w:r>
      <w:r w:rsidR="00266092" w:rsidRPr="008B0565">
        <w:t>'</w:t>
      </w:r>
      <w:r w:rsidRPr="008B0565">
        <w:t>il permet à l</w:t>
      </w:r>
      <w:r w:rsidR="00266092" w:rsidRPr="008B0565">
        <w:t>'</w:t>
      </w:r>
      <w:r w:rsidRPr="008B0565">
        <w:t>UIT de disposer de ressources humaines et financières suffisantes pour remplir son mandat en matière d</w:t>
      </w:r>
      <w:r w:rsidR="00266092" w:rsidRPr="008B0565">
        <w:t>'</w:t>
      </w:r>
      <w:r w:rsidRPr="008B0565">
        <w:t>égalité des sexes et d</w:t>
      </w:r>
      <w:r w:rsidR="00266092" w:rsidRPr="008B0565">
        <w:t>'</w:t>
      </w:r>
      <w:r w:rsidRPr="008B0565">
        <w:t>autonomisation des femmes, compte tenu des indicateurs de performance de l</w:t>
      </w:r>
      <w:r w:rsidR="00266092" w:rsidRPr="008B0565">
        <w:t>'</w:t>
      </w:r>
      <w:r w:rsidRPr="008B0565">
        <w:t>ONU-SWAP. Les ressource</w:t>
      </w:r>
      <w:r w:rsidR="008B0565">
        <w:t>s allouées devraient couvrir la</w:t>
      </w:r>
      <w:r w:rsidRPr="008B0565">
        <w:t xml:space="preserve"> coordination, le développement des capacités, l</w:t>
      </w:r>
      <w:r w:rsidR="00266092" w:rsidRPr="008B0565">
        <w:t>'</w:t>
      </w:r>
      <w:r w:rsidRPr="008B0565">
        <w:t>assurance de la qualité, et la mise en rapport d</w:t>
      </w:r>
      <w:r w:rsidR="00266092" w:rsidRPr="008B0565">
        <w:t>'</w:t>
      </w:r>
      <w:r w:rsidRPr="008B0565">
        <w:t xml:space="preserve">institutions pour former des réseaux.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F25737" w:rsidRPr="008B0565" w:rsidTr="008D2559">
        <w:tc>
          <w:tcPr>
            <w:tcW w:w="5245" w:type="dxa"/>
            <w:vAlign w:val="center"/>
          </w:tcPr>
          <w:p w:rsidR="00F25737" w:rsidRPr="008B0565" w:rsidRDefault="00F25737" w:rsidP="00292C85">
            <w:pPr>
              <w:spacing w:before="0"/>
              <w:rPr>
                <w:u w:val="single"/>
              </w:rPr>
            </w:pPr>
            <w:r w:rsidRPr="008B0565">
              <w:rPr>
                <w:u w:val="single"/>
              </w:rPr>
              <w:t>Produits</w:t>
            </w:r>
          </w:p>
        </w:tc>
        <w:tc>
          <w:tcPr>
            <w:tcW w:w="3255" w:type="dxa"/>
            <w:vAlign w:val="center"/>
          </w:tcPr>
          <w:p w:rsidR="00F25737" w:rsidRPr="008B0565" w:rsidRDefault="00F25737" w:rsidP="00292C85">
            <w:pPr>
              <w:spacing w:before="0"/>
              <w:rPr>
                <w:u w:val="single"/>
              </w:rPr>
            </w:pPr>
            <w:r w:rsidRPr="008B0565">
              <w:rPr>
                <w:u w:val="single"/>
              </w:rPr>
              <w:t>Entité responsable/concernée</w:t>
            </w:r>
          </w:p>
        </w:tc>
        <w:tc>
          <w:tcPr>
            <w:tcW w:w="1276" w:type="dxa"/>
            <w:vAlign w:val="center"/>
          </w:tcPr>
          <w:p w:rsidR="00F25737" w:rsidRPr="008B0565" w:rsidRDefault="00F25737" w:rsidP="00292C85">
            <w:pPr>
              <w:tabs>
                <w:tab w:val="clear" w:pos="2835"/>
                <w:tab w:val="left" w:pos="5812"/>
                <w:tab w:val="center" w:pos="7655"/>
                <w:tab w:val="right" w:pos="9639"/>
              </w:tabs>
              <w:spacing w:before="0"/>
              <w:rPr>
                <w:u w:val="single"/>
              </w:rPr>
            </w:pPr>
            <w:r w:rsidRPr="008B0565">
              <w:rPr>
                <w:u w:val="single"/>
              </w:rPr>
              <w:t>Délai</w:t>
            </w:r>
          </w:p>
        </w:tc>
      </w:tr>
      <w:tr w:rsidR="00F25737" w:rsidRPr="008B0565" w:rsidTr="008D2559">
        <w:tc>
          <w:tcPr>
            <w:tcW w:w="5245" w:type="dxa"/>
          </w:tcPr>
          <w:p w:rsidR="00F25737" w:rsidRPr="008B0565" w:rsidRDefault="00F25737" w:rsidP="00292C85">
            <w:pPr>
              <w:tabs>
                <w:tab w:val="left" w:pos="426"/>
                <w:tab w:val="center" w:pos="7655"/>
                <w:tab w:val="right" w:pos="9639"/>
              </w:tabs>
              <w:spacing w:before="0"/>
              <w:ind w:left="567" w:hanging="567"/>
            </w:pPr>
            <w:r w:rsidRPr="008B0565">
              <w:t>10.1</w:t>
            </w:r>
            <w:r w:rsidRPr="008B0565">
              <w:tab/>
            </w:r>
            <w:r w:rsidRPr="008B0565">
              <w:tab/>
            </w:r>
            <w:r w:rsidRPr="008B0565">
              <w:rPr>
                <w:rFonts w:asciiTheme="minorHAnsi" w:hAnsiTheme="minorHAnsi"/>
                <w:color w:val="000000" w:themeColor="text1"/>
                <w:szCs w:val="24"/>
              </w:rPr>
              <w:t>Fixer un objectif de référence pour financer la politique GEM</w:t>
            </w:r>
          </w:p>
        </w:tc>
        <w:tc>
          <w:tcPr>
            <w:tcW w:w="3255" w:type="dxa"/>
            <w:vAlign w:val="center"/>
          </w:tcPr>
          <w:p w:rsidR="00F25737" w:rsidRPr="008B0565" w:rsidRDefault="00F25737" w:rsidP="00AE03E7">
            <w:pPr>
              <w:spacing w:before="0"/>
              <w:jc w:val="center"/>
            </w:pPr>
            <w:r w:rsidRPr="008B0565">
              <w:rPr>
                <w:rFonts w:asciiTheme="minorHAnsi" w:hAnsiTheme="minorHAnsi"/>
                <w:color w:val="000000" w:themeColor="text1"/>
                <w:szCs w:val="24"/>
              </w:rPr>
              <w:t>FRMD/GTF</w:t>
            </w:r>
          </w:p>
        </w:tc>
        <w:tc>
          <w:tcPr>
            <w:tcW w:w="1276" w:type="dxa"/>
            <w:vAlign w:val="center"/>
          </w:tcPr>
          <w:p w:rsidR="00F25737" w:rsidRPr="008B0565" w:rsidRDefault="00F25737" w:rsidP="00292C85">
            <w:pPr>
              <w:spacing w:before="0"/>
            </w:pPr>
            <w:r w:rsidRPr="008B0565">
              <w:rPr>
                <w:rFonts w:asciiTheme="minorHAnsi" w:hAnsiTheme="minorHAnsi"/>
                <w:color w:val="000000" w:themeColor="text1"/>
                <w:szCs w:val="24"/>
              </w:rPr>
              <w:t>mai-juin</w:t>
            </w:r>
          </w:p>
        </w:tc>
      </w:tr>
      <w:tr w:rsidR="00F25737" w:rsidRPr="008B0565" w:rsidTr="008D2559">
        <w:tc>
          <w:tcPr>
            <w:tcW w:w="5245" w:type="dxa"/>
          </w:tcPr>
          <w:p w:rsidR="00F25737" w:rsidRPr="008B0565" w:rsidRDefault="00F25737" w:rsidP="00292C85">
            <w:pPr>
              <w:tabs>
                <w:tab w:val="left" w:pos="426"/>
                <w:tab w:val="center" w:pos="7655"/>
                <w:tab w:val="right" w:pos="9639"/>
              </w:tabs>
              <w:spacing w:before="0"/>
              <w:ind w:left="567" w:hanging="567"/>
            </w:pPr>
            <w:r w:rsidRPr="008B0565">
              <w:t>10.2</w:t>
            </w:r>
            <w:r w:rsidRPr="008B0565">
              <w:tab/>
            </w:r>
            <w:r w:rsidRPr="008B0565">
              <w:tab/>
            </w:r>
            <w:r w:rsidRPr="008B0565">
              <w:rPr>
                <w:rFonts w:asciiTheme="minorHAnsi" w:hAnsiTheme="minorHAnsi"/>
                <w:color w:val="000000" w:themeColor="text1"/>
                <w:szCs w:val="24"/>
              </w:rPr>
              <w:t>Demander/obtenir des ressources financières pour la</w:t>
            </w:r>
            <w:r w:rsidR="00AB089B" w:rsidRPr="008B0565">
              <w:rPr>
                <w:rFonts w:asciiTheme="minorHAnsi" w:hAnsiTheme="minorHAnsi"/>
                <w:color w:val="000000" w:themeColor="text1"/>
                <w:szCs w:val="24"/>
              </w:rPr>
              <w:t xml:space="preserve"> </w:t>
            </w:r>
            <w:r w:rsidRPr="008B0565">
              <w:rPr>
                <w:rFonts w:asciiTheme="minorHAnsi" w:hAnsiTheme="minorHAnsi"/>
                <w:color w:val="000000" w:themeColor="text1"/>
                <w:szCs w:val="24"/>
              </w:rPr>
              <w:t>mise en oeuvre de la politique GEM</w:t>
            </w:r>
          </w:p>
        </w:tc>
        <w:tc>
          <w:tcPr>
            <w:tcW w:w="3255" w:type="dxa"/>
            <w:vAlign w:val="center"/>
          </w:tcPr>
          <w:p w:rsidR="00F25737" w:rsidRPr="008B0565" w:rsidRDefault="00F25737"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GTF/SGO</w:t>
            </w:r>
          </w:p>
        </w:tc>
        <w:tc>
          <w:tcPr>
            <w:tcW w:w="1276" w:type="dxa"/>
            <w:vAlign w:val="center"/>
          </w:tcPr>
          <w:p w:rsidR="00F25737" w:rsidRPr="008B0565" w:rsidRDefault="00F25737" w:rsidP="00292C85">
            <w:pPr>
              <w:spacing w:before="0"/>
            </w:pPr>
            <w:r w:rsidRPr="008B0565">
              <w:rPr>
                <w:rFonts w:asciiTheme="minorHAnsi" w:hAnsiTheme="minorHAnsi"/>
                <w:color w:val="000000" w:themeColor="text1"/>
                <w:szCs w:val="24"/>
              </w:rPr>
              <w:t>juin-août</w:t>
            </w:r>
          </w:p>
        </w:tc>
      </w:tr>
    </w:tbl>
    <w:p w:rsidR="009A3974" w:rsidRPr="008B0565" w:rsidRDefault="00845444" w:rsidP="00845444">
      <w:pPr>
        <w:pStyle w:val="Heading1"/>
        <w:spacing w:before="240"/>
      </w:pPr>
      <w:r w:rsidRPr="008B0565">
        <w:t>11</w:t>
      </w:r>
      <w:r w:rsidRPr="008B0565">
        <w:tab/>
      </w:r>
      <w:r w:rsidR="009A3974" w:rsidRPr="008B0565">
        <w:t>Dispositif relatif à l</w:t>
      </w:r>
      <w:r w:rsidR="00266092" w:rsidRPr="008B0565">
        <w:t>'</w:t>
      </w:r>
      <w:r w:rsidR="009A3974" w:rsidRPr="008B0565">
        <w:t>égalité et parité</w:t>
      </w:r>
    </w:p>
    <w:p w:rsidR="009A3974" w:rsidRPr="008B0565" w:rsidRDefault="009A3974" w:rsidP="00845444">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E76871">
        <w:rPr>
          <w:b w:val="0"/>
          <w:bCs/>
          <w:sz w:val="24"/>
          <w:szCs w:val="18"/>
        </w:rPr>
        <w:t>proche du niveau exigé</w:t>
      </w:r>
    </w:p>
    <w:p w:rsidR="009A3974" w:rsidRPr="008B0565" w:rsidRDefault="009A3974" w:rsidP="00AB089B">
      <w:pPr>
        <w:spacing w:after="120"/>
      </w:pPr>
      <w:r w:rsidRPr="008B0565">
        <w:t>Pour satisfaire aux indicateurs de performance de l</w:t>
      </w:r>
      <w:r w:rsidR="00266092" w:rsidRPr="008B0565">
        <w:t>'</w:t>
      </w:r>
      <w:r w:rsidRPr="008B0565">
        <w:t>ONU-SWAP, l</w:t>
      </w:r>
      <w:r w:rsidR="00266092" w:rsidRPr="008B0565">
        <w:t>'</w:t>
      </w:r>
      <w:r w:rsidRPr="008B0565">
        <w:t>UIT devrait: 1) désigner des responsables des questions de genre de grade P4 exerçant leurs fonctions dans le cadre d</w:t>
      </w:r>
      <w:r w:rsidR="00266092" w:rsidRPr="008B0565">
        <w:t>'</w:t>
      </w:r>
      <w:r w:rsidRPr="008B0565">
        <w:t>un mandat é</w:t>
      </w:r>
      <w:r w:rsidR="00845444" w:rsidRPr="008B0565">
        <w:t>crit et consacrant au moins 20</w:t>
      </w:r>
      <w:r w:rsidRPr="008B0565">
        <w:t>% de leur temps à des activités en lien avec ce mandat; 2) garantir la parité entre les sexes au sein du personnel; et 3) créer une unité chargée des questions de genre disposant de ressources suffisantes. On pourrait considérer que le poste du budget correspondant aux activités en faveur de l</w:t>
      </w:r>
      <w:r w:rsidR="00266092" w:rsidRPr="008B0565">
        <w:t>'</w:t>
      </w:r>
      <w:r w:rsidRPr="008B0565">
        <w:t>égalité hommes/femmes est suffisamment approvisionné s</w:t>
      </w:r>
      <w:r w:rsidR="00266092" w:rsidRPr="008B0565">
        <w:t>'</w:t>
      </w:r>
      <w:r w:rsidRPr="008B0565">
        <w:t>il permet à l</w:t>
      </w:r>
      <w:r w:rsidR="00266092" w:rsidRPr="008B0565">
        <w:t>'</w:t>
      </w:r>
      <w:r w:rsidRPr="008B0565">
        <w:t>UIT de disposer de ressources humaines et financières suffisantes pour remplir son mandat en matière d</w:t>
      </w:r>
      <w:r w:rsidR="00266092" w:rsidRPr="008B0565">
        <w:t>'</w:t>
      </w:r>
      <w:r w:rsidRPr="008B0565">
        <w:t>égalité des sexes et d</w:t>
      </w:r>
      <w:r w:rsidR="00266092" w:rsidRPr="008B0565">
        <w:t>'</w:t>
      </w:r>
      <w:r w:rsidRPr="008B0565">
        <w:t>autonomisation des femmes, compte tenu des indicateurs de performance de l</w:t>
      </w:r>
      <w:r w:rsidR="00266092" w:rsidRPr="008B0565">
        <w:t>'</w:t>
      </w:r>
      <w:r w:rsidRPr="008B0565">
        <w:t xml:space="preserve">ONU-SWAP. Les ressources allouées devraient couvrir la </w:t>
      </w:r>
      <w:r w:rsidRPr="008B0565">
        <w:lastRenderedPageBreak/>
        <w:t>coordination, le développement des capacités, l</w:t>
      </w:r>
      <w:r w:rsidR="00266092" w:rsidRPr="008B0565">
        <w:t>'</w:t>
      </w:r>
      <w:r w:rsidRPr="008B0565">
        <w:t>assurance de la qualité, et la mise en rapport d</w:t>
      </w:r>
      <w:r w:rsidR="00266092" w:rsidRPr="008B0565">
        <w:t>'</w:t>
      </w:r>
      <w:r w:rsidRPr="008B0565">
        <w:t xml:space="preserve">institutions pour former des réseaux.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AB089B" w:rsidRPr="008B0565" w:rsidTr="008D2559">
        <w:tc>
          <w:tcPr>
            <w:tcW w:w="5245" w:type="dxa"/>
            <w:vAlign w:val="center"/>
          </w:tcPr>
          <w:p w:rsidR="00AB089B" w:rsidRPr="008B0565" w:rsidRDefault="00AB089B" w:rsidP="00292C85">
            <w:pPr>
              <w:spacing w:before="0"/>
              <w:rPr>
                <w:u w:val="single"/>
              </w:rPr>
            </w:pPr>
            <w:r w:rsidRPr="008B0565">
              <w:rPr>
                <w:u w:val="single"/>
              </w:rPr>
              <w:t>Produits</w:t>
            </w:r>
          </w:p>
        </w:tc>
        <w:tc>
          <w:tcPr>
            <w:tcW w:w="3255" w:type="dxa"/>
            <w:vAlign w:val="center"/>
          </w:tcPr>
          <w:p w:rsidR="00AB089B" w:rsidRPr="008B0565" w:rsidRDefault="00AB089B" w:rsidP="00292C85">
            <w:pPr>
              <w:spacing w:before="0"/>
              <w:rPr>
                <w:u w:val="single"/>
              </w:rPr>
            </w:pPr>
            <w:r w:rsidRPr="008B0565">
              <w:rPr>
                <w:u w:val="single"/>
              </w:rPr>
              <w:t>Entité responsable/concernée</w:t>
            </w:r>
          </w:p>
        </w:tc>
        <w:tc>
          <w:tcPr>
            <w:tcW w:w="1276" w:type="dxa"/>
            <w:vAlign w:val="center"/>
          </w:tcPr>
          <w:p w:rsidR="00AB089B" w:rsidRPr="008B0565" w:rsidRDefault="00AB089B" w:rsidP="00292C85">
            <w:pPr>
              <w:tabs>
                <w:tab w:val="clear" w:pos="2835"/>
                <w:tab w:val="left" w:pos="5812"/>
                <w:tab w:val="center" w:pos="7655"/>
                <w:tab w:val="right" w:pos="9639"/>
              </w:tabs>
              <w:spacing w:before="0"/>
              <w:rPr>
                <w:u w:val="single"/>
              </w:rPr>
            </w:pPr>
            <w:r w:rsidRPr="008B0565">
              <w:rPr>
                <w:u w:val="single"/>
              </w:rPr>
              <w:t>Délai</w:t>
            </w:r>
          </w:p>
        </w:tc>
      </w:tr>
      <w:tr w:rsidR="00AB089B" w:rsidRPr="008B0565" w:rsidTr="008D2559">
        <w:tc>
          <w:tcPr>
            <w:tcW w:w="5245" w:type="dxa"/>
          </w:tcPr>
          <w:p w:rsidR="00AB089B" w:rsidRPr="008B0565" w:rsidRDefault="00AB089B" w:rsidP="00292C85">
            <w:pPr>
              <w:tabs>
                <w:tab w:val="left" w:pos="426"/>
                <w:tab w:val="center" w:pos="7655"/>
                <w:tab w:val="right" w:pos="9639"/>
              </w:tabs>
              <w:spacing w:before="0"/>
              <w:ind w:left="567" w:hanging="567"/>
            </w:pPr>
            <w:r w:rsidRPr="008B0565">
              <w:t>11.1</w:t>
            </w:r>
            <w:r w:rsidRPr="008B0565">
              <w:tab/>
            </w:r>
            <w:r w:rsidRPr="008B0565">
              <w:tab/>
            </w:r>
            <w:r w:rsidRPr="008B0565">
              <w:rPr>
                <w:rFonts w:asciiTheme="minorHAnsi" w:hAnsiTheme="minorHAnsi"/>
                <w:color w:val="000000" w:themeColor="text1"/>
                <w:szCs w:val="24"/>
              </w:rPr>
              <w:t>Actualiser le mandat/les visées du GTF, c'est-à-dire mettre en place d'une codirection (hommes et femmes)</w:t>
            </w:r>
          </w:p>
        </w:tc>
        <w:tc>
          <w:tcPr>
            <w:tcW w:w="3255" w:type="dxa"/>
            <w:vAlign w:val="center"/>
          </w:tcPr>
          <w:p w:rsidR="00AB089B" w:rsidRPr="008B0565" w:rsidRDefault="00AB089B" w:rsidP="00AE03E7">
            <w:pPr>
              <w:spacing w:before="0"/>
              <w:jc w:val="center"/>
            </w:pPr>
            <w:r w:rsidRPr="008B0565">
              <w:rPr>
                <w:rFonts w:asciiTheme="minorHAnsi" w:hAnsiTheme="minorHAnsi"/>
                <w:color w:val="000000" w:themeColor="text1"/>
                <w:szCs w:val="24"/>
              </w:rPr>
              <w:t>GTF</w:t>
            </w:r>
          </w:p>
        </w:tc>
        <w:tc>
          <w:tcPr>
            <w:tcW w:w="1276" w:type="dxa"/>
            <w:vAlign w:val="center"/>
          </w:tcPr>
          <w:p w:rsidR="00AB089B" w:rsidRPr="008B0565" w:rsidRDefault="00AB089B" w:rsidP="00292C85">
            <w:pPr>
              <w:spacing w:before="0"/>
            </w:pPr>
            <w:r w:rsidRPr="008B0565">
              <w:rPr>
                <w:rFonts w:asciiTheme="minorHAnsi" w:hAnsiTheme="minorHAnsi"/>
                <w:color w:val="000000" w:themeColor="text1"/>
                <w:szCs w:val="24"/>
              </w:rPr>
              <w:t>sept-oct</w:t>
            </w:r>
          </w:p>
        </w:tc>
      </w:tr>
      <w:tr w:rsidR="00AB089B" w:rsidRPr="008B0565" w:rsidTr="008D2559">
        <w:tc>
          <w:tcPr>
            <w:tcW w:w="5245" w:type="dxa"/>
          </w:tcPr>
          <w:p w:rsidR="00AB089B" w:rsidRPr="008B0565" w:rsidRDefault="00AB089B" w:rsidP="00292C85">
            <w:pPr>
              <w:tabs>
                <w:tab w:val="left" w:pos="426"/>
                <w:tab w:val="center" w:pos="7655"/>
                <w:tab w:val="right" w:pos="9639"/>
              </w:tabs>
              <w:spacing w:before="0"/>
              <w:ind w:left="567" w:hanging="567"/>
            </w:pPr>
            <w:r w:rsidRPr="008B0565">
              <w:t>11.2</w:t>
            </w:r>
            <w:r w:rsidRPr="008B0565">
              <w:tab/>
            </w:r>
            <w:r w:rsidRPr="008B0565">
              <w:tab/>
            </w:r>
            <w:r w:rsidRPr="008B0565">
              <w:rPr>
                <w:rFonts w:asciiTheme="minorHAnsi" w:hAnsiTheme="minorHAnsi"/>
                <w:color w:val="000000" w:themeColor="text1"/>
                <w:szCs w:val="24"/>
              </w:rPr>
              <w:t>Formaliser le mandat des responsable des questions de genres (dans les lignes directrices de la PPA)</w:t>
            </w:r>
          </w:p>
        </w:tc>
        <w:tc>
          <w:tcPr>
            <w:tcW w:w="3255" w:type="dxa"/>
            <w:vAlign w:val="center"/>
          </w:tcPr>
          <w:p w:rsidR="00AB089B" w:rsidRPr="008B0565" w:rsidRDefault="00AB089B"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GTF</w:t>
            </w:r>
          </w:p>
        </w:tc>
        <w:tc>
          <w:tcPr>
            <w:tcW w:w="1276" w:type="dxa"/>
            <w:vAlign w:val="center"/>
          </w:tcPr>
          <w:p w:rsidR="00AB089B" w:rsidRPr="008B0565" w:rsidRDefault="00AB089B" w:rsidP="00292C85">
            <w:pPr>
              <w:spacing w:before="0"/>
            </w:pPr>
            <w:r w:rsidRPr="008B0565">
              <w:rPr>
                <w:rFonts w:asciiTheme="minorHAnsi" w:hAnsiTheme="minorHAnsi"/>
                <w:color w:val="000000" w:themeColor="text1"/>
                <w:szCs w:val="24"/>
              </w:rPr>
              <w:t>avr-nov</w:t>
            </w:r>
          </w:p>
        </w:tc>
      </w:tr>
      <w:tr w:rsidR="00AB089B" w:rsidRPr="008B0565" w:rsidTr="008D2559">
        <w:tc>
          <w:tcPr>
            <w:tcW w:w="5245" w:type="dxa"/>
          </w:tcPr>
          <w:p w:rsidR="00AB089B" w:rsidRPr="008B0565" w:rsidRDefault="00AB089B" w:rsidP="00292C85">
            <w:pPr>
              <w:tabs>
                <w:tab w:val="left" w:pos="426"/>
                <w:tab w:val="center" w:pos="7655"/>
                <w:tab w:val="right" w:pos="9639"/>
              </w:tabs>
              <w:spacing w:before="0"/>
              <w:ind w:left="567" w:hanging="567"/>
            </w:pPr>
            <w:r w:rsidRPr="008B0565">
              <w:t>11.3</w:t>
            </w:r>
            <w:r w:rsidRPr="008B0565">
              <w:tab/>
            </w:r>
            <w:r w:rsidRPr="008B0565">
              <w:tab/>
            </w:r>
            <w:r w:rsidRPr="008B0565">
              <w:rPr>
                <w:rFonts w:asciiTheme="minorHAnsi" w:hAnsiTheme="minorHAnsi"/>
                <w:color w:val="000000" w:themeColor="text1"/>
                <w:szCs w:val="24"/>
              </w:rPr>
              <w:t>Veiller à la parité dans les commissions statutaires</w:t>
            </w:r>
          </w:p>
        </w:tc>
        <w:tc>
          <w:tcPr>
            <w:tcW w:w="3255" w:type="dxa"/>
            <w:vAlign w:val="center"/>
          </w:tcPr>
          <w:p w:rsidR="00AB089B" w:rsidRPr="008B0565" w:rsidRDefault="00AB089B"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w:t>
            </w:r>
          </w:p>
        </w:tc>
        <w:tc>
          <w:tcPr>
            <w:tcW w:w="1276" w:type="dxa"/>
            <w:vAlign w:val="center"/>
          </w:tcPr>
          <w:p w:rsidR="00AB089B" w:rsidRPr="008B0565" w:rsidRDefault="00AB089B" w:rsidP="00292C85">
            <w:pPr>
              <w:spacing w:before="0"/>
              <w:rPr>
                <w:rFonts w:asciiTheme="minorHAnsi" w:hAnsiTheme="minorHAnsi"/>
                <w:color w:val="000000" w:themeColor="text1"/>
                <w:szCs w:val="24"/>
              </w:rPr>
            </w:pPr>
            <w:r w:rsidRPr="008B0565">
              <w:rPr>
                <w:rFonts w:asciiTheme="minorHAnsi" w:hAnsiTheme="minorHAnsi"/>
                <w:color w:val="000000" w:themeColor="text1"/>
                <w:szCs w:val="24"/>
              </w:rPr>
              <w:t>nov-déc</w:t>
            </w:r>
          </w:p>
        </w:tc>
      </w:tr>
    </w:tbl>
    <w:p w:rsidR="009A3974" w:rsidRPr="008B0565" w:rsidRDefault="00292C85" w:rsidP="00292C85">
      <w:pPr>
        <w:pStyle w:val="Heading1"/>
        <w:spacing w:before="240"/>
      </w:pPr>
      <w:r w:rsidRPr="008B0565">
        <w:t>12</w:t>
      </w:r>
      <w:r w:rsidRPr="008B0565">
        <w:tab/>
      </w:r>
      <w:r w:rsidR="009A3974" w:rsidRPr="008B0565">
        <w:t>Représentation égale des femmes et des hommes</w:t>
      </w:r>
      <w:r w:rsidR="009A3974" w:rsidRPr="008B0565">
        <w:tab/>
      </w:r>
    </w:p>
    <w:p w:rsidR="009A3974" w:rsidRPr="008B0565" w:rsidRDefault="009A3974" w:rsidP="00292C85">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E76871">
        <w:rPr>
          <w:b w:val="0"/>
          <w:bCs/>
          <w:sz w:val="24"/>
          <w:szCs w:val="18"/>
        </w:rPr>
        <w:t>sans objet; nouvel indicateur pour 2017</w:t>
      </w:r>
    </w:p>
    <w:p w:rsidR="009A3974" w:rsidRPr="008B0565" w:rsidRDefault="009A3974" w:rsidP="00292C85">
      <w:pPr>
        <w:spacing w:after="120"/>
      </w:pPr>
      <w:r w:rsidRPr="008B0565">
        <w:t>Pour satisfaire aux indicateurs de performance de l</w:t>
      </w:r>
      <w:r w:rsidR="00266092" w:rsidRPr="008B0565">
        <w:t>'</w:t>
      </w:r>
      <w:r w:rsidRPr="008B0565">
        <w:t>ONU-SWAP, l</w:t>
      </w:r>
      <w:r w:rsidR="00266092" w:rsidRPr="008B0565">
        <w:t>'</w:t>
      </w:r>
      <w:r w:rsidRPr="008B0565">
        <w:t>UIT devrait s</w:t>
      </w:r>
      <w:r w:rsidR="00266092" w:rsidRPr="008B0565">
        <w:t>'</w:t>
      </w:r>
      <w:r w:rsidRPr="008B0565">
        <w:t>efforcer d</w:t>
      </w:r>
      <w:r w:rsidR="00266092" w:rsidRPr="008B0565">
        <w:t>'</w:t>
      </w:r>
      <w:r w:rsidRPr="008B0565">
        <w:t>atteindre la représentation égale des femmes et des hommes à tous les niveaux.</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292C85" w:rsidRPr="008B0565" w:rsidTr="008D2559">
        <w:tc>
          <w:tcPr>
            <w:tcW w:w="5245" w:type="dxa"/>
            <w:vAlign w:val="center"/>
          </w:tcPr>
          <w:p w:rsidR="00292C85" w:rsidRPr="008B0565" w:rsidRDefault="00292C85" w:rsidP="008D2559">
            <w:pPr>
              <w:spacing w:before="0"/>
              <w:rPr>
                <w:u w:val="single"/>
              </w:rPr>
            </w:pPr>
            <w:r w:rsidRPr="008B0565">
              <w:rPr>
                <w:u w:val="single"/>
              </w:rPr>
              <w:t>Produits</w:t>
            </w:r>
          </w:p>
        </w:tc>
        <w:tc>
          <w:tcPr>
            <w:tcW w:w="3255" w:type="dxa"/>
            <w:vAlign w:val="center"/>
          </w:tcPr>
          <w:p w:rsidR="00292C85" w:rsidRPr="008B0565" w:rsidRDefault="00292C85" w:rsidP="008D2559">
            <w:pPr>
              <w:spacing w:before="0"/>
              <w:rPr>
                <w:u w:val="single"/>
              </w:rPr>
            </w:pPr>
            <w:r w:rsidRPr="008B0565">
              <w:rPr>
                <w:u w:val="single"/>
              </w:rPr>
              <w:t>Entité responsable/concernée</w:t>
            </w:r>
          </w:p>
        </w:tc>
        <w:tc>
          <w:tcPr>
            <w:tcW w:w="1276" w:type="dxa"/>
            <w:vAlign w:val="center"/>
          </w:tcPr>
          <w:p w:rsidR="00292C85" w:rsidRPr="008B0565" w:rsidRDefault="00292C85" w:rsidP="008D2559">
            <w:pPr>
              <w:tabs>
                <w:tab w:val="clear" w:pos="2835"/>
                <w:tab w:val="left" w:pos="5812"/>
                <w:tab w:val="center" w:pos="7655"/>
                <w:tab w:val="right" w:pos="9639"/>
              </w:tabs>
              <w:spacing w:before="0"/>
              <w:rPr>
                <w:u w:val="single"/>
              </w:rPr>
            </w:pPr>
            <w:r w:rsidRPr="008B0565">
              <w:rPr>
                <w:u w:val="single"/>
              </w:rPr>
              <w:t>Délai</w:t>
            </w:r>
          </w:p>
        </w:tc>
      </w:tr>
      <w:tr w:rsidR="00292C85" w:rsidRPr="008B0565" w:rsidTr="008D2559">
        <w:tc>
          <w:tcPr>
            <w:tcW w:w="5245" w:type="dxa"/>
          </w:tcPr>
          <w:p w:rsidR="00292C85" w:rsidRPr="008B0565" w:rsidRDefault="00292C85" w:rsidP="00F74DF3">
            <w:pPr>
              <w:tabs>
                <w:tab w:val="left" w:pos="426"/>
                <w:tab w:val="center" w:pos="7655"/>
                <w:tab w:val="right" w:pos="9639"/>
              </w:tabs>
              <w:spacing w:before="0"/>
              <w:ind w:left="567" w:hanging="567"/>
            </w:pPr>
            <w:r w:rsidRPr="008B0565">
              <w:t>12.1</w:t>
            </w:r>
            <w:r w:rsidRPr="008B0565">
              <w:tab/>
            </w:r>
            <w:r w:rsidRPr="008B0565">
              <w:tab/>
            </w:r>
            <w:r w:rsidRPr="008B0565">
              <w:rPr>
                <w:rFonts w:asciiTheme="minorHAnsi" w:hAnsiTheme="minorHAnsi"/>
                <w:color w:val="000000" w:themeColor="text1"/>
                <w:szCs w:val="24"/>
              </w:rPr>
              <w:t>Faire rapport au Conseil (Rés. 48) sur les efforts faits en vue d'atteindre la parité</w:t>
            </w:r>
          </w:p>
        </w:tc>
        <w:tc>
          <w:tcPr>
            <w:tcW w:w="3255" w:type="dxa"/>
            <w:vAlign w:val="center"/>
          </w:tcPr>
          <w:p w:rsidR="00292C85" w:rsidRPr="008B0565" w:rsidRDefault="0018286F" w:rsidP="00AE03E7">
            <w:pPr>
              <w:spacing w:before="0"/>
              <w:jc w:val="center"/>
            </w:pPr>
            <w:r w:rsidRPr="008B0565">
              <w:rPr>
                <w:rFonts w:asciiTheme="minorHAnsi" w:hAnsiTheme="minorHAnsi"/>
                <w:color w:val="000000" w:themeColor="text1"/>
                <w:szCs w:val="24"/>
              </w:rPr>
              <w:t>HRMD</w:t>
            </w:r>
          </w:p>
        </w:tc>
        <w:tc>
          <w:tcPr>
            <w:tcW w:w="1276" w:type="dxa"/>
            <w:vAlign w:val="center"/>
          </w:tcPr>
          <w:p w:rsidR="00292C85" w:rsidRPr="008B0565" w:rsidRDefault="0018286F" w:rsidP="00292C85">
            <w:pPr>
              <w:spacing w:before="0"/>
            </w:pPr>
            <w:r w:rsidRPr="008B0565">
              <w:rPr>
                <w:rFonts w:asciiTheme="minorHAnsi" w:hAnsiTheme="minorHAnsi"/>
                <w:color w:val="000000" w:themeColor="text1"/>
                <w:szCs w:val="24"/>
              </w:rPr>
              <w:t>mai</w:t>
            </w:r>
          </w:p>
        </w:tc>
      </w:tr>
    </w:tbl>
    <w:p w:rsidR="009A3974" w:rsidRPr="008B0565" w:rsidRDefault="00C10B5C" w:rsidP="00C10B5C">
      <w:pPr>
        <w:pStyle w:val="Heading1"/>
        <w:spacing w:before="240"/>
      </w:pPr>
      <w:r w:rsidRPr="008B0565">
        <w:t>13</w:t>
      </w:r>
      <w:r w:rsidRPr="008B0565">
        <w:tab/>
        <w:t>Culture organisationnelle</w:t>
      </w:r>
    </w:p>
    <w:p w:rsidR="009A3974" w:rsidRPr="008B0565" w:rsidRDefault="009A3974" w:rsidP="00616460">
      <w:pPr>
        <w:pStyle w:val="Heading1"/>
        <w:pBdr>
          <w:bottom w:val="single" w:sz="4" w:space="1" w:color="auto"/>
        </w:pBdr>
        <w:spacing w:before="0"/>
        <w:rPr>
          <w:sz w:val="24"/>
          <w:szCs w:val="18"/>
        </w:rPr>
      </w:pPr>
      <w:r w:rsidRPr="008B0565">
        <w:rPr>
          <w:sz w:val="24"/>
          <w:szCs w:val="18"/>
        </w:rPr>
        <w:t>Situation en 2016 au regard de l</w:t>
      </w:r>
      <w:r w:rsidR="00266092" w:rsidRPr="008B0565">
        <w:rPr>
          <w:sz w:val="24"/>
          <w:szCs w:val="18"/>
        </w:rPr>
        <w:t>'</w:t>
      </w:r>
      <w:r w:rsidRPr="008B0565">
        <w:rPr>
          <w:sz w:val="24"/>
          <w:szCs w:val="18"/>
        </w:rPr>
        <w:t xml:space="preserve">ONU-SWAP: </w:t>
      </w:r>
      <w:r w:rsidRPr="00E76871">
        <w:rPr>
          <w:b w:val="0"/>
          <w:bCs/>
          <w:sz w:val="24"/>
          <w:szCs w:val="18"/>
        </w:rPr>
        <w:t>proche du niveau exigé</w:t>
      </w:r>
    </w:p>
    <w:p w:rsidR="009A3974" w:rsidRPr="008B0565" w:rsidRDefault="009A3974" w:rsidP="003F797A">
      <w:r w:rsidRPr="008B0565">
        <w:t>Pour satisfaire aux indicateurs de performance de l</w:t>
      </w:r>
      <w:r w:rsidR="00266092" w:rsidRPr="008B0565">
        <w:t>'</w:t>
      </w:r>
      <w:r w:rsidRPr="008B0565">
        <w:t>ONU-SWAP, l</w:t>
      </w:r>
      <w:r w:rsidR="00266092" w:rsidRPr="008B0565">
        <w:t>'</w:t>
      </w:r>
      <w:r w:rsidRPr="008B0565">
        <w:t xml:space="preserve">UIT devrait montrer les efforts faits dans les domaines suivants: 1) respect des règles et normes </w:t>
      </w:r>
      <w:r w:rsidR="003F797A" w:rsidRPr="008B0565">
        <w:t>en matière d'éthique</w:t>
      </w:r>
      <w:r w:rsidRPr="008B0565">
        <w:t xml:space="preserve"> des Nations Unies, formation à l</w:t>
      </w:r>
      <w:r w:rsidR="00266092" w:rsidRPr="008B0565">
        <w:t>'</w:t>
      </w:r>
      <w:r w:rsidRPr="008B0565">
        <w:t>éthique obligatoire et application de la tolérance zéro pour tout comportement contraire à l</w:t>
      </w:r>
      <w:r w:rsidR="00266092" w:rsidRPr="008B0565">
        <w:t>'</w:t>
      </w:r>
      <w:r w:rsidRPr="008B0565">
        <w:t>éthique; 2) mise en oeuvre de politiques de prévention de la discrimination et du harcèlement, y compris des mesures spéciales de prévention de l</w:t>
      </w:r>
      <w:r w:rsidR="00266092" w:rsidRPr="008B0565">
        <w:t>'</w:t>
      </w:r>
      <w:r w:rsidRPr="008B0565">
        <w:t>exploitation sexuelle, des violences sexuelles et de l</w:t>
      </w:r>
      <w:r w:rsidR="00266092" w:rsidRPr="008B0565">
        <w:t>'</w:t>
      </w:r>
      <w:r w:rsidRPr="008B0565">
        <w:t>abus d</w:t>
      </w:r>
      <w:r w:rsidR="00266092" w:rsidRPr="008B0565">
        <w:t>'</w:t>
      </w:r>
      <w:r w:rsidRPr="008B0565">
        <w:t>autorité, mise en place d</w:t>
      </w:r>
      <w:r w:rsidR="00266092" w:rsidRPr="008B0565">
        <w:t>'</w:t>
      </w:r>
      <w:r w:rsidRPr="008B0565">
        <w:t xml:space="preserve">un bureau </w:t>
      </w:r>
      <w:r w:rsidR="003F797A" w:rsidRPr="008B0565">
        <w:t>de l'éthique</w:t>
      </w:r>
      <w:r w:rsidRPr="008B0565">
        <w:t>, administration de la justice, mécanisme de règlement des différents et protection contre d'éventuelles représailles; 3) mise en oeuvre, promotion et établissement de rapports sur les politiques destinées à faciliter la maternité, la paternité, l</w:t>
      </w:r>
      <w:r w:rsidR="00266092" w:rsidRPr="008B0565">
        <w:t>'</w:t>
      </w:r>
      <w:r w:rsidRPr="008B0565">
        <w:t>adoption, les congés pour raisons familiales ou raisons d</w:t>
      </w:r>
      <w:r w:rsidR="00266092" w:rsidRPr="008B0565">
        <w:t>'</w:t>
      </w:r>
      <w:r w:rsidRPr="008B0565">
        <w:t>urgence, et la garde des enfants; 4) mise en oeuvre, promotion et évaluation des politiques relatives à l</w:t>
      </w:r>
      <w:r w:rsidR="00266092" w:rsidRPr="008B0565">
        <w:t>'</w:t>
      </w:r>
      <w:r w:rsidRPr="008B0565">
        <w:t xml:space="preserve">équilibre entre vie </w:t>
      </w:r>
      <w:r w:rsidRPr="008B0565">
        <w:rPr>
          <w:rFonts w:cstheme="minorHAnsi"/>
        </w:rPr>
        <w:t>professionnelle et vie privée</w:t>
      </w:r>
      <w:r w:rsidRPr="008B0565">
        <w:t>, y compris le travail à temps partiel, l</w:t>
      </w:r>
      <w:r w:rsidR="00266092" w:rsidRPr="008B0565">
        <w:t>'</w:t>
      </w:r>
      <w:r w:rsidRPr="008B0565">
        <w:t>horaire fractionné, le télétravail, les temps de pause pendant les activités d</w:t>
      </w:r>
      <w:r w:rsidR="00266092" w:rsidRPr="008B0565">
        <w:t>'</w:t>
      </w:r>
      <w:r w:rsidRPr="008B0565">
        <w:t>apprentissage de longue durée, l</w:t>
      </w:r>
      <w:r w:rsidR="00266092" w:rsidRPr="008B0565">
        <w:t>'</w:t>
      </w:r>
      <w:r w:rsidRPr="008B0565">
        <w:t>horaire hebdomadaire comprimé, les aides financières pour les parents voyageant avec un enfant et la retraite progressive; 5) promotion des règles et règlements des Nations Unies sur l</w:t>
      </w:r>
      <w:r w:rsidR="00266092" w:rsidRPr="008B0565">
        <w:t>'</w:t>
      </w:r>
      <w:r w:rsidRPr="008B0565">
        <w:t>équilibre entre vie professionnelle et vie privée en mettant en place un mécanisme interne permettant de suivre leur mise en oeuvre et leur accessibilité par sexe et par grade; 6) planification par chaque unité des réunions pé</w:t>
      </w:r>
      <w:r w:rsidR="008B0565">
        <w:t xml:space="preserve">riodiques du personnel pendant </w:t>
      </w:r>
      <w:r w:rsidRPr="008B0565">
        <w:t>les heures de travail communes et pendant les jours de travail du personnel à temps partiel, la téléconférence et d</w:t>
      </w:r>
      <w:r w:rsidR="00266092" w:rsidRPr="008B0565">
        <w:t>'</w:t>
      </w:r>
      <w:r w:rsidRPr="008B0565">
        <w:t>autres moyens informatiques étant activement encouragés; 7) réalisation d</w:t>
      </w:r>
      <w:r w:rsidR="00266092" w:rsidRPr="008B0565">
        <w:t>'</w:t>
      </w:r>
      <w:r w:rsidR="008B0565">
        <w:t xml:space="preserve">enquêtes </w:t>
      </w:r>
      <w:r w:rsidRPr="008B0565">
        <w:t>générales à intervalles réguliers et entretiens de fin de service obligatoires afin de collecter et d</w:t>
      </w:r>
      <w:r w:rsidR="00266092" w:rsidRPr="008B0565">
        <w:t>'</w:t>
      </w:r>
      <w:r w:rsidRPr="008B0565">
        <w:t>analyser des données permettant d</w:t>
      </w:r>
      <w:r w:rsidR="00266092" w:rsidRPr="008B0565">
        <w:t>'</w:t>
      </w:r>
      <w:r w:rsidRPr="008B0565">
        <w:t>évaluer l</w:t>
      </w:r>
      <w:r w:rsidR="00266092" w:rsidRPr="008B0565">
        <w:t>'</w:t>
      </w:r>
      <w:r w:rsidRPr="008B0565">
        <w:t>aspect qualitatif de la culture organisationnelle et de mieux comprendre les éléments qui pèsent sur le recrutement, le maintien en fonction du personnel, et l</w:t>
      </w:r>
      <w:r w:rsidR="00266092" w:rsidRPr="008B0565">
        <w:t>'</w:t>
      </w:r>
      <w:r w:rsidR="007C475C" w:rsidRPr="008B0565">
        <w:t>expérience du personnel.</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F74DF3" w:rsidRPr="008B0565" w:rsidTr="008D2559">
        <w:tc>
          <w:tcPr>
            <w:tcW w:w="5245" w:type="dxa"/>
            <w:vAlign w:val="center"/>
          </w:tcPr>
          <w:p w:rsidR="00F74DF3" w:rsidRPr="008B0565" w:rsidRDefault="00F74DF3" w:rsidP="008D2559">
            <w:pPr>
              <w:spacing w:before="0"/>
              <w:rPr>
                <w:u w:val="single"/>
              </w:rPr>
            </w:pPr>
            <w:r w:rsidRPr="008B0565">
              <w:rPr>
                <w:u w:val="single"/>
              </w:rPr>
              <w:lastRenderedPageBreak/>
              <w:t>Produits</w:t>
            </w:r>
          </w:p>
        </w:tc>
        <w:tc>
          <w:tcPr>
            <w:tcW w:w="3255" w:type="dxa"/>
            <w:vAlign w:val="center"/>
          </w:tcPr>
          <w:p w:rsidR="00F74DF3" w:rsidRPr="008B0565" w:rsidRDefault="00F74DF3" w:rsidP="008D2559">
            <w:pPr>
              <w:spacing w:before="0"/>
              <w:rPr>
                <w:u w:val="single"/>
              </w:rPr>
            </w:pPr>
            <w:r w:rsidRPr="008B0565">
              <w:rPr>
                <w:u w:val="single"/>
              </w:rPr>
              <w:t>Entité responsable/concernée</w:t>
            </w:r>
          </w:p>
        </w:tc>
        <w:tc>
          <w:tcPr>
            <w:tcW w:w="1276" w:type="dxa"/>
            <w:vAlign w:val="center"/>
          </w:tcPr>
          <w:p w:rsidR="00F74DF3" w:rsidRPr="008B0565" w:rsidRDefault="00F74DF3" w:rsidP="008D2559">
            <w:pPr>
              <w:tabs>
                <w:tab w:val="clear" w:pos="2835"/>
                <w:tab w:val="left" w:pos="5812"/>
                <w:tab w:val="center" w:pos="7655"/>
                <w:tab w:val="right" w:pos="9639"/>
              </w:tabs>
              <w:spacing w:before="0"/>
              <w:rPr>
                <w:u w:val="single"/>
              </w:rPr>
            </w:pPr>
            <w:r w:rsidRPr="008B0565">
              <w:rPr>
                <w:u w:val="single"/>
              </w:rPr>
              <w:t>Délai</w:t>
            </w:r>
          </w:p>
        </w:tc>
      </w:tr>
      <w:tr w:rsidR="00F74DF3" w:rsidRPr="008B0565" w:rsidTr="008D2559">
        <w:tc>
          <w:tcPr>
            <w:tcW w:w="5245" w:type="dxa"/>
          </w:tcPr>
          <w:p w:rsidR="00F74DF3" w:rsidRPr="008B0565" w:rsidRDefault="00F74DF3" w:rsidP="008B0565">
            <w:pPr>
              <w:tabs>
                <w:tab w:val="left" w:pos="426"/>
                <w:tab w:val="center" w:pos="7655"/>
                <w:tab w:val="right" w:pos="9639"/>
              </w:tabs>
              <w:spacing w:before="0"/>
              <w:ind w:left="567" w:hanging="567"/>
            </w:pPr>
            <w:r w:rsidRPr="008B0565">
              <w:t>1</w:t>
            </w:r>
            <w:r w:rsidR="00317674" w:rsidRPr="008B0565">
              <w:t>3</w:t>
            </w:r>
            <w:r w:rsidRPr="008B0565">
              <w:t>.1</w:t>
            </w:r>
            <w:r w:rsidRPr="008B0565">
              <w:tab/>
            </w:r>
            <w:r w:rsidRPr="008B0565">
              <w:tab/>
            </w:r>
            <w:r w:rsidRPr="008B0565">
              <w:rPr>
                <w:rFonts w:asciiTheme="minorHAnsi" w:hAnsiTheme="minorHAnsi"/>
                <w:szCs w:val="24"/>
              </w:rPr>
              <w:t xml:space="preserve">Examen de la formation aux questions </w:t>
            </w:r>
            <w:r w:rsidR="008B0565" w:rsidRPr="008B0565">
              <w:rPr>
                <w:rFonts w:asciiTheme="minorHAnsi" w:hAnsiTheme="minorHAnsi"/>
                <w:szCs w:val="24"/>
              </w:rPr>
              <w:t>d'</w:t>
            </w:r>
            <w:r w:rsidRPr="008B0565">
              <w:rPr>
                <w:rFonts w:asciiTheme="minorHAnsi" w:hAnsiTheme="minorHAnsi"/>
                <w:szCs w:val="24"/>
              </w:rPr>
              <w:t>éthique et plan de travail dans ce domaine</w:t>
            </w:r>
          </w:p>
        </w:tc>
        <w:tc>
          <w:tcPr>
            <w:tcW w:w="3255" w:type="dxa"/>
            <w:vAlign w:val="center"/>
          </w:tcPr>
          <w:p w:rsidR="00F74DF3" w:rsidRPr="008B0565" w:rsidRDefault="008B0565" w:rsidP="00AE03E7">
            <w:pPr>
              <w:spacing w:before="0"/>
              <w:jc w:val="center"/>
            </w:pPr>
            <w:r w:rsidRPr="008B0565">
              <w:rPr>
                <w:rFonts w:asciiTheme="minorHAnsi" w:hAnsiTheme="minorHAnsi"/>
                <w:color w:val="000000" w:themeColor="text1"/>
                <w:szCs w:val="24"/>
              </w:rPr>
              <w:t>Bureau de l'éthique</w:t>
            </w:r>
            <w:r w:rsidR="00F74DF3" w:rsidRPr="008B0565">
              <w:rPr>
                <w:rFonts w:asciiTheme="minorHAnsi" w:hAnsiTheme="minorHAnsi"/>
                <w:color w:val="000000" w:themeColor="text1"/>
                <w:szCs w:val="24"/>
              </w:rPr>
              <w:t>/HRMD</w:t>
            </w:r>
          </w:p>
        </w:tc>
        <w:tc>
          <w:tcPr>
            <w:tcW w:w="1276" w:type="dxa"/>
            <w:vAlign w:val="center"/>
          </w:tcPr>
          <w:p w:rsidR="00F74DF3" w:rsidRPr="008B0565" w:rsidRDefault="00F74DF3" w:rsidP="00C4448A">
            <w:pPr>
              <w:spacing w:before="0"/>
            </w:pPr>
            <w:r w:rsidRPr="008B0565">
              <w:rPr>
                <w:rFonts w:asciiTheme="minorHAnsi" w:hAnsiTheme="minorHAnsi"/>
                <w:color w:val="000000" w:themeColor="text1"/>
                <w:szCs w:val="24"/>
              </w:rPr>
              <w:t>déc</w:t>
            </w:r>
          </w:p>
        </w:tc>
      </w:tr>
      <w:tr w:rsidR="00F74DF3" w:rsidRPr="008B0565" w:rsidTr="008D2559">
        <w:tc>
          <w:tcPr>
            <w:tcW w:w="5245" w:type="dxa"/>
          </w:tcPr>
          <w:p w:rsidR="00F74DF3" w:rsidRPr="008B0565" w:rsidRDefault="00F74DF3" w:rsidP="00317674">
            <w:pPr>
              <w:tabs>
                <w:tab w:val="left" w:pos="426"/>
                <w:tab w:val="center" w:pos="7655"/>
                <w:tab w:val="right" w:pos="9639"/>
              </w:tabs>
              <w:spacing w:before="0"/>
              <w:ind w:left="567" w:hanging="567"/>
            </w:pPr>
            <w:r w:rsidRPr="008B0565">
              <w:t>1</w:t>
            </w:r>
            <w:r w:rsidR="00317674" w:rsidRPr="008B0565">
              <w:t>3</w:t>
            </w:r>
            <w:r w:rsidRPr="008B0565">
              <w:t>.2</w:t>
            </w:r>
            <w:r w:rsidRPr="008B0565">
              <w:tab/>
            </w:r>
            <w:r w:rsidRPr="008B0565">
              <w:tab/>
            </w:r>
            <w:r w:rsidRPr="008B0565">
              <w:rPr>
                <w:rFonts w:asciiTheme="minorHAnsi" w:hAnsiTheme="minorHAnsi"/>
                <w:color w:val="000000"/>
                <w:szCs w:val="24"/>
              </w:rPr>
              <w:t>Examen de la dimension hommes/femmes dans les politiques relatives à l'équilibre entre vie professionnelle et vie privée</w:t>
            </w:r>
          </w:p>
        </w:tc>
        <w:tc>
          <w:tcPr>
            <w:tcW w:w="3255" w:type="dxa"/>
            <w:vAlign w:val="center"/>
          </w:tcPr>
          <w:p w:rsidR="00F74DF3" w:rsidRPr="008B0565" w:rsidRDefault="00F74DF3" w:rsidP="00AE03E7">
            <w:pPr>
              <w:spacing w:before="0"/>
              <w:jc w:val="center"/>
              <w:rPr>
                <w:rFonts w:asciiTheme="minorHAnsi" w:hAnsiTheme="minorHAnsi"/>
                <w:color w:val="000000" w:themeColor="text1"/>
                <w:szCs w:val="24"/>
              </w:rPr>
            </w:pPr>
            <w:r w:rsidRPr="008B0565">
              <w:rPr>
                <w:rFonts w:asciiTheme="minorHAnsi" w:hAnsiTheme="minorHAnsi"/>
                <w:color w:val="000000"/>
                <w:szCs w:val="24"/>
              </w:rPr>
              <w:t>Conseil du personnel/GTF</w:t>
            </w:r>
          </w:p>
        </w:tc>
        <w:tc>
          <w:tcPr>
            <w:tcW w:w="1276" w:type="dxa"/>
            <w:vAlign w:val="center"/>
          </w:tcPr>
          <w:p w:rsidR="00F74DF3" w:rsidRPr="008B0565" w:rsidRDefault="00F74DF3" w:rsidP="00C4448A">
            <w:pPr>
              <w:spacing w:before="0"/>
              <w:rPr>
                <w:rFonts w:asciiTheme="minorHAnsi" w:hAnsiTheme="minorHAnsi"/>
                <w:color w:val="000000" w:themeColor="text1"/>
                <w:szCs w:val="24"/>
              </w:rPr>
            </w:pPr>
            <w:r w:rsidRPr="008B0565">
              <w:rPr>
                <w:rFonts w:asciiTheme="minorHAnsi" w:hAnsiTheme="minorHAnsi"/>
                <w:color w:val="000000" w:themeColor="text1"/>
                <w:szCs w:val="24"/>
              </w:rPr>
              <w:t>juin-août</w:t>
            </w:r>
          </w:p>
        </w:tc>
      </w:tr>
      <w:tr w:rsidR="00F74DF3" w:rsidRPr="008B0565" w:rsidTr="008D2559">
        <w:tc>
          <w:tcPr>
            <w:tcW w:w="5245" w:type="dxa"/>
          </w:tcPr>
          <w:p w:rsidR="00F74DF3" w:rsidRPr="008B0565" w:rsidRDefault="00317674" w:rsidP="00C4448A">
            <w:pPr>
              <w:tabs>
                <w:tab w:val="left" w:pos="426"/>
                <w:tab w:val="center" w:pos="7655"/>
                <w:tab w:val="right" w:pos="9639"/>
              </w:tabs>
              <w:spacing w:before="0"/>
              <w:ind w:left="567" w:hanging="567"/>
            </w:pPr>
            <w:r w:rsidRPr="008B0565">
              <w:t>13</w:t>
            </w:r>
            <w:r w:rsidR="00F74DF3" w:rsidRPr="008B0565">
              <w:t>.3</w:t>
            </w:r>
            <w:r w:rsidR="00F74DF3" w:rsidRPr="008B0565">
              <w:tab/>
            </w:r>
            <w:r w:rsidR="00F74DF3" w:rsidRPr="008B0565">
              <w:tab/>
            </w:r>
            <w:r w:rsidR="00F74DF3" w:rsidRPr="008B0565">
              <w:rPr>
                <w:rFonts w:asciiTheme="minorHAnsi" w:hAnsiTheme="minorHAnsi"/>
                <w:color w:val="000000" w:themeColor="text1"/>
                <w:szCs w:val="24"/>
              </w:rPr>
              <w:t>Suivi de la mise en oeuvre de la politique relative à l'équilibre</w:t>
            </w:r>
            <w:r w:rsidR="00DF48F5" w:rsidRPr="008B0565">
              <w:rPr>
                <w:rFonts w:asciiTheme="minorHAnsi" w:hAnsiTheme="minorHAnsi"/>
                <w:color w:val="000000" w:themeColor="text1"/>
                <w:szCs w:val="24"/>
              </w:rPr>
              <w:t xml:space="preserve"> </w:t>
            </w:r>
            <w:r w:rsidR="00F74DF3" w:rsidRPr="008B0565">
              <w:rPr>
                <w:rFonts w:asciiTheme="minorHAnsi" w:hAnsiTheme="minorHAnsi"/>
                <w:color w:val="000000" w:themeColor="text1"/>
                <w:szCs w:val="24"/>
              </w:rPr>
              <w:t>entre vie professionnelle et vie privée par sexe et grade</w:t>
            </w:r>
          </w:p>
        </w:tc>
        <w:tc>
          <w:tcPr>
            <w:tcW w:w="3255" w:type="dxa"/>
            <w:vAlign w:val="center"/>
          </w:tcPr>
          <w:p w:rsidR="00F74DF3" w:rsidRPr="008B0565" w:rsidRDefault="00F74DF3"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w:t>
            </w:r>
          </w:p>
        </w:tc>
        <w:tc>
          <w:tcPr>
            <w:tcW w:w="1276" w:type="dxa"/>
            <w:vAlign w:val="center"/>
          </w:tcPr>
          <w:p w:rsidR="00F74DF3" w:rsidRPr="008B0565" w:rsidRDefault="00F74DF3" w:rsidP="00C4448A">
            <w:pPr>
              <w:spacing w:before="0"/>
              <w:rPr>
                <w:rFonts w:asciiTheme="minorHAnsi" w:hAnsiTheme="minorHAnsi"/>
                <w:color w:val="000000" w:themeColor="text1"/>
                <w:szCs w:val="24"/>
              </w:rPr>
            </w:pPr>
            <w:r w:rsidRPr="008B0565">
              <w:rPr>
                <w:rFonts w:asciiTheme="minorHAnsi" w:hAnsiTheme="minorHAnsi"/>
                <w:color w:val="000000" w:themeColor="text1"/>
                <w:szCs w:val="24"/>
              </w:rPr>
              <w:t>en cours</w:t>
            </w:r>
          </w:p>
        </w:tc>
      </w:tr>
      <w:tr w:rsidR="00F74DF3" w:rsidRPr="008B0565" w:rsidTr="008D2559">
        <w:tc>
          <w:tcPr>
            <w:tcW w:w="5245" w:type="dxa"/>
          </w:tcPr>
          <w:p w:rsidR="00F74DF3" w:rsidRPr="008B0565" w:rsidRDefault="00317674" w:rsidP="00C4448A">
            <w:pPr>
              <w:tabs>
                <w:tab w:val="left" w:pos="426"/>
                <w:tab w:val="center" w:pos="7655"/>
                <w:tab w:val="right" w:pos="9639"/>
              </w:tabs>
              <w:spacing w:before="0"/>
              <w:ind w:left="567" w:hanging="567"/>
            </w:pPr>
            <w:r w:rsidRPr="008B0565">
              <w:t>13</w:t>
            </w:r>
            <w:r w:rsidR="00F74DF3" w:rsidRPr="008B0565">
              <w:t>.4</w:t>
            </w:r>
            <w:r w:rsidR="00F74DF3" w:rsidRPr="008B0565">
              <w:tab/>
            </w:r>
            <w:r w:rsidR="00F74DF3" w:rsidRPr="008B0565">
              <w:tab/>
            </w:r>
            <w:r w:rsidR="00F74DF3" w:rsidRPr="008B0565">
              <w:rPr>
                <w:rFonts w:asciiTheme="minorHAnsi" w:hAnsiTheme="minorHAnsi"/>
                <w:color w:val="000000" w:themeColor="text1"/>
                <w:szCs w:val="24"/>
              </w:rPr>
              <w:t>Mécanismes de suivi (étude annuelle/enquête ou entretien</w:t>
            </w:r>
            <w:r w:rsidR="00DF48F5" w:rsidRPr="008B0565">
              <w:rPr>
                <w:rFonts w:asciiTheme="minorHAnsi" w:hAnsiTheme="minorHAnsi"/>
                <w:color w:val="000000" w:themeColor="text1"/>
                <w:szCs w:val="24"/>
              </w:rPr>
              <w:t xml:space="preserve"> </w:t>
            </w:r>
            <w:r w:rsidR="00F74DF3" w:rsidRPr="008B0565">
              <w:rPr>
                <w:rFonts w:asciiTheme="minorHAnsi" w:hAnsiTheme="minorHAnsi"/>
                <w:color w:val="000000" w:themeColor="text1"/>
                <w:szCs w:val="24"/>
              </w:rPr>
              <w:t>de fin de service)</w:t>
            </w:r>
          </w:p>
        </w:tc>
        <w:tc>
          <w:tcPr>
            <w:tcW w:w="3255" w:type="dxa"/>
            <w:vAlign w:val="center"/>
          </w:tcPr>
          <w:p w:rsidR="00F74DF3" w:rsidRPr="008B0565" w:rsidRDefault="00F74DF3"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w:t>
            </w:r>
          </w:p>
        </w:tc>
        <w:tc>
          <w:tcPr>
            <w:tcW w:w="1276" w:type="dxa"/>
            <w:vAlign w:val="center"/>
          </w:tcPr>
          <w:p w:rsidR="00F74DF3" w:rsidRPr="008B0565" w:rsidRDefault="00F74DF3" w:rsidP="00C4448A">
            <w:pPr>
              <w:spacing w:before="0"/>
              <w:rPr>
                <w:rFonts w:asciiTheme="minorHAnsi" w:hAnsiTheme="minorHAnsi"/>
                <w:color w:val="000000" w:themeColor="text1"/>
                <w:szCs w:val="24"/>
              </w:rPr>
            </w:pPr>
            <w:r w:rsidRPr="008B0565">
              <w:rPr>
                <w:rFonts w:asciiTheme="minorHAnsi" w:hAnsiTheme="minorHAnsi"/>
                <w:color w:val="000000" w:themeColor="text1"/>
                <w:szCs w:val="24"/>
              </w:rPr>
              <w:t>avr-sep</w:t>
            </w:r>
          </w:p>
        </w:tc>
      </w:tr>
      <w:tr w:rsidR="00F74DF3" w:rsidRPr="008B0565" w:rsidTr="008D2559">
        <w:tc>
          <w:tcPr>
            <w:tcW w:w="5245" w:type="dxa"/>
          </w:tcPr>
          <w:p w:rsidR="00F74DF3" w:rsidRPr="008B0565" w:rsidRDefault="00317674" w:rsidP="00C4448A">
            <w:pPr>
              <w:tabs>
                <w:tab w:val="left" w:pos="426"/>
                <w:tab w:val="center" w:pos="7655"/>
                <w:tab w:val="right" w:pos="9639"/>
              </w:tabs>
              <w:spacing w:before="0"/>
              <w:ind w:left="567" w:hanging="567"/>
            </w:pPr>
            <w:r w:rsidRPr="008B0565">
              <w:t>13</w:t>
            </w:r>
            <w:r w:rsidR="00F74DF3" w:rsidRPr="008B0565">
              <w:t>.5</w:t>
            </w:r>
            <w:r w:rsidR="00F74DF3" w:rsidRPr="008B0565">
              <w:tab/>
            </w:r>
            <w:r w:rsidR="00F74DF3" w:rsidRPr="008B0565">
              <w:tab/>
            </w:r>
            <w:r w:rsidR="00F74DF3" w:rsidRPr="008B0565">
              <w:rPr>
                <w:rFonts w:asciiTheme="minorHAnsi" w:hAnsiTheme="minorHAnsi"/>
                <w:color w:val="000000" w:themeColor="text1"/>
                <w:szCs w:val="24"/>
              </w:rPr>
              <w:t>Processus de recrutement et documents connexes (y compris les compétences)</w:t>
            </w:r>
          </w:p>
        </w:tc>
        <w:tc>
          <w:tcPr>
            <w:tcW w:w="3255" w:type="dxa"/>
            <w:vAlign w:val="center"/>
          </w:tcPr>
          <w:p w:rsidR="00F74DF3" w:rsidRPr="008B0565" w:rsidRDefault="00F74DF3"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HRMD/GTF</w:t>
            </w:r>
          </w:p>
        </w:tc>
        <w:tc>
          <w:tcPr>
            <w:tcW w:w="1276" w:type="dxa"/>
            <w:vAlign w:val="center"/>
          </w:tcPr>
          <w:p w:rsidR="00F74DF3" w:rsidRPr="008B0565" w:rsidRDefault="00F74DF3" w:rsidP="00C4448A">
            <w:pPr>
              <w:spacing w:before="0"/>
              <w:rPr>
                <w:rFonts w:asciiTheme="minorHAnsi" w:hAnsiTheme="minorHAnsi"/>
                <w:color w:val="000000" w:themeColor="text1"/>
                <w:szCs w:val="24"/>
              </w:rPr>
            </w:pPr>
            <w:r w:rsidRPr="008B0565">
              <w:rPr>
                <w:rFonts w:asciiTheme="minorHAnsi" w:hAnsiTheme="minorHAnsi"/>
                <w:color w:val="000000" w:themeColor="text1"/>
                <w:szCs w:val="24"/>
              </w:rPr>
              <w:t>sep-déc</w:t>
            </w:r>
          </w:p>
        </w:tc>
      </w:tr>
      <w:tr w:rsidR="00F74DF3" w:rsidRPr="008B0565" w:rsidTr="008D2559">
        <w:tc>
          <w:tcPr>
            <w:tcW w:w="5245" w:type="dxa"/>
          </w:tcPr>
          <w:p w:rsidR="00F74DF3" w:rsidRPr="008B0565" w:rsidRDefault="00317674" w:rsidP="00C4448A">
            <w:pPr>
              <w:tabs>
                <w:tab w:val="left" w:pos="426"/>
                <w:tab w:val="center" w:pos="7655"/>
                <w:tab w:val="right" w:pos="9639"/>
              </w:tabs>
              <w:spacing w:before="0"/>
              <w:ind w:left="567" w:hanging="567"/>
            </w:pPr>
            <w:r w:rsidRPr="008B0565">
              <w:t>13</w:t>
            </w:r>
            <w:r w:rsidR="00F74DF3" w:rsidRPr="008B0565">
              <w:t>.6</w:t>
            </w:r>
            <w:r w:rsidR="00F74DF3" w:rsidRPr="008B0565">
              <w:tab/>
            </w:r>
            <w:r w:rsidR="00F74DF3" w:rsidRPr="008B0565">
              <w:tab/>
            </w:r>
            <w:r w:rsidR="00F74DF3" w:rsidRPr="008B0565">
              <w:rPr>
                <w:rFonts w:asciiTheme="minorHAnsi" w:hAnsiTheme="minorHAnsi"/>
                <w:color w:val="000000"/>
                <w:szCs w:val="24"/>
              </w:rPr>
              <w:t>Sensibilisation à la problématique hommes/femmes</w:t>
            </w:r>
            <w:r w:rsidR="00DF48F5" w:rsidRPr="008B0565">
              <w:rPr>
                <w:rFonts w:asciiTheme="minorHAnsi" w:hAnsiTheme="minorHAnsi"/>
                <w:color w:val="000000"/>
                <w:szCs w:val="24"/>
              </w:rPr>
              <w:t xml:space="preserve"> </w:t>
            </w:r>
            <w:r w:rsidR="00F74DF3" w:rsidRPr="008B0565">
              <w:rPr>
                <w:rFonts w:asciiTheme="minorHAnsi" w:hAnsiTheme="minorHAnsi"/>
                <w:color w:val="000000"/>
                <w:szCs w:val="24"/>
              </w:rPr>
              <w:t>en matière de passation de marchés</w:t>
            </w:r>
          </w:p>
        </w:tc>
        <w:tc>
          <w:tcPr>
            <w:tcW w:w="3255" w:type="dxa"/>
            <w:vAlign w:val="center"/>
          </w:tcPr>
          <w:p w:rsidR="00F74DF3" w:rsidRPr="008B0565" w:rsidRDefault="00F74DF3"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PROC</w:t>
            </w:r>
          </w:p>
        </w:tc>
        <w:tc>
          <w:tcPr>
            <w:tcW w:w="1276" w:type="dxa"/>
            <w:vAlign w:val="center"/>
          </w:tcPr>
          <w:p w:rsidR="00F74DF3" w:rsidRPr="008B0565" w:rsidRDefault="00F74DF3" w:rsidP="00C4448A">
            <w:pPr>
              <w:spacing w:before="0"/>
              <w:rPr>
                <w:rFonts w:asciiTheme="minorHAnsi" w:hAnsiTheme="minorHAnsi"/>
                <w:color w:val="000000" w:themeColor="text1"/>
                <w:szCs w:val="24"/>
              </w:rPr>
            </w:pPr>
            <w:r w:rsidRPr="008B0565">
              <w:rPr>
                <w:rFonts w:asciiTheme="minorHAnsi" w:hAnsiTheme="minorHAnsi"/>
                <w:color w:val="000000" w:themeColor="text1"/>
                <w:szCs w:val="24"/>
              </w:rPr>
              <w:t>sep-oct</w:t>
            </w:r>
          </w:p>
        </w:tc>
      </w:tr>
      <w:tr w:rsidR="00F74DF3" w:rsidRPr="008B0565" w:rsidTr="008D2559">
        <w:tc>
          <w:tcPr>
            <w:tcW w:w="5245" w:type="dxa"/>
          </w:tcPr>
          <w:p w:rsidR="00F74DF3" w:rsidRPr="008B0565" w:rsidRDefault="00317674" w:rsidP="00C4448A">
            <w:pPr>
              <w:tabs>
                <w:tab w:val="left" w:pos="426"/>
                <w:tab w:val="center" w:pos="7655"/>
                <w:tab w:val="right" w:pos="9639"/>
              </w:tabs>
              <w:spacing w:before="0"/>
              <w:ind w:left="567" w:hanging="567"/>
            </w:pPr>
            <w:r w:rsidRPr="008B0565">
              <w:t>13</w:t>
            </w:r>
            <w:r w:rsidR="00F74DF3" w:rsidRPr="008B0565">
              <w:t>.7</w:t>
            </w:r>
            <w:r w:rsidR="00F74DF3" w:rsidRPr="008B0565">
              <w:tab/>
            </w:r>
            <w:r w:rsidR="00F74DF3" w:rsidRPr="008B0565">
              <w:tab/>
            </w:r>
            <w:r w:rsidR="00F74DF3" w:rsidRPr="008B0565">
              <w:rPr>
                <w:rFonts w:asciiTheme="minorHAnsi" w:hAnsiTheme="minorHAnsi"/>
                <w:color w:val="000000"/>
                <w:szCs w:val="24"/>
              </w:rPr>
              <w:t>Sensibilisation à la problématique hommes/femmes</w:t>
            </w:r>
            <w:r w:rsidR="00DF48F5" w:rsidRPr="008B0565">
              <w:rPr>
                <w:rFonts w:asciiTheme="minorHAnsi" w:hAnsiTheme="minorHAnsi"/>
                <w:color w:val="000000"/>
                <w:szCs w:val="24"/>
              </w:rPr>
              <w:t xml:space="preserve"> </w:t>
            </w:r>
            <w:r w:rsidR="00F74DF3" w:rsidRPr="008B0565">
              <w:rPr>
                <w:rFonts w:asciiTheme="minorHAnsi" w:hAnsiTheme="minorHAnsi"/>
                <w:color w:val="000000"/>
                <w:szCs w:val="24"/>
              </w:rPr>
              <w:t>en matière de passation de marchés</w:t>
            </w:r>
          </w:p>
        </w:tc>
        <w:tc>
          <w:tcPr>
            <w:tcW w:w="3255" w:type="dxa"/>
            <w:vAlign w:val="center"/>
          </w:tcPr>
          <w:p w:rsidR="00F74DF3" w:rsidRPr="008B0565" w:rsidRDefault="00F74DF3"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w:t>
            </w:r>
          </w:p>
        </w:tc>
        <w:tc>
          <w:tcPr>
            <w:tcW w:w="1276" w:type="dxa"/>
            <w:vAlign w:val="center"/>
          </w:tcPr>
          <w:p w:rsidR="00F74DF3" w:rsidRPr="008B0565" w:rsidRDefault="00F74DF3" w:rsidP="00C4448A">
            <w:pPr>
              <w:spacing w:before="0"/>
              <w:rPr>
                <w:rFonts w:asciiTheme="minorHAnsi" w:hAnsiTheme="minorHAnsi"/>
                <w:color w:val="000000" w:themeColor="text1"/>
                <w:szCs w:val="24"/>
              </w:rPr>
            </w:pPr>
            <w:r w:rsidRPr="008B0565">
              <w:rPr>
                <w:rFonts w:asciiTheme="minorHAnsi" w:hAnsiTheme="minorHAnsi"/>
                <w:color w:val="000000" w:themeColor="text1"/>
                <w:szCs w:val="24"/>
              </w:rPr>
              <w:t>déc</w:t>
            </w:r>
          </w:p>
        </w:tc>
      </w:tr>
    </w:tbl>
    <w:p w:rsidR="009A3974" w:rsidRPr="008B0565" w:rsidRDefault="00C618BD" w:rsidP="00C618BD">
      <w:pPr>
        <w:pStyle w:val="Heading1"/>
        <w:spacing w:before="240"/>
      </w:pPr>
      <w:r w:rsidRPr="008B0565">
        <w:t>14</w:t>
      </w:r>
      <w:r w:rsidRPr="008B0565">
        <w:tab/>
      </w:r>
      <w:r w:rsidR="009A3974" w:rsidRPr="008B0565">
        <w:t>Evaluation des capacités</w:t>
      </w:r>
    </w:p>
    <w:p w:rsidR="009A3974" w:rsidRPr="008B0565" w:rsidRDefault="009A3974" w:rsidP="00C618BD">
      <w:pPr>
        <w:pStyle w:val="Heading1"/>
        <w:pBdr>
          <w:bottom w:val="single" w:sz="4" w:space="1" w:color="auto"/>
        </w:pBdr>
        <w:spacing w:before="0"/>
        <w:rPr>
          <w:sz w:val="24"/>
          <w:szCs w:val="24"/>
        </w:rPr>
      </w:pPr>
      <w:r w:rsidRPr="008B0565">
        <w:rPr>
          <w:sz w:val="24"/>
          <w:szCs w:val="24"/>
        </w:rPr>
        <w:t>Situation en 2016 au regard de l</w:t>
      </w:r>
      <w:r w:rsidR="00266092" w:rsidRPr="008B0565">
        <w:rPr>
          <w:sz w:val="24"/>
          <w:szCs w:val="24"/>
        </w:rPr>
        <w:t>'</w:t>
      </w:r>
      <w:r w:rsidRPr="008B0565">
        <w:rPr>
          <w:sz w:val="24"/>
          <w:szCs w:val="24"/>
        </w:rPr>
        <w:t xml:space="preserve">ONU-SWAP: </w:t>
      </w:r>
      <w:r w:rsidRPr="00E76871">
        <w:rPr>
          <w:b w:val="0"/>
          <w:bCs/>
          <w:sz w:val="24"/>
          <w:szCs w:val="24"/>
        </w:rPr>
        <w:t>indicateur manquant</w:t>
      </w:r>
    </w:p>
    <w:p w:rsidR="009A3974" w:rsidRPr="008B0565" w:rsidRDefault="009A3974" w:rsidP="00196713">
      <w:pPr>
        <w:spacing w:after="120"/>
      </w:pPr>
      <w:r w:rsidRPr="008B0565">
        <w:t>Pour satisfaire aux indicateurs de performance de l</w:t>
      </w:r>
      <w:r w:rsidR="00266092" w:rsidRPr="008B0565">
        <w:t>'</w:t>
      </w:r>
      <w:r w:rsidRPr="008B0565">
        <w:t>ONU-SWAP, l</w:t>
      </w:r>
      <w:r w:rsidR="00266092" w:rsidRPr="008B0565">
        <w:t>'</w:t>
      </w:r>
      <w:r w:rsidRPr="008B0565">
        <w:t>UIT devrait réaliser une évaluation à l</w:t>
      </w:r>
      <w:r w:rsidR="00266092" w:rsidRPr="008B0565">
        <w:t>'</w:t>
      </w:r>
      <w:r w:rsidRPr="008B0565">
        <w:t>échelle de l</w:t>
      </w:r>
      <w:r w:rsidR="00266092" w:rsidRPr="008B0565">
        <w:t>'</w:t>
      </w:r>
      <w:r w:rsidRPr="008B0565">
        <w:t>Union des capacités du personnel à promouvoir le principe d</w:t>
      </w:r>
      <w:r w:rsidR="00266092" w:rsidRPr="008B0565">
        <w:t>'</w:t>
      </w:r>
      <w:r w:rsidRPr="008B0565">
        <w:t>égalité hommes/femmes et l</w:t>
      </w:r>
      <w:r w:rsidR="00266092" w:rsidRPr="008B0565">
        <w:t>'</w:t>
      </w:r>
      <w:r w:rsidRPr="008B0565">
        <w:t>autonomisation des femmes, et établir ou mettre à jour au moins tous les cinq ans un plan de renforcement des capacités. Il a été établi qu</w:t>
      </w:r>
      <w:r w:rsidR="00266092" w:rsidRPr="008B0565">
        <w:t>'</w:t>
      </w:r>
      <w:r w:rsidRPr="008B0565">
        <w:t>en présence de capacités insuffisantes à promouvoir l</w:t>
      </w:r>
      <w:r w:rsidR="00266092" w:rsidRPr="008B0565">
        <w:t>'</w:t>
      </w:r>
      <w:r w:rsidRPr="008B0565">
        <w:t>égalité hommes/femmes et l</w:t>
      </w:r>
      <w:r w:rsidR="00266092" w:rsidRPr="008B0565">
        <w:t>'</w:t>
      </w:r>
      <w:r w:rsidRPr="008B0565">
        <w:t>autonomisation des femmes, les possibilités d</w:t>
      </w:r>
      <w:r w:rsidR="00266092" w:rsidRPr="008B0565">
        <w:t>'</w:t>
      </w:r>
      <w:r w:rsidRPr="008B0565">
        <w:t>améliorer les résultats et de jouer un rôle de chef de file étaient</w:t>
      </w:r>
      <w:r w:rsidR="00C618BD" w:rsidRPr="008B0565">
        <w:t xml:space="preserve"> fortement limitées.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196713" w:rsidRPr="008B0565" w:rsidTr="008D2559">
        <w:tc>
          <w:tcPr>
            <w:tcW w:w="5245" w:type="dxa"/>
            <w:vAlign w:val="center"/>
          </w:tcPr>
          <w:p w:rsidR="00196713" w:rsidRPr="008B0565" w:rsidRDefault="00196713" w:rsidP="008D2559">
            <w:pPr>
              <w:spacing w:before="0"/>
              <w:rPr>
                <w:u w:val="single"/>
              </w:rPr>
            </w:pPr>
            <w:r w:rsidRPr="008B0565">
              <w:rPr>
                <w:u w:val="single"/>
              </w:rPr>
              <w:t>Produits</w:t>
            </w:r>
          </w:p>
        </w:tc>
        <w:tc>
          <w:tcPr>
            <w:tcW w:w="3255" w:type="dxa"/>
            <w:vAlign w:val="center"/>
          </w:tcPr>
          <w:p w:rsidR="00196713" w:rsidRPr="008B0565" w:rsidRDefault="00196713" w:rsidP="008D2559">
            <w:pPr>
              <w:spacing w:before="0"/>
              <w:rPr>
                <w:u w:val="single"/>
              </w:rPr>
            </w:pPr>
            <w:r w:rsidRPr="008B0565">
              <w:rPr>
                <w:u w:val="single"/>
              </w:rPr>
              <w:t>Entité responsable/concernée</w:t>
            </w:r>
          </w:p>
        </w:tc>
        <w:tc>
          <w:tcPr>
            <w:tcW w:w="1276" w:type="dxa"/>
            <w:vAlign w:val="center"/>
          </w:tcPr>
          <w:p w:rsidR="00196713" w:rsidRPr="008B0565" w:rsidRDefault="00196713" w:rsidP="008D2559">
            <w:pPr>
              <w:tabs>
                <w:tab w:val="clear" w:pos="2835"/>
                <w:tab w:val="left" w:pos="5812"/>
                <w:tab w:val="center" w:pos="7655"/>
                <w:tab w:val="right" w:pos="9639"/>
              </w:tabs>
              <w:spacing w:before="0"/>
              <w:rPr>
                <w:u w:val="single"/>
              </w:rPr>
            </w:pPr>
            <w:r w:rsidRPr="008B0565">
              <w:rPr>
                <w:u w:val="single"/>
              </w:rPr>
              <w:t>Délai</w:t>
            </w:r>
          </w:p>
        </w:tc>
      </w:tr>
      <w:tr w:rsidR="00196713" w:rsidRPr="008B0565" w:rsidTr="008D2559">
        <w:tc>
          <w:tcPr>
            <w:tcW w:w="5245" w:type="dxa"/>
          </w:tcPr>
          <w:p w:rsidR="00196713" w:rsidRPr="008B0565" w:rsidRDefault="00196713" w:rsidP="00333F12">
            <w:pPr>
              <w:tabs>
                <w:tab w:val="left" w:pos="426"/>
                <w:tab w:val="center" w:pos="7655"/>
                <w:tab w:val="right" w:pos="9639"/>
              </w:tabs>
              <w:spacing w:before="0"/>
              <w:ind w:left="567" w:hanging="567"/>
            </w:pPr>
            <w:r w:rsidRPr="008B0565">
              <w:t>14.1</w:t>
            </w:r>
            <w:r w:rsidRPr="008B0565">
              <w:tab/>
            </w:r>
            <w:r w:rsidRPr="008B0565">
              <w:tab/>
            </w:r>
            <w:r w:rsidRPr="008B0565">
              <w:rPr>
                <w:rFonts w:asciiTheme="minorHAnsi" w:hAnsiTheme="minorHAnsi"/>
                <w:szCs w:val="24"/>
              </w:rPr>
              <w:t>Réaliser une étude d'évaluation des capacités à promouvoir l'égalité hommes/femmes</w:t>
            </w:r>
          </w:p>
        </w:tc>
        <w:tc>
          <w:tcPr>
            <w:tcW w:w="3255" w:type="dxa"/>
            <w:vAlign w:val="center"/>
          </w:tcPr>
          <w:p w:rsidR="00196713" w:rsidRPr="008B0565" w:rsidRDefault="00196713" w:rsidP="00AE03E7">
            <w:pPr>
              <w:spacing w:before="0"/>
              <w:jc w:val="center"/>
            </w:pPr>
            <w:r w:rsidRPr="008B0565">
              <w:rPr>
                <w:rFonts w:asciiTheme="minorHAnsi" w:hAnsiTheme="minorHAnsi"/>
                <w:color w:val="000000" w:themeColor="text1"/>
                <w:szCs w:val="24"/>
              </w:rPr>
              <w:t>HRMD/GTF</w:t>
            </w:r>
          </w:p>
        </w:tc>
        <w:tc>
          <w:tcPr>
            <w:tcW w:w="1276" w:type="dxa"/>
            <w:vAlign w:val="center"/>
          </w:tcPr>
          <w:p w:rsidR="00196713" w:rsidRPr="008B0565" w:rsidRDefault="00196713" w:rsidP="00333F12">
            <w:pPr>
              <w:spacing w:before="0"/>
            </w:pPr>
            <w:r w:rsidRPr="008B0565">
              <w:rPr>
                <w:rFonts w:asciiTheme="minorHAnsi" w:hAnsiTheme="minorHAnsi"/>
                <w:color w:val="000000" w:themeColor="text1"/>
                <w:szCs w:val="24"/>
              </w:rPr>
              <w:t>juil-août</w:t>
            </w:r>
          </w:p>
        </w:tc>
      </w:tr>
      <w:tr w:rsidR="00196713" w:rsidRPr="008B0565" w:rsidTr="008D2559">
        <w:tc>
          <w:tcPr>
            <w:tcW w:w="5245" w:type="dxa"/>
          </w:tcPr>
          <w:p w:rsidR="00196713" w:rsidRPr="008B0565" w:rsidRDefault="00196713" w:rsidP="00333F12">
            <w:pPr>
              <w:tabs>
                <w:tab w:val="left" w:pos="426"/>
                <w:tab w:val="center" w:pos="7655"/>
                <w:tab w:val="right" w:pos="9639"/>
              </w:tabs>
              <w:spacing w:before="0"/>
              <w:ind w:left="567" w:hanging="567"/>
            </w:pPr>
            <w:r w:rsidRPr="008B0565">
              <w:t>14.2</w:t>
            </w:r>
            <w:r w:rsidRPr="008B0565">
              <w:tab/>
            </w:r>
            <w:r w:rsidRPr="008B0565">
              <w:tab/>
            </w:r>
            <w:r w:rsidRPr="008B0565">
              <w:rPr>
                <w:rFonts w:asciiTheme="minorHAnsi" w:hAnsiTheme="minorHAnsi"/>
                <w:color w:val="000000"/>
                <w:szCs w:val="24"/>
              </w:rPr>
              <w:t>Plan de renforcement des capacités (mis à jour tous les 5 ans)</w:t>
            </w:r>
          </w:p>
        </w:tc>
        <w:tc>
          <w:tcPr>
            <w:tcW w:w="3255" w:type="dxa"/>
            <w:vAlign w:val="center"/>
          </w:tcPr>
          <w:p w:rsidR="00196713" w:rsidRPr="008B0565" w:rsidRDefault="00196713"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w:t>
            </w:r>
          </w:p>
        </w:tc>
        <w:tc>
          <w:tcPr>
            <w:tcW w:w="1276" w:type="dxa"/>
            <w:vAlign w:val="center"/>
          </w:tcPr>
          <w:p w:rsidR="00196713" w:rsidRPr="008B0565" w:rsidRDefault="00196713" w:rsidP="00333F12">
            <w:pPr>
              <w:spacing w:before="0"/>
            </w:pPr>
            <w:r w:rsidRPr="008B0565">
              <w:rPr>
                <w:rFonts w:asciiTheme="minorHAnsi" w:hAnsiTheme="minorHAnsi"/>
                <w:color w:val="000000" w:themeColor="text1"/>
                <w:szCs w:val="24"/>
              </w:rPr>
              <w:t>sep-nov</w:t>
            </w:r>
          </w:p>
        </w:tc>
      </w:tr>
    </w:tbl>
    <w:p w:rsidR="009A3974" w:rsidRPr="008B0565" w:rsidRDefault="00477A68" w:rsidP="00477A68">
      <w:pPr>
        <w:pStyle w:val="Heading1"/>
        <w:spacing w:before="240"/>
      </w:pPr>
      <w:r w:rsidRPr="008B0565">
        <w:t>15</w:t>
      </w:r>
      <w:r w:rsidRPr="008B0565">
        <w:tab/>
      </w:r>
      <w:r w:rsidR="009A3974" w:rsidRPr="008B0565">
        <w:t>Renforcement des capacités</w:t>
      </w:r>
    </w:p>
    <w:p w:rsidR="009A3974" w:rsidRPr="00E76871" w:rsidRDefault="009A3974" w:rsidP="00477A68">
      <w:pPr>
        <w:pStyle w:val="Heading1"/>
        <w:pBdr>
          <w:bottom w:val="single" w:sz="4" w:space="1" w:color="auto"/>
        </w:pBdr>
        <w:spacing w:before="0"/>
        <w:rPr>
          <w:sz w:val="24"/>
          <w:szCs w:val="18"/>
        </w:rPr>
      </w:pPr>
      <w:r w:rsidRPr="00E76871">
        <w:rPr>
          <w:sz w:val="24"/>
          <w:szCs w:val="18"/>
        </w:rPr>
        <w:t>Situation en 2016 au regard de l</w:t>
      </w:r>
      <w:r w:rsidR="00266092" w:rsidRPr="00E76871">
        <w:rPr>
          <w:sz w:val="24"/>
          <w:szCs w:val="18"/>
        </w:rPr>
        <w:t>'</w:t>
      </w:r>
      <w:r w:rsidRPr="00E76871">
        <w:rPr>
          <w:sz w:val="24"/>
          <w:szCs w:val="18"/>
        </w:rPr>
        <w:t xml:space="preserve">ONU-SWAP: </w:t>
      </w:r>
      <w:r w:rsidRPr="00E76871">
        <w:rPr>
          <w:b w:val="0"/>
          <w:bCs/>
          <w:sz w:val="24"/>
          <w:szCs w:val="18"/>
        </w:rPr>
        <w:t>proche du niveau exigé</w:t>
      </w:r>
    </w:p>
    <w:p w:rsidR="009A3974" w:rsidRPr="008B0565" w:rsidRDefault="009A3974" w:rsidP="00477A68">
      <w:pPr>
        <w:spacing w:after="120"/>
      </w:pPr>
      <w:r w:rsidRPr="008B0565">
        <w:t>Pour satisfaire aux indicateurs de performance de l</w:t>
      </w:r>
      <w:r w:rsidR="00266092" w:rsidRPr="008B0565">
        <w:t>'</w:t>
      </w:r>
      <w:r w:rsidRPr="008B0565">
        <w:t>ONU-SWAP, l</w:t>
      </w:r>
      <w:r w:rsidR="00266092" w:rsidRPr="008B0565">
        <w:t>'</w:t>
      </w:r>
      <w:r w:rsidRPr="008B0565">
        <w:t>UIT devrait dispenser une formation aux questions relatives à l</w:t>
      </w:r>
      <w:r w:rsidR="00266092" w:rsidRPr="008B0565">
        <w:t>'</w:t>
      </w:r>
      <w:r w:rsidRPr="008B0565">
        <w:t>égalité des sexes et à l</w:t>
      </w:r>
      <w:r w:rsidR="00266092" w:rsidRPr="008B0565">
        <w:t>'</w:t>
      </w:r>
      <w:r w:rsidRPr="008B0565">
        <w:t>autonomisation des femmes à tout le personnel concerné – au moins une journée de formation pour tout nouveau fonctionnaire au cours de sa première année, puis au moins une journée de formation tous les deux ans par la suite. Les spécialistes des questions de genre et les responsables chargés des questions de genre suivent des formations spécifiques sur mesure (au moins deux jours de formation par an sur l</w:t>
      </w:r>
      <w:r w:rsidR="00266092" w:rsidRPr="008B0565">
        <w:t>'</w:t>
      </w:r>
      <w:r w:rsidRPr="008B0565">
        <w:t>égalité hommes/femmes et l</w:t>
      </w:r>
      <w:r w:rsidR="00266092" w:rsidRPr="008B0565">
        <w:t>'</w:t>
      </w:r>
      <w:r w:rsidRPr="008B0565">
        <w:t xml:space="preserve">autonomisation des </w:t>
      </w:r>
      <w:r w:rsidR="00477A68" w:rsidRPr="008B0565">
        <w:t>femmes).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477A68" w:rsidRPr="008B0565" w:rsidTr="008D2559">
        <w:tc>
          <w:tcPr>
            <w:tcW w:w="5245" w:type="dxa"/>
            <w:vAlign w:val="center"/>
          </w:tcPr>
          <w:p w:rsidR="00477A68" w:rsidRPr="008B0565" w:rsidRDefault="00477A68" w:rsidP="00C33968">
            <w:pPr>
              <w:keepNext/>
              <w:keepLines/>
              <w:spacing w:before="0"/>
              <w:rPr>
                <w:u w:val="single"/>
              </w:rPr>
            </w:pPr>
            <w:r w:rsidRPr="008B0565">
              <w:rPr>
                <w:u w:val="single"/>
              </w:rPr>
              <w:lastRenderedPageBreak/>
              <w:t>Produits</w:t>
            </w:r>
          </w:p>
        </w:tc>
        <w:tc>
          <w:tcPr>
            <w:tcW w:w="3255" w:type="dxa"/>
            <w:vAlign w:val="center"/>
          </w:tcPr>
          <w:p w:rsidR="00477A68" w:rsidRPr="008B0565" w:rsidRDefault="00477A68" w:rsidP="00C33968">
            <w:pPr>
              <w:keepNext/>
              <w:keepLines/>
              <w:spacing w:before="0"/>
              <w:rPr>
                <w:u w:val="single"/>
              </w:rPr>
            </w:pPr>
            <w:r w:rsidRPr="008B0565">
              <w:rPr>
                <w:u w:val="single"/>
              </w:rPr>
              <w:t>Entité responsable/concernée</w:t>
            </w:r>
          </w:p>
        </w:tc>
        <w:tc>
          <w:tcPr>
            <w:tcW w:w="1276" w:type="dxa"/>
            <w:vAlign w:val="center"/>
          </w:tcPr>
          <w:p w:rsidR="00477A68" w:rsidRPr="008B0565" w:rsidRDefault="00477A68" w:rsidP="008D2559">
            <w:pPr>
              <w:tabs>
                <w:tab w:val="clear" w:pos="2835"/>
                <w:tab w:val="left" w:pos="5812"/>
                <w:tab w:val="center" w:pos="7655"/>
                <w:tab w:val="right" w:pos="9639"/>
              </w:tabs>
              <w:spacing w:before="0"/>
              <w:rPr>
                <w:u w:val="single"/>
              </w:rPr>
            </w:pPr>
            <w:r w:rsidRPr="008B0565">
              <w:rPr>
                <w:u w:val="single"/>
              </w:rPr>
              <w:t>Délai</w:t>
            </w:r>
          </w:p>
        </w:tc>
      </w:tr>
      <w:tr w:rsidR="00477A68" w:rsidRPr="008B0565" w:rsidTr="008D2559">
        <w:tc>
          <w:tcPr>
            <w:tcW w:w="5245" w:type="dxa"/>
          </w:tcPr>
          <w:p w:rsidR="00477A68" w:rsidRPr="008B0565" w:rsidRDefault="00477A68" w:rsidP="00C33968">
            <w:pPr>
              <w:keepNext/>
              <w:keepLines/>
              <w:tabs>
                <w:tab w:val="left" w:pos="426"/>
                <w:tab w:val="center" w:pos="7655"/>
                <w:tab w:val="right" w:pos="9639"/>
              </w:tabs>
              <w:spacing w:before="0"/>
              <w:ind w:left="567" w:hanging="567"/>
            </w:pPr>
            <w:r w:rsidRPr="008B0565">
              <w:t>15.1</w:t>
            </w:r>
            <w:r w:rsidRPr="008B0565">
              <w:tab/>
            </w:r>
            <w:r w:rsidRPr="008B0565">
              <w:tab/>
            </w:r>
            <w:r w:rsidRPr="008B0565">
              <w:rPr>
                <w:rFonts w:asciiTheme="minorHAnsi" w:hAnsiTheme="minorHAnsi"/>
                <w:szCs w:val="24"/>
              </w:rPr>
              <w:t>Encourager/demander une formation "I Know Gender"</w:t>
            </w:r>
          </w:p>
        </w:tc>
        <w:tc>
          <w:tcPr>
            <w:tcW w:w="3255" w:type="dxa"/>
            <w:vAlign w:val="center"/>
          </w:tcPr>
          <w:p w:rsidR="00477A68" w:rsidRPr="008B0565" w:rsidRDefault="00477A68" w:rsidP="00AE03E7">
            <w:pPr>
              <w:keepNext/>
              <w:keepLines/>
              <w:spacing w:before="0"/>
              <w:jc w:val="center"/>
            </w:pPr>
            <w:r w:rsidRPr="008B0565">
              <w:rPr>
                <w:rFonts w:asciiTheme="minorHAnsi" w:hAnsiTheme="minorHAnsi"/>
                <w:color w:val="000000" w:themeColor="text1"/>
                <w:szCs w:val="24"/>
              </w:rPr>
              <w:t>HRMD/GTF</w:t>
            </w:r>
          </w:p>
        </w:tc>
        <w:tc>
          <w:tcPr>
            <w:tcW w:w="1276" w:type="dxa"/>
            <w:vAlign w:val="center"/>
          </w:tcPr>
          <w:p w:rsidR="00477A68" w:rsidRPr="008B0565" w:rsidRDefault="00477A68" w:rsidP="0066504D">
            <w:pPr>
              <w:spacing w:before="0"/>
            </w:pPr>
            <w:r w:rsidRPr="008B0565">
              <w:rPr>
                <w:rFonts w:asciiTheme="minorHAnsi" w:hAnsiTheme="minorHAnsi"/>
                <w:color w:val="000000" w:themeColor="text1"/>
                <w:szCs w:val="24"/>
              </w:rPr>
              <w:t>avr-déc</w:t>
            </w:r>
          </w:p>
        </w:tc>
      </w:tr>
      <w:tr w:rsidR="00477A68" w:rsidRPr="008B0565" w:rsidTr="008D2559">
        <w:tc>
          <w:tcPr>
            <w:tcW w:w="5245" w:type="dxa"/>
          </w:tcPr>
          <w:p w:rsidR="00477A68" w:rsidRPr="008B0565" w:rsidRDefault="00477A68" w:rsidP="00AC1542">
            <w:pPr>
              <w:tabs>
                <w:tab w:val="left" w:pos="426"/>
                <w:tab w:val="center" w:pos="7655"/>
                <w:tab w:val="right" w:pos="9639"/>
              </w:tabs>
              <w:spacing w:before="0"/>
              <w:ind w:left="567" w:hanging="567"/>
            </w:pPr>
            <w:r w:rsidRPr="008B0565">
              <w:t>15.2</w:t>
            </w:r>
            <w:r w:rsidRPr="008B0565">
              <w:tab/>
            </w:r>
            <w:r w:rsidRPr="008B0565">
              <w:tab/>
            </w:r>
            <w:r w:rsidRPr="008B0565">
              <w:rPr>
                <w:rFonts w:asciiTheme="minorHAnsi" w:hAnsiTheme="minorHAnsi"/>
                <w:color w:val="000000"/>
                <w:szCs w:val="24"/>
              </w:rPr>
              <w:t>Références aux questions d'égalité hommes/femmes dans</w:t>
            </w:r>
            <w:r w:rsidR="0066504D" w:rsidRPr="008B0565">
              <w:rPr>
                <w:rFonts w:asciiTheme="minorHAnsi" w:hAnsiTheme="minorHAnsi"/>
                <w:color w:val="000000"/>
                <w:szCs w:val="24"/>
              </w:rPr>
              <w:t xml:space="preserve"> </w:t>
            </w:r>
            <w:r w:rsidRPr="008B0565">
              <w:rPr>
                <w:rFonts w:asciiTheme="minorHAnsi" w:hAnsiTheme="minorHAnsi"/>
                <w:color w:val="000000"/>
                <w:szCs w:val="24"/>
              </w:rPr>
              <w:t>la formation dispensée à l'entrée en fonction/le livret d'accueil</w:t>
            </w:r>
            <w:r w:rsidR="0066504D" w:rsidRPr="008B0565">
              <w:rPr>
                <w:rFonts w:asciiTheme="minorHAnsi" w:hAnsiTheme="minorHAnsi"/>
                <w:color w:val="000000"/>
                <w:szCs w:val="24"/>
              </w:rPr>
              <w:t xml:space="preserve"> </w:t>
            </w:r>
            <w:r w:rsidRPr="008B0565">
              <w:rPr>
                <w:rFonts w:asciiTheme="minorHAnsi" w:hAnsiTheme="minorHAnsi"/>
                <w:color w:val="000000"/>
                <w:szCs w:val="24"/>
              </w:rPr>
              <w:t>des nouveaux fonctionnaires</w:t>
            </w:r>
          </w:p>
        </w:tc>
        <w:tc>
          <w:tcPr>
            <w:tcW w:w="3255" w:type="dxa"/>
            <w:vAlign w:val="center"/>
          </w:tcPr>
          <w:p w:rsidR="00477A68" w:rsidRPr="008B0565" w:rsidRDefault="00477A68"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w:t>
            </w:r>
          </w:p>
        </w:tc>
        <w:tc>
          <w:tcPr>
            <w:tcW w:w="1276" w:type="dxa"/>
            <w:vAlign w:val="center"/>
          </w:tcPr>
          <w:p w:rsidR="00477A68" w:rsidRPr="008B0565" w:rsidRDefault="00477A68" w:rsidP="0066504D">
            <w:pPr>
              <w:spacing w:before="0"/>
            </w:pPr>
            <w:r w:rsidRPr="008B0565">
              <w:rPr>
                <w:rFonts w:asciiTheme="minorHAnsi" w:hAnsiTheme="minorHAnsi"/>
                <w:color w:val="000000" w:themeColor="text1"/>
                <w:szCs w:val="24"/>
              </w:rPr>
              <w:t>juin-août</w:t>
            </w:r>
          </w:p>
        </w:tc>
      </w:tr>
      <w:tr w:rsidR="00477A68" w:rsidRPr="008B0565" w:rsidTr="008D2559">
        <w:tc>
          <w:tcPr>
            <w:tcW w:w="5245" w:type="dxa"/>
          </w:tcPr>
          <w:p w:rsidR="00477A68" w:rsidRPr="008B0565" w:rsidRDefault="00477A68" w:rsidP="0066504D">
            <w:pPr>
              <w:tabs>
                <w:tab w:val="left" w:pos="426"/>
                <w:tab w:val="center" w:pos="7655"/>
                <w:tab w:val="right" w:pos="9639"/>
              </w:tabs>
              <w:spacing w:before="0"/>
              <w:ind w:left="567" w:hanging="567"/>
            </w:pPr>
            <w:r w:rsidRPr="008B0565">
              <w:t>15.3</w:t>
            </w:r>
            <w:r w:rsidRPr="008B0565">
              <w:tab/>
            </w:r>
            <w:r w:rsidRPr="008B0565">
              <w:tab/>
            </w:r>
            <w:r w:rsidRPr="008B0565">
              <w:rPr>
                <w:rFonts w:asciiTheme="minorHAnsi" w:hAnsiTheme="minorHAnsi"/>
                <w:color w:val="000000"/>
                <w:szCs w:val="24"/>
              </w:rPr>
              <w:t>Formation aux questions d'égalité hommes/femmes</w:t>
            </w:r>
            <w:r w:rsidR="0066504D" w:rsidRPr="008B0565">
              <w:rPr>
                <w:rFonts w:asciiTheme="minorHAnsi" w:hAnsiTheme="minorHAnsi"/>
                <w:color w:val="000000"/>
                <w:szCs w:val="24"/>
              </w:rPr>
              <w:t xml:space="preserve"> </w:t>
            </w:r>
            <w:r w:rsidRPr="008B0565">
              <w:rPr>
                <w:rFonts w:asciiTheme="minorHAnsi" w:hAnsiTheme="minorHAnsi"/>
                <w:color w:val="000000"/>
                <w:szCs w:val="24"/>
              </w:rPr>
              <w:t>pour les nouveaux fonctionnaires /tous les fonctionnaires (1</w:t>
            </w:r>
            <w:r w:rsidR="0066504D" w:rsidRPr="008B0565">
              <w:rPr>
                <w:rFonts w:asciiTheme="minorHAnsi" w:hAnsiTheme="minorHAnsi"/>
                <w:color w:val="000000"/>
                <w:szCs w:val="24"/>
              </w:rPr>
              <w:t> </w:t>
            </w:r>
            <w:r w:rsidRPr="008B0565">
              <w:rPr>
                <w:rFonts w:asciiTheme="minorHAnsi" w:hAnsiTheme="minorHAnsi"/>
                <w:color w:val="000000"/>
                <w:szCs w:val="24"/>
              </w:rPr>
              <w:t>journée)</w:t>
            </w:r>
          </w:p>
        </w:tc>
        <w:tc>
          <w:tcPr>
            <w:tcW w:w="3255" w:type="dxa"/>
            <w:vAlign w:val="center"/>
          </w:tcPr>
          <w:p w:rsidR="00477A68" w:rsidRPr="008B0565" w:rsidRDefault="00477A68"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HRMD/GTF</w:t>
            </w:r>
          </w:p>
        </w:tc>
        <w:tc>
          <w:tcPr>
            <w:tcW w:w="1276" w:type="dxa"/>
            <w:vAlign w:val="center"/>
          </w:tcPr>
          <w:p w:rsidR="00477A68" w:rsidRPr="008B0565" w:rsidRDefault="00477A68" w:rsidP="0066504D">
            <w:pPr>
              <w:spacing w:before="0"/>
              <w:rPr>
                <w:rFonts w:asciiTheme="minorHAnsi" w:hAnsiTheme="minorHAnsi"/>
                <w:color w:val="000000" w:themeColor="text1"/>
                <w:szCs w:val="24"/>
              </w:rPr>
            </w:pPr>
            <w:r w:rsidRPr="008B0565">
              <w:rPr>
                <w:rFonts w:asciiTheme="minorHAnsi" w:hAnsiTheme="minorHAnsi"/>
                <w:color w:val="000000" w:themeColor="text1"/>
                <w:szCs w:val="24"/>
              </w:rPr>
              <w:t>oct-déc</w:t>
            </w:r>
          </w:p>
        </w:tc>
      </w:tr>
      <w:tr w:rsidR="00477A68" w:rsidRPr="008B0565" w:rsidTr="008D2559">
        <w:tc>
          <w:tcPr>
            <w:tcW w:w="5245" w:type="dxa"/>
          </w:tcPr>
          <w:p w:rsidR="00477A68" w:rsidRPr="008B0565" w:rsidRDefault="00477A68" w:rsidP="0066504D">
            <w:pPr>
              <w:tabs>
                <w:tab w:val="left" w:pos="426"/>
                <w:tab w:val="center" w:pos="7655"/>
                <w:tab w:val="right" w:pos="9639"/>
              </w:tabs>
              <w:spacing w:before="0"/>
              <w:ind w:left="567" w:hanging="567"/>
            </w:pPr>
            <w:r w:rsidRPr="008B0565">
              <w:t>15.4</w:t>
            </w:r>
            <w:r w:rsidRPr="008B0565">
              <w:tab/>
            </w:r>
            <w:r w:rsidRPr="008B0565">
              <w:tab/>
            </w:r>
            <w:r w:rsidRPr="008B0565">
              <w:rPr>
                <w:rFonts w:asciiTheme="minorHAnsi" w:hAnsiTheme="minorHAnsi"/>
                <w:color w:val="000000" w:themeColor="text1"/>
                <w:szCs w:val="24"/>
              </w:rPr>
              <w:t>Formation des responsables des questions de genre du</w:t>
            </w:r>
            <w:r w:rsidR="0066504D" w:rsidRPr="008B0565">
              <w:rPr>
                <w:rFonts w:asciiTheme="minorHAnsi" w:hAnsiTheme="minorHAnsi"/>
                <w:color w:val="000000" w:themeColor="text1"/>
                <w:szCs w:val="24"/>
              </w:rPr>
              <w:t xml:space="preserve"> </w:t>
            </w:r>
            <w:r w:rsidRPr="008B0565">
              <w:rPr>
                <w:rFonts w:asciiTheme="minorHAnsi" w:hAnsiTheme="minorHAnsi"/>
                <w:color w:val="000000" w:themeColor="text1"/>
                <w:szCs w:val="24"/>
              </w:rPr>
              <w:t>GTF (consultations)</w:t>
            </w:r>
          </w:p>
        </w:tc>
        <w:tc>
          <w:tcPr>
            <w:tcW w:w="3255" w:type="dxa"/>
            <w:vAlign w:val="center"/>
          </w:tcPr>
          <w:p w:rsidR="00477A68" w:rsidRPr="008B0565" w:rsidRDefault="00477A68"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HRMD/GTF</w:t>
            </w:r>
          </w:p>
        </w:tc>
        <w:tc>
          <w:tcPr>
            <w:tcW w:w="1276" w:type="dxa"/>
            <w:vAlign w:val="center"/>
          </w:tcPr>
          <w:p w:rsidR="00477A68" w:rsidRPr="008B0565" w:rsidRDefault="00477A68" w:rsidP="0066504D">
            <w:pPr>
              <w:spacing w:before="0"/>
              <w:rPr>
                <w:rFonts w:asciiTheme="minorHAnsi" w:hAnsiTheme="minorHAnsi"/>
                <w:color w:val="000000" w:themeColor="text1"/>
                <w:szCs w:val="24"/>
              </w:rPr>
            </w:pPr>
            <w:r w:rsidRPr="008B0565">
              <w:rPr>
                <w:rFonts w:asciiTheme="minorHAnsi" w:hAnsiTheme="minorHAnsi"/>
                <w:color w:val="000000" w:themeColor="text1"/>
                <w:szCs w:val="24"/>
              </w:rPr>
              <w:t>oct-déc</w:t>
            </w:r>
          </w:p>
        </w:tc>
      </w:tr>
    </w:tbl>
    <w:p w:rsidR="009A3974" w:rsidRPr="008B0565" w:rsidRDefault="00477A68" w:rsidP="0066504D">
      <w:pPr>
        <w:pStyle w:val="Heading1"/>
        <w:spacing w:before="240"/>
      </w:pPr>
      <w:r w:rsidRPr="008B0565">
        <w:t>16</w:t>
      </w:r>
      <w:r w:rsidRPr="008B0565">
        <w:tab/>
      </w:r>
      <w:r w:rsidR="009A3974" w:rsidRPr="008B0565">
        <w:t>Création des</w:t>
      </w:r>
      <w:r w:rsidRPr="008B0565">
        <w:t xml:space="preserve"> connaissances et communication</w:t>
      </w:r>
    </w:p>
    <w:p w:rsidR="009A3974" w:rsidRPr="00E76871" w:rsidRDefault="009A3974" w:rsidP="00477A68">
      <w:pPr>
        <w:pStyle w:val="Heading1"/>
        <w:pBdr>
          <w:bottom w:val="single" w:sz="4" w:space="1" w:color="auto"/>
        </w:pBdr>
        <w:spacing w:before="0"/>
        <w:rPr>
          <w:sz w:val="24"/>
          <w:szCs w:val="18"/>
        </w:rPr>
      </w:pPr>
      <w:r w:rsidRPr="00E76871">
        <w:rPr>
          <w:sz w:val="24"/>
          <w:szCs w:val="18"/>
        </w:rPr>
        <w:t>Situation en 2016 au regard de l</w:t>
      </w:r>
      <w:r w:rsidR="00266092" w:rsidRPr="00E76871">
        <w:rPr>
          <w:sz w:val="24"/>
          <w:szCs w:val="18"/>
        </w:rPr>
        <w:t>'</w:t>
      </w:r>
      <w:r w:rsidRPr="00E76871">
        <w:rPr>
          <w:sz w:val="24"/>
          <w:szCs w:val="18"/>
        </w:rPr>
        <w:t xml:space="preserve">ONU-SWAP: </w:t>
      </w:r>
      <w:r w:rsidRPr="00E76871">
        <w:rPr>
          <w:b w:val="0"/>
          <w:bCs/>
          <w:sz w:val="24"/>
          <w:szCs w:val="18"/>
        </w:rPr>
        <w:t>satisfait aux exigences</w:t>
      </w:r>
    </w:p>
    <w:p w:rsidR="009A3974" w:rsidRPr="008B0565" w:rsidRDefault="009A3974" w:rsidP="00C33968">
      <w:pPr>
        <w:spacing w:after="120"/>
      </w:pPr>
      <w:r w:rsidRPr="008B0565">
        <w:t>Pour satisfaire aux indicateurs de performance de l</w:t>
      </w:r>
      <w:r w:rsidR="00266092" w:rsidRPr="008B0565">
        <w:t>'</w:t>
      </w:r>
      <w:r w:rsidRPr="008B0565">
        <w:t>ONU-SWAP, l</w:t>
      </w:r>
      <w:r w:rsidR="00266092" w:rsidRPr="008B0565">
        <w:t>'</w:t>
      </w:r>
      <w:r w:rsidRPr="008B0565">
        <w:t>UIT devrait régulièrement rassembler et diffuser des informations sur le rôle joué par les TIC en faveur de l</w:t>
      </w:r>
      <w:r w:rsidR="00266092" w:rsidRPr="008B0565">
        <w:t>'</w:t>
      </w:r>
      <w:r w:rsidRPr="008B0565">
        <w:t>égalité hommes/femmes et de l</w:t>
      </w:r>
      <w:r w:rsidR="00266092" w:rsidRPr="008B0565">
        <w:t>'</w:t>
      </w:r>
      <w:r w:rsidRPr="008B0565">
        <w:t>autonomisation des femmes, ainsi que sur la représentation et la situation des femmes au sein de l</w:t>
      </w:r>
      <w:r w:rsidR="00266092" w:rsidRPr="008B0565">
        <w:t>'</w:t>
      </w:r>
      <w:r w:rsidRPr="008B0565">
        <w:t>UIT. Le plan de communication devrait placer l</w:t>
      </w:r>
      <w:r w:rsidR="00266092" w:rsidRPr="008B0565">
        <w:t>'</w:t>
      </w:r>
      <w:r w:rsidRPr="008B0565">
        <w:t>égalité hommes/femmes et l</w:t>
      </w:r>
      <w:r w:rsidR="00266092" w:rsidRPr="008B0565">
        <w:t>'</w:t>
      </w:r>
      <w:r w:rsidRPr="008B0565">
        <w:t>autonomisation des femmes au coeur de la diffusion d</w:t>
      </w:r>
      <w:r w:rsidR="00266092" w:rsidRPr="008B0565">
        <w:t>'</w:t>
      </w:r>
      <w:r w:rsidRPr="008B0565">
        <w:t>informations interne et externe. Les communications publiques devraient intégrer une perspective de genre et attirer l</w:t>
      </w:r>
      <w:r w:rsidR="00266092" w:rsidRPr="008B0565">
        <w:t>'</w:t>
      </w:r>
      <w:r w:rsidRPr="008B0565">
        <w:t>attention sur la dimension hommes/femmes chaque fois que nécessaire. La communication interne devrait être axée sur la représentation et la situation des femmes au sein de l</w:t>
      </w:r>
      <w:r w:rsidR="00266092" w:rsidRPr="008B0565">
        <w:t>'</w:t>
      </w:r>
      <w:r w:rsidR="00477A68" w:rsidRPr="008B0565">
        <w:t>Union.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C33968" w:rsidRPr="008B0565" w:rsidTr="008D2559">
        <w:tc>
          <w:tcPr>
            <w:tcW w:w="5245" w:type="dxa"/>
            <w:vAlign w:val="center"/>
          </w:tcPr>
          <w:p w:rsidR="00C33968" w:rsidRPr="008B0565" w:rsidRDefault="00C33968" w:rsidP="008D2559">
            <w:pPr>
              <w:keepNext/>
              <w:keepLines/>
              <w:spacing w:before="0"/>
              <w:rPr>
                <w:u w:val="single"/>
              </w:rPr>
            </w:pPr>
            <w:r w:rsidRPr="008B0565">
              <w:rPr>
                <w:u w:val="single"/>
              </w:rPr>
              <w:t>Produits</w:t>
            </w:r>
          </w:p>
        </w:tc>
        <w:tc>
          <w:tcPr>
            <w:tcW w:w="3255" w:type="dxa"/>
            <w:vAlign w:val="center"/>
          </w:tcPr>
          <w:p w:rsidR="00C33968" w:rsidRPr="008B0565" w:rsidRDefault="00C33968" w:rsidP="008D2559">
            <w:pPr>
              <w:keepNext/>
              <w:keepLines/>
              <w:spacing w:before="0"/>
              <w:rPr>
                <w:u w:val="single"/>
              </w:rPr>
            </w:pPr>
            <w:r w:rsidRPr="008B0565">
              <w:rPr>
                <w:u w:val="single"/>
              </w:rPr>
              <w:t>Entité responsable/concernée</w:t>
            </w:r>
          </w:p>
        </w:tc>
        <w:tc>
          <w:tcPr>
            <w:tcW w:w="1276" w:type="dxa"/>
            <w:vAlign w:val="center"/>
          </w:tcPr>
          <w:p w:rsidR="00C33968" w:rsidRPr="008B0565" w:rsidRDefault="00C33968" w:rsidP="008D2559">
            <w:pPr>
              <w:tabs>
                <w:tab w:val="clear" w:pos="2835"/>
                <w:tab w:val="left" w:pos="5812"/>
                <w:tab w:val="center" w:pos="7655"/>
                <w:tab w:val="right" w:pos="9639"/>
              </w:tabs>
              <w:spacing w:before="0"/>
              <w:rPr>
                <w:u w:val="single"/>
              </w:rPr>
            </w:pPr>
            <w:r w:rsidRPr="008B0565">
              <w:rPr>
                <w:u w:val="single"/>
              </w:rPr>
              <w:t>Délai</w:t>
            </w:r>
          </w:p>
        </w:tc>
      </w:tr>
      <w:tr w:rsidR="00C33968" w:rsidRPr="008B0565" w:rsidTr="008D2559">
        <w:tc>
          <w:tcPr>
            <w:tcW w:w="5245" w:type="dxa"/>
          </w:tcPr>
          <w:p w:rsidR="00C33968" w:rsidRPr="008B0565" w:rsidRDefault="00C33968" w:rsidP="00C33968">
            <w:pPr>
              <w:keepNext/>
              <w:keepLines/>
              <w:tabs>
                <w:tab w:val="left" w:pos="426"/>
                <w:tab w:val="center" w:pos="7655"/>
                <w:tab w:val="right" w:pos="9639"/>
              </w:tabs>
              <w:spacing w:before="0"/>
              <w:ind w:left="567" w:hanging="567"/>
            </w:pPr>
            <w:r w:rsidRPr="008B0565">
              <w:t>16.1</w:t>
            </w:r>
            <w:r w:rsidRPr="008B0565">
              <w:tab/>
            </w:r>
            <w:r w:rsidRPr="008B0565">
              <w:tab/>
            </w:r>
            <w:r w:rsidRPr="008B0565">
              <w:rPr>
                <w:rFonts w:asciiTheme="minorHAnsi" w:hAnsiTheme="minorHAnsi"/>
                <w:szCs w:val="24"/>
              </w:rPr>
              <w:t>Kit de base du GTF (mandat, liens, informations générales, etc.)</w:t>
            </w:r>
          </w:p>
        </w:tc>
        <w:tc>
          <w:tcPr>
            <w:tcW w:w="3255" w:type="dxa"/>
            <w:vAlign w:val="center"/>
          </w:tcPr>
          <w:p w:rsidR="00C33968" w:rsidRPr="008B0565" w:rsidRDefault="00C33968" w:rsidP="00AE03E7">
            <w:pPr>
              <w:keepNext/>
              <w:keepLines/>
              <w:spacing w:before="0"/>
              <w:jc w:val="center"/>
            </w:pPr>
            <w:r w:rsidRPr="008B0565">
              <w:rPr>
                <w:rFonts w:asciiTheme="minorHAnsi" w:hAnsiTheme="minorHAnsi"/>
                <w:color w:val="000000" w:themeColor="text1"/>
                <w:szCs w:val="24"/>
              </w:rPr>
              <w:t>GTF</w:t>
            </w:r>
          </w:p>
        </w:tc>
        <w:tc>
          <w:tcPr>
            <w:tcW w:w="1276" w:type="dxa"/>
            <w:vAlign w:val="center"/>
          </w:tcPr>
          <w:p w:rsidR="00C33968" w:rsidRPr="008B0565" w:rsidRDefault="00C33968" w:rsidP="008D2559">
            <w:pPr>
              <w:spacing w:before="0"/>
            </w:pPr>
            <w:r w:rsidRPr="008B0565">
              <w:rPr>
                <w:rFonts w:asciiTheme="minorHAnsi" w:hAnsiTheme="minorHAnsi"/>
                <w:color w:val="000000" w:themeColor="text1"/>
                <w:szCs w:val="24"/>
              </w:rPr>
              <w:t>juin-août</w:t>
            </w:r>
          </w:p>
        </w:tc>
      </w:tr>
      <w:tr w:rsidR="00C33968" w:rsidRPr="008B0565" w:rsidTr="008D2559">
        <w:tc>
          <w:tcPr>
            <w:tcW w:w="5245" w:type="dxa"/>
          </w:tcPr>
          <w:p w:rsidR="00C33968" w:rsidRPr="008B0565" w:rsidRDefault="00C33968" w:rsidP="008D2559">
            <w:pPr>
              <w:tabs>
                <w:tab w:val="left" w:pos="426"/>
                <w:tab w:val="center" w:pos="7655"/>
                <w:tab w:val="right" w:pos="9639"/>
              </w:tabs>
              <w:spacing w:before="0"/>
              <w:ind w:left="567" w:hanging="567"/>
            </w:pPr>
            <w:r w:rsidRPr="008B0565">
              <w:t>16.2</w:t>
            </w:r>
            <w:r w:rsidRPr="008B0565">
              <w:tab/>
            </w:r>
            <w:r w:rsidRPr="008B0565">
              <w:tab/>
            </w:r>
            <w:r w:rsidRPr="008B0565">
              <w:rPr>
                <w:rFonts w:asciiTheme="minorHAnsi" w:hAnsiTheme="minorHAnsi"/>
                <w:color w:val="000000"/>
                <w:szCs w:val="24"/>
              </w:rPr>
              <w:t>Stratégie de communication interne (Lignes directrices de l'UIT)</w:t>
            </w:r>
          </w:p>
        </w:tc>
        <w:tc>
          <w:tcPr>
            <w:tcW w:w="3255" w:type="dxa"/>
            <w:vAlign w:val="center"/>
          </w:tcPr>
          <w:p w:rsidR="00C33968" w:rsidRPr="008B0565" w:rsidRDefault="00C33968"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COMM</w:t>
            </w:r>
          </w:p>
        </w:tc>
        <w:tc>
          <w:tcPr>
            <w:tcW w:w="1276" w:type="dxa"/>
            <w:vAlign w:val="center"/>
          </w:tcPr>
          <w:p w:rsidR="00C33968" w:rsidRPr="008B0565" w:rsidRDefault="00C33968" w:rsidP="008D2559">
            <w:pPr>
              <w:spacing w:before="0"/>
            </w:pPr>
            <w:r w:rsidRPr="008B0565">
              <w:rPr>
                <w:rFonts w:asciiTheme="minorHAnsi" w:hAnsiTheme="minorHAnsi"/>
                <w:color w:val="000000" w:themeColor="text1"/>
                <w:szCs w:val="24"/>
              </w:rPr>
              <w:t>juil-sep</w:t>
            </w:r>
          </w:p>
        </w:tc>
      </w:tr>
      <w:tr w:rsidR="00C33968" w:rsidRPr="008B0565" w:rsidTr="008D2559">
        <w:tc>
          <w:tcPr>
            <w:tcW w:w="5245" w:type="dxa"/>
          </w:tcPr>
          <w:p w:rsidR="00C33968" w:rsidRPr="008B0565" w:rsidRDefault="00C33968" w:rsidP="008D2559">
            <w:pPr>
              <w:tabs>
                <w:tab w:val="left" w:pos="426"/>
                <w:tab w:val="center" w:pos="7655"/>
                <w:tab w:val="right" w:pos="9639"/>
              </w:tabs>
              <w:spacing w:before="0"/>
              <w:ind w:left="567" w:hanging="567"/>
            </w:pPr>
            <w:r w:rsidRPr="008B0565">
              <w:t>16.3</w:t>
            </w:r>
            <w:r w:rsidRPr="008B0565">
              <w:tab/>
            </w:r>
            <w:r w:rsidRPr="008B0565">
              <w:tab/>
            </w:r>
            <w:r w:rsidRPr="008B0565">
              <w:rPr>
                <w:rFonts w:asciiTheme="minorHAnsi" w:hAnsiTheme="minorHAnsi"/>
                <w:color w:val="000000"/>
                <w:szCs w:val="24"/>
              </w:rPr>
              <w:t>Mise à jour du logiciel SharePoint</w:t>
            </w:r>
          </w:p>
        </w:tc>
        <w:tc>
          <w:tcPr>
            <w:tcW w:w="3255" w:type="dxa"/>
            <w:vAlign w:val="center"/>
          </w:tcPr>
          <w:p w:rsidR="00C33968" w:rsidRPr="008B0565" w:rsidRDefault="00C33968"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GTF</w:t>
            </w:r>
          </w:p>
        </w:tc>
        <w:tc>
          <w:tcPr>
            <w:tcW w:w="1276" w:type="dxa"/>
            <w:vAlign w:val="center"/>
          </w:tcPr>
          <w:p w:rsidR="00C33968" w:rsidRPr="008B0565" w:rsidRDefault="00C33968" w:rsidP="008D2559">
            <w:pPr>
              <w:spacing w:before="0"/>
              <w:rPr>
                <w:rFonts w:asciiTheme="minorHAnsi" w:hAnsiTheme="minorHAnsi"/>
                <w:color w:val="000000" w:themeColor="text1"/>
                <w:szCs w:val="24"/>
              </w:rPr>
            </w:pPr>
            <w:r w:rsidRPr="008B0565">
              <w:rPr>
                <w:rFonts w:asciiTheme="minorHAnsi" w:hAnsiTheme="minorHAnsi"/>
                <w:color w:val="000000" w:themeColor="text1"/>
                <w:szCs w:val="24"/>
              </w:rPr>
              <w:t>en cours</w:t>
            </w:r>
          </w:p>
        </w:tc>
      </w:tr>
      <w:tr w:rsidR="00C33968" w:rsidRPr="008B0565" w:rsidTr="008D2559">
        <w:tc>
          <w:tcPr>
            <w:tcW w:w="5245" w:type="dxa"/>
          </w:tcPr>
          <w:p w:rsidR="00C33968" w:rsidRPr="008B0565" w:rsidRDefault="00C33968" w:rsidP="008D2559">
            <w:pPr>
              <w:tabs>
                <w:tab w:val="left" w:pos="426"/>
                <w:tab w:val="center" w:pos="7655"/>
                <w:tab w:val="right" w:pos="9639"/>
              </w:tabs>
              <w:spacing w:before="0"/>
              <w:ind w:left="567" w:hanging="567"/>
            </w:pPr>
            <w:r w:rsidRPr="008B0565">
              <w:t>16.4</w:t>
            </w:r>
            <w:r w:rsidRPr="008B0565">
              <w:tab/>
            </w:r>
            <w:r w:rsidRPr="008B0565">
              <w:tab/>
            </w:r>
            <w:r w:rsidRPr="008B0565">
              <w:rPr>
                <w:rFonts w:asciiTheme="minorHAnsi" w:hAnsiTheme="minorHAnsi"/>
                <w:color w:val="000000"/>
                <w:szCs w:val="24"/>
              </w:rPr>
              <w:t>Réunion mensuelle du GTF en vue de prendre des mesures</w:t>
            </w:r>
          </w:p>
        </w:tc>
        <w:tc>
          <w:tcPr>
            <w:tcW w:w="3255" w:type="dxa"/>
            <w:vAlign w:val="center"/>
          </w:tcPr>
          <w:p w:rsidR="00C33968" w:rsidRPr="008B0565" w:rsidRDefault="00C33968" w:rsidP="00AE03E7">
            <w:pPr>
              <w:spacing w:before="0"/>
              <w:jc w:val="center"/>
              <w:rPr>
                <w:rFonts w:asciiTheme="minorHAnsi" w:hAnsiTheme="minorHAnsi"/>
                <w:color w:val="000000" w:themeColor="text1"/>
                <w:szCs w:val="24"/>
              </w:rPr>
            </w:pPr>
            <w:r w:rsidRPr="008B0565">
              <w:rPr>
                <w:rFonts w:asciiTheme="minorHAnsi" w:hAnsiTheme="minorHAnsi"/>
                <w:color w:val="000000" w:themeColor="text1"/>
                <w:szCs w:val="24"/>
              </w:rPr>
              <w:t>GTF</w:t>
            </w:r>
          </w:p>
        </w:tc>
        <w:tc>
          <w:tcPr>
            <w:tcW w:w="1276" w:type="dxa"/>
            <w:vAlign w:val="center"/>
          </w:tcPr>
          <w:p w:rsidR="00C33968" w:rsidRPr="008B0565" w:rsidRDefault="00C33968" w:rsidP="008D2559">
            <w:pPr>
              <w:spacing w:before="0"/>
              <w:rPr>
                <w:rFonts w:asciiTheme="minorHAnsi" w:hAnsiTheme="minorHAnsi"/>
                <w:color w:val="000000" w:themeColor="text1"/>
                <w:szCs w:val="24"/>
              </w:rPr>
            </w:pPr>
            <w:r w:rsidRPr="008B0565">
              <w:rPr>
                <w:rFonts w:asciiTheme="minorHAnsi" w:hAnsiTheme="minorHAnsi"/>
                <w:color w:val="000000"/>
                <w:szCs w:val="24"/>
              </w:rPr>
              <w:t>fév-déc</w:t>
            </w:r>
          </w:p>
        </w:tc>
      </w:tr>
    </w:tbl>
    <w:p w:rsidR="004D21A1" w:rsidRPr="008B0565" w:rsidRDefault="004D21A1" w:rsidP="00274123">
      <w:pPr>
        <w:pStyle w:val="Heading1"/>
        <w:spacing w:before="240"/>
      </w:pPr>
      <w:r w:rsidRPr="008B0565">
        <w:t>17</w:t>
      </w:r>
      <w:r w:rsidRPr="008B0565">
        <w:tab/>
        <w:t>Cohérence</w:t>
      </w:r>
    </w:p>
    <w:p w:rsidR="009A3974" w:rsidRPr="008B0565" w:rsidRDefault="009A3974" w:rsidP="004D21A1">
      <w:pPr>
        <w:pStyle w:val="Heading1"/>
        <w:pBdr>
          <w:bottom w:val="single" w:sz="4" w:space="1" w:color="auto"/>
        </w:pBdr>
        <w:spacing w:before="0"/>
        <w:rPr>
          <w:sz w:val="24"/>
          <w:szCs w:val="24"/>
        </w:rPr>
      </w:pPr>
      <w:r w:rsidRPr="008B0565">
        <w:rPr>
          <w:sz w:val="24"/>
          <w:szCs w:val="24"/>
        </w:rPr>
        <w:t>Situation en 2016 au regard de l</w:t>
      </w:r>
      <w:r w:rsidR="00266092" w:rsidRPr="008B0565">
        <w:rPr>
          <w:sz w:val="24"/>
          <w:szCs w:val="24"/>
        </w:rPr>
        <w:t>'</w:t>
      </w:r>
      <w:r w:rsidRPr="008B0565">
        <w:rPr>
          <w:sz w:val="24"/>
          <w:szCs w:val="24"/>
        </w:rPr>
        <w:t xml:space="preserve">ONU-SWAP: </w:t>
      </w:r>
      <w:r w:rsidRPr="00E76871">
        <w:rPr>
          <w:b w:val="0"/>
          <w:bCs/>
          <w:sz w:val="24"/>
          <w:szCs w:val="24"/>
        </w:rPr>
        <w:t>satisfait aux exigences</w:t>
      </w:r>
    </w:p>
    <w:p w:rsidR="009A3974" w:rsidRPr="008B0565" w:rsidRDefault="009A3974" w:rsidP="006A3499">
      <w:r w:rsidRPr="008B0565">
        <w:t>Pour satisfaire aux indicateurs de performance de l</w:t>
      </w:r>
      <w:r w:rsidR="00266092" w:rsidRPr="008B0565">
        <w:t>'</w:t>
      </w:r>
      <w:r w:rsidRPr="008B0565">
        <w:t>ONU-SWAP, l</w:t>
      </w:r>
      <w:r w:rsidR="00266092" w:rsidRPr="008B0565">
        <w:t>'</w:t>
      </w:r>
      <w:r w:rsidRPr="008B0565">
        <w:t>UIT devrait prendre part de manière systématique aux mécanismes interinstitutions de coordination sur l</w:t>
      </w:r>
      <w:r w:rsidR="00266092" w:rsidRPr="008B0565">
        <w:t>'</w:t>
      </w:r>
      <w:r w:rsidRPr="008B0565">
        <w:t>égalité des sexes et l</w:t>
      </w:r>
      <w:r w:rsidR="00266092" w:rsidRPr="008B0565">
        <w:t>'</w:t>
      </w:r>
      <w:r w:rsidR="006A3499" w:rsidRPr="008B0565">
        <w:t>autonomisation des femmes.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55"/>
        <w:gridCol w:w="1276"/>
      </w:tblGrid>
      <w:tr w:rsidR="006A3499" w:rsidRPr="008B0565" w:rsidTr="008D2559">
        <w:tc>
          <w:tcPr>
            <w:tcW w:w="5245" w:type="dxa"/>
            <w:vAlign w:val="center"/>
          </w:tcPr>
          <w:p w:rsidR="006A3499" w:rsidRPr="008B0565" w:rsidRDefault="006A3499" w:rsidP="008D2559">
            <w:pPr>
              <w:keepNext/>
              <w:keepLines/>
              <w:spacing w:before="0"/>
              <w:rPr>
                <w:u w:val="single"/>
              </w:rPr>
            </w:pPr>
            <w:r w:rsidRPr="008B0565">
              <w:rPr>
                <w:u w:val="single"/>
              </w:rPr>
              <w:t>Produits</w:t>
            </w:r>
          </w:p>
        </w:tc>
        <w:tc>
          <w:tcPr>
            <w:tcW w:w="3255" w:type="dxa"/>
            <w:vAlign w:val="center"/>
          </w:tcPr>
          <w:p w:rsidR="006A3499" w:rsidRPr="008B0565" w:rsidRDefault="006A3499" w:rsidP="008D2559">
            <w:pPr>
              <w:keepNext/>
              <w:keepLines/>
              <w:spacing w:before="0"/>
              <w:rPr>
                <w:u w:val="single"/>
              </w:rPr>
            </w:pPr>
            <w:r w:rsidRPr="008B0565">
              <w:rPr>
                <w:u w:val="single"/>
              </w:rPr>
              <w:t>Entité responsable/concernée</w:t>
            </w:r>
          </w:p>
        </w:tc>
        <w:tc>
          <w:tcPr>
            <w:tcW w:w="1276" w:type="dxa"/>
            <w:vAlign w:val="center"/>
          </w:tcPr>
          <w:p w:rsidR="006A3499" w:rsidRPr="008B0565" w:rsidRDefault="006A3499" w:rsidP="008D2559">
            <w:pPr>
              <w:tabs>
                <w:tab w:val="clear" w:pos="2835"/>
                <w:tab w:val="left" w:pos="5812"/>
                <w:tab w:val="center" w:pos="7655"/>
                <w:tab w:val="right" w:pos="9639"/>
              </w:tabs>
              <w:spacing w:before="0"/>
              <w:rPr>
                <w:u w:val="single"/>
              </w:rPr>
            </w:pPr>
            <w:r w:rsidRPr="008B0565">
              <w:rPr>
                <w:u w:val="single"/>
              </w:rPr>
              <w:t>Délai</w:t>
            </w:r>
          </w:p>
        </w:tc>
      </w:tr>
      <w:tr w:rsidR="006A3499" w:rsidRPr="008B0565" w:rsidTr="008D2559">
        <w:tc>
          <w:tcPr>
            <w:tcW w:w="5245" w:type="dxa"/>
          </w:tcPr>
          <w:p w:rsidR="006A3499" w:rsidRPr="008B0565" w:rsidRDefault="006A3499" w:rsidP="0040315E">
            <w:pPr>
              <w:keepNext/>
              <w:keepLines/>
              <w:tabs>
                <w:tab w:val="left" w:pos="426"/>
                <w:tab w:val="center" w:pos="7655"/>
                <w:tab w:val="right" w:pos="9639"/>
              </w:tabs>
              <w:spacing w:before="0"/>
              <w:ind w:left="567" w:hanging="567"/>
            </w:pPr>
            <w:r w:rsidRPr="008B0565">
              <w:t>17.1</w:t>
            </w:r>
            <w:r w:rsidRPr="008B0565">
              <w:tab/>
            </w:r>
            <w:r w:rsidRPr="008B0565">
              <w:tab/>
            </w:r>
            <w:r w:rsidRPr="008B0565">
              <w:rPr>
                <w:rFonts w:asciiTheme="minorHAnsi" w:hAnsiTheme="minorHAnsi"/>
                <w:szCs w:val="24"/>
              </w:rPr>
              <w:t>Réunion interinstitutions pour faire rapport au GTF/à Sharepoint</w:t>
            </w:r>
          </w:p>
        </w:tc>
        <w:tc>
          <w:tcPr>
            <w:tcW w:w="3255" w:type="dxa"/>
            <w:vAlign w:val="center"/>
          </w:tcPr>
          <w:p w:rsidR="006A3499" w:rsidRPr="008B0565" w:rsidRDefault="006A3499" w:rsidP="00AE03E7">
            <w:pPr>
              <w:keepNext/>
              <w:keepLines/>
              <w:spacing w:before="0"/>
              <w:jc w:val="center"/>
            </w:pPr>
            <w:r w:rsidRPr="008B0565">
              <w:rPr>
                <w:rFonts w:asciiTheme="minorHAnsi" w:hAnsiTheme="minorHAnsi"/>
                <w:color w:val="000000" w:themeColor="text1"/>
                <w:szCs w:val="24"/>
              </w:rPr>
              <w:t>GBS/GTF</w:t>
            </w:r>
          </w:p>
        </w:tc>
        <w:tc>
          <w:tcPr>
            <w:tcW w:w="1276" w:type="dxa"/>
            <w:vAlign w:val="center"/>
          </w:tcPr>
          <w:p w:rsidR="006A3499" w:rsidRPr="008B0565" w:rsidRDefault="006A3499" w:rsidP="008D2559">
            <w:pPr>
              <w:spacing w:before="0"/>
            </w:pPr>
            <w:r w:rsidRPr="008B0565">
              <w:rPr>
                <w:rFonts w:asciiTheme="minorHAnsi" w:hAnsiTheme="minorHAnsi"/>
                <w:color w:val="000000" w:themeColor="text1"/>
                <w:szCs w:val="24"/>
              </w:rPr>
              <w:t>jan-déc</w:t>
            </w:r>
          </w:p>
        </w:tc>
      </w:tr>
    </w:tbl>
    <w:p w:rsidR="006A3499" w:rsidRPr="008B0565" w:rsidRDefault="006A3499" w:rsidP="0032202E">
      <w:pPr>
        <w:pStyle w:val="Reasons"/>
      </w:pPr>
    </w:p>
    <w:p w:rsidR="006A3499" w:rsidRDefault="006A3499">
      <w:pPr>
        <w:jc w:val="center"/>
      </w:pPr>
      <w:r w:rsidRPr="008B0565">
        <w:t>______________</w:t>
      </w:r>
    </w:p>
    <w:p w:rsidR="009A3974" w:rsidRDefault="009A3974" w:rsidP="0018694A"/>
    <w:sectPr w:rsidR="009A3974" w:rsidSect="005C3890">
      <w:headerReference w:type="even" r:id="rId14"/>
      <w:headerReference w:type="default" r:id="rId15"/>
      <w:footerReference w:type="even" r:id="rId16"/>
      <w:footerReference w:type="default" r:id="rId17"/>
      <w:footerReference w:type="first" r:id="rId18"/>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092" w:rsidRDefault="00266092">
      <w:r>
        <w:separator/>
      </w:r>
    </w:p>
  </w:endnote>
  <w:endnote w:type="continuationSeparator" w:id="0">
    <w:p w:rsidR="00266092" w:rsidRDefault="0026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92" w:rsidRDefault="00E76871">
    <w:pPr>
      <w:pStyle w:val="Footer"/>
    </w:pPr>
    <w:fldSimple w:instr=" FILENAME \p \* MERGEFORMAT ">
      <w:r w:rsidR="0040315E">
        <w:t>P:\FRA\SG\CONSEIL\C17\000\071F.docx</w:t>
      </w:r>
    </w:fldSimple>
    <w:r w:rsidR="00266092">
      <w:tab/>
    </w:r>
    <w:r w:rsidR="00266092">
      <w:fldChar w:fldCharType="begin"/>
    </w:r>
    <w:r w:rsidR="00266092">
      <w:instrText xml:space="preserve"> savedate \@ dd.MM.yy </w:instrText>
    </w:r>
    <w:r w:rsidR="00266092">
      <w:fldChar w:fldCharType="separate"/>
    </w:r>
    <w:r w:rsidR="00AE03E7">
      <w:t>08.05.17</w:t>
    </w:r>
    <w:r w:rsidR="00266092">
      <w:fldChar w:fldCharType="end"/>
    </w:r>
    <w:r w:rsidR="00266092">
      <w:tab/>
    </w:r>
    <w:r w:rsidR="00266092">
      <w:fldChar w:fldCharType="begin"/>
    </w:r>
    <w:r w:rsidR="00266092">
      <w:instrText xml:space="preserve"> printdate \@ dd.MM.yy </w:instrText>
    </w:r>
    <w:r w:rsidR="00266092">
      <w:fldChar w:fldCharType="separate"/>
    </w:r>
    <w:r w:rsidR="0040315E">
      <w:t>18.07.00</w:t>
    </w:r>
    <w:r w:rsidR="0026609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92" w:rsidRPr="002A42BB" w:rsidRDefault="00E76871" w:rsidP="002A42BB">
    <w:pPr>
      <w:pStyle w:val="Footer"/>
    </w:pPr>
    <w:fldSimple w:instr=" FILENAME \p  \* MERGEFORMAT ">
      <w:r w:rsidR="0040315E">
        <w:t>P:\FRA\SG\CONSEIL\C17\000\071F.docx</w:t>
      </w:r>
    </w:fldSimple>
    <w:r w:rsidR="002A42BB">
      <w:t xml:space="preserve"> (415266)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92" w:rsidRDefault="00266092">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092" w:rsidRDefault="00266092">
      <w:r>
        <w:t>____________________</w:t>
      </w:r>
    </w:p>
  </w:footnote>
  <w:footnote w:type="continuationSeparator" w:id="0">
    <w:p w:rsidR="00266092" w:rsidRDefault="00266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92" w:rsidRDefault="00266092">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266092" w:rsidRDefault="00266092">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92" w:rsidRDefault="00266092" w:rsidP="00475FB3">
    <w:pPr>
      <w:pStyle w:val="Header"/>
    </w:pPr>
    <w:r>
      <w:fldChar w:fldCharType="begin"/>
    </w:r>
    <w:r>
      <w:instrText>PAGE</w:instrText>
    </w:r>
    <w:r>
      <w:fldChar w:fldCharType="separate"/>
    </w:r>
    <w:r w:rsidR="00AE03E7">
      <w:rPr>
        <w:noProof/>
      </w:rPr>
      <w:t>10</w:t>
    </w:r>
    <w:r>
      <w:rPr>
        <w:noProof/>
      </w:rPr>
      <w:fldChar w:fldCharType="end"/>
    </w:r>
  </w:p>
  <w:p w:rsidR="00266092" w:rsidRDefault="00266092" w:rsidP="0093234A">
    <w:pPr>
      <w:pStyle w:val="Header"/>
    </w:pPr>
    <w:r>
      <w:t>C17/71-F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9491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6EC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38B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BCB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6A91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E39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9C25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088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E2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6DB5"/>
    <w:multiLevelType w:val="hybridMultilevel"/>
    <w:tmpl w:val="C896984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1FFB28F7"/>
    <w:multiLevelType w:val="hybridMultilevel"/>
    <w:tmpl w:val="88C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B3CAC"/>
    <w:multiLevelType w:val="hybridMultilevel"/>
    <w:tmpl w:val="B7E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C2E6F"/>
    <w:multiLevelType w:val="multilevel"/>
    <w:tmpl w:val="FFB67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A12196"/>
    <w:multiLevelType w:val="multilevel"/>
    <w:tmpl w:val="7336633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642ED4"/>
    <w:multiLevelType w:val="hybridMultilevel"/>
    <w:tmpl w:val="8BBC4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555792"/>
    <w:multiLevelType w:val="multilevel"/>
    <w:tmpl w:val="B4825A5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bCs/>
        <w:i w:val="0"/>
        <w:iCs w:val="0"/>
        <w:sz w:val="22"/>
        <w:szCs w:val="22"/>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787B0D"/>
    <w:multiLevelType w:val="hybridMultilevel"/>
    <w:tmpl w:val="5594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84804"/>
    <w:multiLevelType w:val="hybridMultilevel"/>
    <w:tmpl w:val="FFB67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1F22CF"/>
    <w:multiLevelType w:val="multilevel"/>
    <w:tmpl w:val="2ECC9184"/>
    <w:lvl w:ilvl="0">
      <w:start w:val="5"/>
      <w:numFmt w:val="decimal"/>
      <w:lvlText w:val="%1"/>
      <w:lvlJc w:val="left"/>
      <w:pPr>
        <w:ind w:left="360" w:hanging="360"/>
      </w:pPr>
      <w:rPr>
        <w:rFonts w:cs="Arial" w:hint="default"/>
        <w:b w:val="0"/>
        <w:sz w:val="24"/>
      </w:rPr>
    </w:lvl>
    <w:lvl w:ilvl="1">
      <w:start w:val="3"/>
      <w:numFmt w:val="decimal"/>
      <w:lvlText w:val="%1.%2"/>
      <w:lvlJc w:val="left"/>
      <w:pPr>
        <w:ind w:left="360" w:hanging="360"/>
      </w:pPr>
      <w:rPr>
        <w:rFonts w:cs="Arial" w:hint="default"/>
        <w:b w:val="0"/>
        <w:sz w:val="24"/>
      </w:rPr>
    </w:lvl>
    <w:lvl w:ilvl="2">
      <w:start w:val="1"/>
      <w:numFmt w:val="decimal"/>
      <w:lvlText w:val="%1.%2.%3"/>
      <w:lvlJc w:val="left"/>
      <w:pPr>
        <w:ind w:left="720" w:hanging="720"/>
      </w:pPr>
      <w:rPr>
        <w:rFonts w:cs="Arial" w:hint="default"/>
        <w:b w:val="0"/>
        <w:sz w:val="24"/>
      </w:rPr>
    </w:lvl>
    <w:lvl w:ilvl="3">
      <w:start w:val="1"/>
      <w:numFmt w:val="decimal"/>
      <w:lvlText w:val="%1.%2.%3.%4"/>
      <w:lvlJc w:val="left"/>
      <w:pPr>
        <w:ind w:left="1080" w:hanging="1080"/>
      </w:pPr>
      <w:rPr>
        <w:rFonts w:cs="Arial" w:hint="default"/>
        <w:b w:val="0"/>
        <w:sz w:val="24"/>
      </w:rPr>
    </w:lvl>
    <w:lvl w:ilvl="4">
      <w:start w:val="1"/>
      <w:numFmt w:val="decimal"/>
      <w:lvlText w:val="%1.%2.%3.%4.%5"/>
      <w:lvlJc w:val="left"/>
      <w:pPr>
        <w:ind w:left="1080" w:hanging="1080"/>
      </w:pPr>
      <w:rPr>
        <w:rFonts w:cs="Arial" w:hint="default"/>
        <w:b w:val="0"/>
        <w:sz w:val="24"/>
      </w:rPr>
    </w:lvl>
    <w:lvl w:ilvl="5">
      <w:start w:val="1"/>
      <w:numFmt w:val="decimal"/>
      <w:lvlText w:val="%1.%2.%3.%4.%5.%6"/>
      <w:lvlJc w:val="left"/>
      <w:pPr>
        <w:ind w:left="1440" w:hanging="1440"/>
      </w:pPr>
      <w:rPr>
        <w:rFonts w:cs="Arial" w:hint="default"/>
        <w:b w:val="0"/>
        <w:sz w:val="24"/>
      </w:rPr>
    </w:lvl>
    <w:lvl w:ilvl="6">
      <w:start w:val="1"/>
      <w:numFmt w:val="decimal"/>
      <w:lvlText w:val="%1.%2.%3.%4.%5.%6.%7"/>
      <w:lvlJc w:val="left"/>
      <w:pPr>
        <w:ind w:left="1440" w:hanging="1440"/>
      </w:pPr>
      <w:rPr>
        <w:rFonts w:cs="Arial" w:hint="default"/>
        <w:b w:val="0"/>
        <w:sz w:val="24"/>
      </w:rPr>
    </w:lvl>
    <w:lvl w:ilvl="7">
      <w:start w:val="1"/>
      <w:numFmt w:val="decimal"/>
      <w:lvlText w:val="%1.%2.%3.%4.%5.%6.%7.%8"/>
      <w:lvlJc w:val="left"/>
      <w:pPr>
        <w:ind w:left="1800" w:hanging="1800"/>
      </w:pPr>
      <w:rPr>
        <w:rFonts w:cs="Arial" w:hint="default"/>
        <w:b w:val="0"/>
        <w:sz w:val="24"/>
      </w:rPr>
    </w:lvl>
    <w:lvl w:ilvl="8">
      <w:start w:val="1"/>
      <w:numFmt w:val="decimal"/>
      <w:lvlText w:val="%1.%2.%3.%4.%5.%6.%7.%8.%9"/>
      <w:lvlJc w:val="left"/>
      <w:pPr>
        <w:ind w:left="2160" w:hanging="2160"/>
      </w:pPr>
      <w:rPr>
        <w:rFonts w:cs="Arial" w:hint="default"/>
        <w:b w:val="0"/>
        <w:sz w:val="24"/>
      </w:rPr>
    </w:lvl>
  </w:abstractNum>
  <w:abstractNum w:abstractNumId="20" w15:restartNumberingAfterBreak="0">
    <w:nsid w:val="650D5FFE"/>
    <w:multiLevelType w:val="hybridMultilevel"/>
    <w:tmpl w:val="9C38BEC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727670DA"/>
    <w:multiLevelType w:val="hybridMultilevel"/>
    <w:tmpl w:val="311C8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E82B3F"/>
    <w:multiLevelType w:val="multilevel"/>
    <w:tmpl w:val="160072E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bCs/>
        <w:i w:val="0"/>
        <w:iCs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2"/>
  </w:num>
  <w:num w:numId="3">
    <w:abstractNumId w:val="12"/>
  </w:num>
  <w:num w:numId="4">
    <w:abstractNumId w:val="14"/>
  </w:num>
  <w:num w:numId="5">
    <w:abstractNumId w:val="11"/>
  </w:num>
  <w:num w:numId="6">
    <w:abstractNumId w:val="1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20"/>
  </w:num>
  <w:num w:numId="19">
    <w:abstractNumId w:val="18"/>
  </w:num>
  <w:num w:numId="20">
    <w:abstractNumId w:val="13"/>
  </w:num>
  <w:num w:numId="21">
    <w:abstractNumId w:val="21"/>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74"/>
    <w:rsid w:val="000065D0"/>
    <w:rsid w:val="000272EE"/>
    <w:rsid w:val="000B7E58"/>
    <w:rsid w:val="000D0D0A"/>
    <w:rsid w:val="000E6172"/>
    <w:rsid w:val="00103163"/>
    <w:rsid w:val="00115D93"/>
    <w:rsid w:val="001247A8"/>
    <w:rsid w:val="00134D32"/>
    <w:rsid w:val="001378C0"/>
    <w:rsid w:val="0016765C"/>
    <w:rsid w:val="001806CB"/>
    <w:rsid w:val="00181AC8"/>
    <w:rsid w:val="0018286F"/>
    <w:rsid w:val="0018694A"/>
    <w:rsid w:val="00196713"/>
    <w:rsid w:val="001A3287"/>
    <w:rsid w:val="001A6508"/>
    <w:rsid w:val="001D4C31"/>
    <w:rsid w:val="001E4D21"/>
    <w:rsid w:val="00207CD1"/>
    <w:rsid w:val="002477A2"/>
    <w:rsid w:val="00262DC3"/>
    <w:rsid w:val="00263A51"/>
    <w:rsid w:val="00266092"/>
    <w:rsid w:val="00267E02"/>
    <w:rsid w:val="00274123"/>
    <w:rsid w:val="00292C85"/>
    <w:rsid w:val="002A42BB"/>
    <w:rsid w:val="002A5D44"/>
    <w:rsid w:val="002E0BC4"/>
    <w:rsid w:val="002F1B76"/>
    <w:rsid w:val="00317674"/>
    <w:rsid w:val="00333F12"/>
    <w:rsid w:val="00355FF5"/>
    <w:rsid w:val="00361350"/>
    <w:rsid w:val="00385496"/>
    <w:rsid w:val="003F797A"/>
    <w:rsid w:val="0040315E"/>
    <w:rsid w:val="004038CB"/>
    <w:rsid w:val="0040546F"/>
    <w:rsid w:val="0042404A"/>
    <w:rsid w:val="0044618F"/>
    <w:rsid w:val="0046769A"/>
    <w:rsid w:val="00475FB3"/>
    <w:rsid w:val="00477A68"/>
    <w:rsid w:val="004C37A9"/>
    <w:rsid w:val="004D21A1"/>
    <w:rsid w:val="004F259E"/>
    <w:rsid w:val="00511F1D"/>
    <w:rsid w:val="00520F36"/>
    <w:rsid w:val="00540615"/>
    <w:rsid w:val="00540A6D"/>
    <w:rsid w:val="00571EEA"/>
    <w:rsid w:val="00575417"/>
    <w:rsid w:val="005768E1"/>
    <w:rsid w:val="005C3890"/>
    <w:rsid w:val="005F3FBB"/>
    <w:rsid w:val="005F7BFE"/>
    <w:rsid w:val="00600017"/>
    <w:rsid w:val="00616460"/>
    <w:rsid w:val="006235CA"/>
    <w:rsid w:val="006643AB"/>
    <w:rsid w:val="0066504D"/>
    <w:rsid w:val="006A3499"/>
    <w:rsid w:val="00706146"/>
    <w:rsid w:val="007210CD"/>
    <w:rsid w:val="00732045"/>
    <w:rsid w:val="007369DB"/>
    <w:rsid w:val="0074709B"/>
    <w:rsid w:val="007956C2"/>
    <w:rsid w:val="007A187E"/>
    <w:rsid w:val="007C475C"/>
    <w:rsid w:val="007C72C2"/>
    <w:rsid w:val="007D4436"/>
    <w:rsid w:val="007F257A"/>
    <w:rsid w:val="007F3665"/>
    <w:rsid w:val="00800037"/>
    <w:rsid w:val="00845444"/>
    <w:rsid w:val="00861D73"/>
    <w:rsid w:val="008A4E87"/>
    <w:rsid w:val="008B0565"/>
    <w:rsid w:val="008D76E6"/>
    <w:rsid w:val="0092392D"/>
    <w:rsid w:val="0093234A"/>
    <w:rsid w:val="009A3974"/>
    <w:rsid w:val="009C307F"/>
    <w:rsid w:val="009F5874"/>
    <w:rsid w:val="00A2113E"/>
    <w:rsid w:val="00A23A51"/>
    <w:rsid w:val="00A24607"/>
    <w:rsid w:val="00A25CD3"/>
    <w:rsid w:val="00A82767"/>
    <w:rsid w:val="00AA332F"/>
    <w:rsid w:val="00AA7BBB"/>
    <w:rsid w:val="00AB089B"/>
    <w:rsid w:val="00AB64A8"/>
    <w:rsid w:val="00AC0266"/>
    <w:rsid w:val="00AC1542"/>
    <w:rsid w:val="00AD24EC"/>
    <w:rsid w:val="00AE03E7"/>
    <w:rsid w:val="00B309F9"/>
    <w:rsid w:val="00B32B60"/>
    <w:rsid w:val="00B61619"/>
    <w:rsid w:val="00BB4545"/>
    <w:rsid w:val="00BD5873"/>
    <w:rsid w:val="00C04BE3"/>
    <w:rsid w:val="00C10B5C"/>
    <w:rsid w:val="00C25D29"/>
    <w:rsid w:val="00C27A7C"/>
    <w:rsid w:val="00C33968"/>
    <w:rsid w:val="00C4448A"/>
    <w:rsid w:val="00C618BD"/>
    <w:rsid w:val="00CA08ED"/>
    <w:rsid w:val="00CF183B"/>
    <w:rsid w:val="00D104F3"/>
    <w:rsid w:val="00D375CD"/>
    <w:rsid w:val="00D405FE"/>
    <w:rsid w:val="00D553A2"/>
    <w:rsid w:val="00D774D3"/>
    <w:rsid w:val="00D904E8"/>
    <w:rsid w:val="00DA08C3"/>
    <w:rsid w:val="00DB5A3E"/>
    <w:rsid w:val="00DC22AA"/>
    <w:rsid w:val="00DE5AA2"/>
    <w:rsid w:val="00DF48F5"/>
    <w:rsid w:val="00DF74DD"/>
    <w:rsid w:val="00E25AD0"/>
    <w:rsid w:val="00E76871"/>
    <w:rsid w:val="00EB165D"/>
    <w:rsid w:val="00EB6350"/>
    <w:rsid w:val="00EF7266"/>
    <w:rsid w:val="00F15B57"/>
    <w:rsid w:val="00F25737"/>
    <w:rsid w:val="00F427DB"/>
    <w:rsid w:val="00F530C3"/>
    <w:rsid w:val="00F74DF3"/>
    <w:rsid w:val="00FA5EB1"/>
    <w:rsid w:val="00FA7439"/>
    <w:rsid w:val="00FC4EC0"/>
    <w:rsid w:val="00FE3B9E"/>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9DF9F29-4618-4E5B-ABBE-7F664816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link w:val="Heading3Char"/>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ing1Char">
    <w:name w:val="Heading 1 Char"/>
    <w:basedOn w:val="DefaultParagraphFont"/>
    <w:link w:val="Heading1"/>
    <w:rsid w:val="009A3974"/>
    <w:rPr>
      <w:rFonts w:ascii="Calibri" w:hAnsi="Calibri"/>
      <w:b/>
      <w:sz w:val="28"/>
      <w:lang w:val="fr-FR" w:eastAsia="en-US"/>
    </w:rPr>
  </w:style>
  <w:style w:type="character" w:customStyle="1" w:styleId="Heading3Char">
    <w:name w:val="Heading 3 Char"/>
    <w:basedOn w:val="DefaultParagraphFont"/>
    <w:link w:val="Heading3"/>
    <w:rsid w:val="009A3974"/>
    <w:rPr>
      <w:rFonts w:ascii="Calibri" w:hAnsi="Calibri"/>
      <w:b/>
      <w:sz w:val="24"/>
      <w:lang w:val="fr-FR" w:eastAsia="en-US"/>
    </w:rPr>
  </w:style>
  <w:style w:type="character" w:customStyle="1" w:styleId="FooterChar">
    <w:name w:val="Footer Char"/>
    <w:basedOn w:val="DefaultParagraphFont"/>
    <w:link w:val="Footer"/>
    <w:rsid w:val="009A3974"/>
    <w:rPr>
      <w:rFonts w:ascii="Calibri" w:hAnsi="Calibri"/>
      <w:caps/>
      <w:noProof/>
      <w:sz w:val="16"/>
      <w:lang w:val="fr-FR" w:eastAsia="en-US"/>
    </w:rPr>
  </w:style>
  <w:style w:type="character" w:customStyle="1" w:styleId="HeaderChar">
    <w:name w:val="Header Char"/>
    <w:basedOn w:val="DefaultParagraphFont"/>
    <w:link w:val="Header"/>
    <w:rsid w:val="009A3974"/>
    <w:rPr>
      <w:rFonts w:ascii="Calibri" w:hAnsi="Calibri"/>
      <w:sz w:val="18"/>
      <w:lang w:val="fr-FR" w:eastAsia="en-US"/>
    </w:rPr>
  </w:style>
  <w:style w:type="character" w:customStyle="1" w:styleId="FootnoteTextChar">
    <w:name w:val="Footnote Text Char"/>
    <w:basedOn w:val="DefaultParagraphFont"/>
    <w:link w:val="FootnoteText"/>
    <w:rsid w:val="009A3974"/>
    <w:rPr>
      <w:rFonts w:ascii="Calibri" w:hAnsi="Calibri"/>
      <w:sz w:val="24"/>
      <w:lang w:val="fr-FR" w:eastAsia="en-US"/>
    </w:rPr>
  </w:style>
  <w:style w:type="paragraph" w:customStyle="1" w:styleId="docnoted">
    <w:name w:val="docnoted"/>
    <w:basedOn w:val="Normal"/>
    <w:next w:val="Head"/>
    <w:rsid w:val="009A3974"/>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s>
      <w:overflowPunct/>
      <w:autoSpaceDE/>
      <w:autoSpaceDN/>
      <w:adjustRightInd/>
      <w:spacing w:before="0" w:after="200" w:line="276" w:lineRule="auto"/>
      <w:ind w:right="91"/>
      <w:textAlignment w:val="auto"/>
    </w:pPr>
    <w:rPr>
      <w:rFonts w:asciiTheme="minorHAnsi" w:eastAsiaTheme="minorEastAsia" w:hAnsiTheme="minorHAnsi" w:cstheme="minorBidi"/>
      <w:sz w:val="20"/>
      <w:szCs w:val="22"/>
      <w:lang w:val="fr-CH" w:eastAsia="zh-CN"/>
    </w:rPr>
  </w:style>
  <w:style w:type="character" w:styleId="EndnoteReference">
    <w:name w:val="endnote reference"/>
    <w:basedOn w:val="DefaultParagraphFont"/>
    <w:rsid w:val="009A3974"/>
    <w:rPr>
      <w:vertAlign w:val="superscript"/>
    </w:rPr>
  </w:style>
  <w:style w:type="paragraph" w:styleId="BodyTextIndent">
    <w:name w:val="Body Text Indent"/>
    <w:basedOn w:val="Normal"/>
    <w:link w:val="BodyTextIndentChar"/>
    <w:rsid w:val="009A397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20" w:line="276" w:lineRule="auto"/>
      <w:ind w:left="283"/>
      <w:textAlignment w:val="auto"/>
    </w:pPr>
    <w:rPr>
      <w:rFonts w:ascii="Times New Roman" w:eastAsiaTheme="minorEastAsia" w:hAnsi="Times New Roman" w:cstheme="minorBidi"/>
      <w:sz w:val="22"/>
      <w:szCs w:val="22"/>
      <w:lang w:val="fr-CH" w:eastAsia="zh-CN"/>
    </w:rPr>
  </w:style>
  <w:style w:type="character" w:customStyle="1" w:styleId="BodyTextIndentChar">
    <w:name w:val="Body Text Indent Char"/>
    <w:basedOn w:val="DefaultParagraphFont"/>
    <w:link w:val="BodyTextIndent"/>
    <w:rsid w:val="009A3974"/>
    <w:rPr>
      <w:rFonts w:ascii="Times New Roman" w:eastAsiaTheme="minorEastAsia" w:hAnsi="Times New Roman" w:cstheme="minorBidi"/>
      <w:sz w:val="22"/>
      <w:szCs w:val="22"/>
      <w:lang w:val="fr-CH"/>
    </w:rPr>
  </w:style>
  <w:style w:type="paragraph" w:customStyle="1" w:styleId="CharCharCharCharCharChar">
    <w:name w:val="Char Char Char Char Char Char"/>
    <w:basedOn w:val="Normal"/>
    <w:rsid w:val="009A3974"/>
    <w:pPr>
      <w:widowControl w:val="0"/>
      <w:tabs>
        <w:tab w:val="clear" w:pos="567"/>
        <w:tab w:val="clear" w:pos="1134"/>
        <w:tab w:val="clear" w:pos="1701"/>
        <w:tab w:val="clear" w:pos="2268"/>
        <w:tab w:val="clear" w:pos="2835"/>
      </w:tabs>
      <w:overflowPunct/>
      <w:autoSpaceDE/>
      <w:autoSpaceDN/>
      <w:adjustRightInd/>
      <w:spacing w:before="0" w:after="200" w:line="276" w:lineRule="auto"/>
      <w:jc w:val="both"/>
      <w:textAlignment w:val="auto"/>
    </w:pPr>
    <w:rPr>
      <w:rFonts w:ascii="Tahoma" w:eastAsia="SimSun" w:hAnsi="Tahoma" w:cstheme="minorBidi"/>
      <w:kern w:val="2"/>
      <w:sz w:val="22"/>
      <w:szCs w:val="22"/>
      <w:lang w:val="fr-CH" w:eastAsia="zh-CN"/>
    </w:rPr>
  </w:style>
  <w:style w:type="paragraph" w:styleId="ListParagraph">
    <w:name w:val="List Paragraph"/>
    <w:basedOn w:val="Normal"/>
    <w:link w:val="ListParagraphChar"/>
    <w:uiPriority w:val="34"/>
    <w:qFormat/>
    <w:rsid w:val="009A397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200" w:line="276" w:lineRule="auto"/>
      <w:ind w:left="720"/>
      <w:contextualSpacing/>
      <w:textAlignment w:val="auto"/>
    </w:pPr>
    <w:rPr>
      <w:rFonts w:ascii="Times New Roman" w:eastAsiaTheme="minorEastAsia" w:hAnsi="Times New Roman" w:cstheme="minorBidi"/>
      <w:sz w:val="22"/>
      <w:szCs w:val="22"/>
      <w:lang w:val="fr-CH" w:eastAsia="zh-CN"/>
    </w:rPr>
  </w:style>
  <w:style w:type="character" w:customStyle="1" w:styleId="ListParagraphChar">
    <w:name w:val="List Paragraph Char"/>
    <w:link w:val="ListParagraph"/>
    <w:uiPriority w:val="34"/>
    <w:locked/>
    <w:rsid w:val="009A3974"/>
    <w:rPr>
      <w:rFonts w:ascii="Times New Roman" w:eastAsiaTheme="minorEastAsia" w:hAnsi="Times New Roman" w:cstheme="minorBidi"/>
      <w:sz w:val="22"/>
      <w:szCs w:val="22"/>
      <w:lang w:val="fr-CH"/>
    </w:rPr>
  </w:style>
  <w:style w:type="paragraph" w:styleId="BalloonText">
    <w:name w:val="Balloon Text"/>
    <w:basedOn w:val="Normal"/>
    <w:link w:val="BalloonTextChar"/>
    <w:uiPriority w:val="99"/>
    <w:rsid w:val="009A397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200" w:line="276" w:lineRule="auto"/>
      <w:textAlignment w:val="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rsid w:val="009A3974"/>
    <w:rPr>
      <w:rFonts w:ascii="Tahoma" w:eastAsiaTheme="minorEastAsia" w:hAnsi="Tahoma" w:cs="Tahoma"/>
      <w:sz w:val="16"/>
      <w:szCs w:val="16"/>
      <w:lang w:val="fr-CH"/>
    </w:rPr>
  </w:style>
  <w:style w:type="character" w:styleId="Emphasis">
    <w:name w:val="Emphasis"/>
    <w:basedOn w:val="DefaultParagraphFont"/>
    <w:uiPriority w:val="20"/>
    <w:qFormat/>
    <w:rsid w:val="009A3974"/>
    <w:rPr>
      <w:i/>
      <w:iCs/>
    </w:rPr>
  </w:style>
  <w:style w:type="paragraph" w:styleId="NormalWeb">
    <w:name w:val="Normal (Web)"/>
    <w:basedOn w:val="Normal"/>
    <w:uiPriority w:val="99"/>
    <w:unhideWhenUsed/>
    <w:rsid w:val="009A3974"/>
    <w:pPr>
      <w:tabs>
        <w:tab w:val="clear" w:pos="567"/>
        <w:tab w:val="clear" w:pos="1134"/>
        <w:tab w:val="clear" w:pos="1701"/>
        <w:tab w:val="clear" w:pos="2268"/>
        <w:tab w:val="clear" w:pos="2835"/>
      </w:tabs>
      <w:overflowPunct/>
      <w:autoSpaceDE/>
      <w:autoSpaceDN/>
      <w:adjustRightInd/>
      <w:spacing w:before="0" w:after="200" w:line="456" w:lineRule="atLeast"/>
      <w:textAlignment w:val="auto"/>
    </w:pPr>
    <w:rPr>
      <w:rFonts w:ascii="Verdana" w:eastAsiaTheme="minorEastAsia" w:hAnsi="Verdana" w:cstheme="minorBidi"/>
      <w:color w:val="777777"/>
      <w:sz w:val="22"/>
      <w:szCs w:val="24"/>
      <w:lang w:val="fr-CH" w:eastAsia="zh-CN"/>
    </w:rPr>
  </w:style>
  <w:style w:type="character" w:customStyle="1" w:styleId="CommentTextChar">
    <w:name w:val="Comment Text Char"/>
    <w:basedOn w:val="DefaultParagraphFont"/>
    <w:link w:val="CommentText"/>
    <w:semiHidden/>
    <w:rsid w:val="009A3974"/>
    <w:rPr>
      <w:rFonts w:ascii="Times New Roman" w:hAnsi="Times New Roman"/>
      <w:lang w:val="en-GB" w:eastAsia="en-US"/>
    </w:rPr>
  </w:style>
  <w:style w:type="paragraph" w:styleId="CommentText">
    <w:name w:val="annotation text"/>
    <w:basedOn w:val="Normal"/>
    <w:link w:val="CommentTextChar"/>
    <w:semiHidden/>
    <w:unhideWhenUsed/>
    <w:rsid w:val="009A397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200" w:line="276" w:lineRule="auto"/>
      <w:textAlignment w:val="auto"/>
    </w:pPr>
    <w:rPr>
      <w:rFonts w:ascii="Times New Roman" w:hAnsi="Times New Roman"/>
      <w:sz w:val="20"/>
      <w:lang w:val="en-GB"/>
    </w:rPr>
  </w:style>
  <w:style w:type="character" w:customStyle="1" w:styleId="CommentTextChar1">
    <w:name w:val="Comment Text Char1"/>
    <w:basedOn w:val="DefaultParagraphFont"/>
    <w:semiHidden/>
    <w:rsid w:val="009A3974"/>
    <w:rPr>
      <w:rFonts w:ascii="Calibri" w:hAnsi="Calibri"/>
      <w:lang w:val="fr-FR" w:eastAsia="en-US"/>
    </w:rPr>
  </w:style>
  <w:style w:type="character" w:customStyle="1" w:styleId="CommentSubjectChar">
    <w:name w:val="Comment Subject Char"/>
    <w:basedOn w:val="CommentTextChar"/>
    <w:link w:val="CommentSubject"/>
    <w:semiHidden/>
    <w:rsid w:val="009A3974"/>
    <w:rPr>
      <w:rFonts w:ascii="Times New Roman" w:hAnsi="Times New Roman"/>
      <w:b/>
      <w:bCs/>
      <w:lang w:val="en-GB" w:eastAsia="en-US"/>
    </w:rPr>
  </w:style>
  <w:style w:type="paragraph" w:styleId="CommentSubject">
    <w:name w:val="annotation subject"/>
    <w:basedOn w:val="CommentText"/>
    <w:next w:val="CommentText"/>
    <w:link w:val="CommentSubjectChar"/>
    <w:semiHidden/>
    <w:unhideWhenUsed/>
    <w:rsid w:val="009A3974"/>
    <w:rPr>
      <w:b/>
      <w:bCs/>
    </w:rPr>
  </w:style>
  <w:style w:type="character" w:customStyle="1" w:styleId="CommentSubjectChar1">
    <w:name w:val="Comment Subject Char1"/>
    <w:basedOn w:val="CommentTextChar1"/>
    <w:semiHidden/>
    <w:rsid w:val="009A3974"/>
    <w:rPr>
      <w:rFonts w:ascii="Calibri" w:hAnsi="Calibri"/>
      <w:b/>
      <w:bCs/>
      <w:lang w:val="fr-FR" w:eastAsia="en-US"/>
    </w:rPr>
  </w:style>
  <w:style w:type="paragraph" w:customStyle="1" w:styleId="Default">
    <w:name w:val="Default"/>
    <w:rsid w:val="009A3974"/>
    <w:pPr>
      <w:autoSpaceDE w:val="0"/>
      <w:autoSpaceDN w:val="0"/>
      <w:adjustRightInd w:val="0"/>
    </w:pPr>
    <w:rPr>
      <w:rFonts w:ascii="Calibri" w:eastAsia="SimSun" w:hAnsi="Calibri" w:cs="Calibri"/>
      <w:color w:val="000000"/>
      <w:sz w:val="24"/>
      <w:szCs w:val="24"/>
    </w:rPr>
  </w:style>
  <w:style w:type="character" w:styleId="Strong">
    <w:name w:val="Strong"/>
    <w:basedOn w:val="DefaultParagraphFont"/>
    <w:uiPriority w:val="22"/>
    <w:qFormat/>
    <w:rsid w:val="009A3974"/>
    <w:rPr>
      <w:b/>
      <w:bCs/>
    </w:rPr>
  </w:style>
  <w:style w:type="table" w:styleId="TableGrid">
    <w:name w:val="Table Grid"/>
    <w:basedOn w:val="TableNormal"/>
    <w:uiPriority w:val="39"/>
    <w:rsid w:val="009A3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9A3974"/>
    <w:rPr>
      <w:lang w:val="en-GB"/>
    </w:rPr>
  </w:style>
  <w:style w:type="character" w:customStyle="1" w:styleId="DateChar">
    <w:name w:val="Date Char"/>
    <w:basedOn w:val="DefaultParagraphFont"/>
    <w:link w:val="Date"/>
    <w:rsid w:val="009A3974"/>
    <w:rPr>
      <w:rFonts w:ascii="Calibri" w:hAnsi="Calibri"/>
      <w:sz w:val="24"/>
      <w:lang w:val="en-GB" w:eastAsia="en-US"/>
    </w:rPr>
  </w:style>
  <w:style w:type="character" w:customStyle="1" w:styleId="preferred">
    <w:name w:val="preferred"/>
    <w:basedOn w:val="DefaultParagraphFont"/>
    <w:rsid w:val="009A3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S-CONF-ACTF-2014" TargetMode="External"/><Relationship Id="rId13" Type="http://schemas.openxmlformats.org/officeDocument/2006/relationships/hyperlink" Target="https://www.itu.int/md/S17-CLCWGFHRM7-INF-0005/fr"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S17-CL-INF-0007/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en/action/gender-equality/Documents/gender-policy-document.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u.int/md/S17-CL-INF-0007/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md/S13-CL-C-0039/fr"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PF_C17.dotx</Template>
  <TotalTime>93</TotalTime>
  <Pages>10</Pages>
  <Words>4042</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27416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Gozel, Elsa</dc:creator>
  <cp:keywords>C2010, C10</cp:keywords>
  <dc:description>Document C17/-F  Pour: _x000d_Date du document: janvier 2017_x000d_Enregistré par ITU51009317 à 15:30:24 le 06/04/2017</dc:description>
  <cp:lastModifiedBy>Jones, Jacqueline</cp:lastModifiedBy>
  <cp:revision>48</cp:revision>
  <cp:lastPrinted>2000-07-18T08:55:00Z</cp:lastPrinted>
  <dcterms:created xsi:type="dcterms:W3CDTF">2017-05-08T12:08:00Z</dcterms:created>
  <dcterms:modified xsi:type="dcterms:W3CDTF">2017-05-08T16:05:00Z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