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02AB9" w:rsidRPr="00813E5E" w14:paraId="4825E108" w14:textId="77777777">
        <w:trPr>
          <w:cantSplit/>
        </w:trPr>
        <w:tc>
          <w:tcPr>
            <w:tcW w:w="6911" w:type="dxa"/>
          </w:tcPr>
          <w:p w14:paraId="57872CA0" w14:textId="38949BC8" w:rsidR="00E02AB9" w:rsidRPr="00813E5E" w:rsidRDefault="00E02AB9" w:rsidP="00E02AB9">
            <w:pPr>
              <w:spacing w:before="360" w:after="48" w:line="240" w:lineRule="atLeast"/>
              <w:rPr>
                <w:position w:val="6"/>
              </w:rPr>
            </w:pPr>
            <w:bookmarkStart w:id="0" w:name="_GoBack"/>
            <w:bookmarkEnd w:id="0"/>
            <w:r w:rsidRPr="001E6719">
              <w:rPr>
                <w:b/>
                <w:smallCaps/>
                <w:sz w:val="28"/>
                <w:szCs w:val="28"/>
              </w:rPr>
              <w:t>СОВЕТ 20</w:t>
            </w:r>
            <w:r w:rsidRPr="00732269">
              <w:rPr>
                <w:b/>
                <w:smallCaps/>
                <w:sz w:val="28"/>
                <w:szCs w:val="28"/>
              </w:rPr>
              <w:t>1</w:t>
            </w:r>
            <w:r w:rsidRPr="008B62B4">
              <w:rPr>
                <w:b/>
                <w:smallCaps/>
                <w:sz w:val="28"/>
                <w:szCs w:val="28"/>
              </w:rPr>
              <w:t>7</w:t>
            </w:r>
            <w:r w:rsidRPr="001E6719">
              <w:rPr>
                <w:b/>
                <w:smallCaps/>
                <w:szCs w:val="24"/>
              </w:rPr>
              <w:br/>
            </w:r>
            <w:r w:rsidRPr="00AD5DE4">
              <w:rPr>
                <w:rFonts w:cs="Arial"/>
                <w:b/>
                <w:bCs/>
                <w:szCs w:val="22"/>
              </w:rPr>
              <w:t>Женева</w:t>
            </w:r>
            <w:r w:rsidRPr="00AD5DE4">
              <w:rPr>
                <w:b/>
                <w:bCs/>
                <w:szCs w:val="22"/>
              </w:rPr>
              <w:t xml:space="preserve">, </w:t>
            </w:r>
            <w:r w:rsidRPr="00225368">
              <w:rPr>
                <w:b/>
                <w:bCs/>
              </w:rPr>
              <w:t>1</w:t>
            </w:r>
            <w:r w:rsidRPr="008B62B4">
              <w:rPr>
                <w:b/>
                <w:bCs/>
              </w:rPr>
              <w:t>5-25</w:t>
            </w:r>
            <w:r w:rsidRPr="00225368">
              <w:rPr>
                <w:b/>
                <w:bCs/>
              </w:rPr>
              <w:t xml:space="preserve"> мая 201</w:t>
            </w:r>
            <w:r>
              <w:rPr>
                <w:b/>
                <w:bCs/>
                <w:lang w:val="fr-CH"/>
              </w:rPr>
              <w:t>7</w:t>
            </w:r>
            <w:r w:rsidRPr="00225368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14:paraId="77C7D43B" w14:textId="366215B7" w:rsidR="00E02AB9" w:rsidRPr="00813E5E" w:rsidRDefault="00E02AB9" w:rsidP="00E02AB9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371E3">
              <w:rPr>
                <w:noProof/>
                <w:lang w:val="en-US" w:eastAsia="zh-CN"/>
              </w:rPr>
              <w:drawing>
                <wp:inline distT="0" distB="0" distL="0" distR="0" wp14:anchorId="6BE7D050" wp14:editId="372F8E2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B61" w:rsidRPr="00813E5E" w14:paraId="5997D66C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36C4A6" w14:textId="77777777" w:rsidR="00C12B61" w:rsidRPr="00813E5E" w:rsidRDefault="00C12B61" w:rsidP="00F45CA2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022FEDB" w14:textId="77777777" w:rsidR="00C12B61" w:rsidRPr="00813E5E" w:rsidRDefault="00C12B61" w:rsidP="00F45CA2">
            <w:pPr>
              <w:spacing w:before="0" w:line="240" w:lineRule="atLeast"/>
              <w:rPr>
                <w:szCs w:val="24"/>
              </w:rPr>
            </w:pPr>
          </w:p>
        </w:tc>
      </w:tr>
      <w:tr w:rsidR="00C12B61" w:rsidRPr="00813E5E" w14:paraId="68A5C0C4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09D649" w14:textId="77777777" w:rsidR="00C12B61" w:rsidRPr="00813E5E" w:rsidRDefault="00C12B61" w:rsidP="00F45CA2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16E89B5" w14:textId="77777777" w:rsidR="00C12B61" w:rsidRPr="00813E5E" w:rsidRDefault="00C12B61" w:rsidP="00F45CA2">
            <w:pPr>
              <w:spacing w:before="0" w:line="240" w:lineRule="atLeast"/>
              <w:rPr>
                <w:szCs w:val="24"/>
              </w:rPr>
            </w:pPr>
          </w:p>
        </w:tc>
      </w:tr>
      <w:tr w:rsidR="00C12B61" w:rsidRPr="00813E5E" w14:paraId="753DCA7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39E0FB24" w14:textId="0487729C" w:rsidR="00C12B61" w:rsidRPr="00E02AB9" w:rsidRDefault="00C12B61" w:rsidP="000C5C28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</w:rPr>
            </w:pPr>
            <w:bookmarkStart w:id="2" w:name="dmeeting"/>
            <w:bookmarkStart w:id="3" w:name="dnum"/>
            <w:r w:rsidRPr="00E02AB9">
              <w:rPr>
                <w:b/>
                <w:sz w:val="22"/>
                <w:szCs w:val="22"/>
              </w:rPr>
              <w:t>Пункт повестки дня: PL 1.20</w:t>
            </w:r>
          </w:p>
        </w:tc>
        <w:tc>
          <w:tcPr>
            <w:tcW w:w="3120" w:type="dxa"/>
          </w:tcPr>
          <w:p w14:paraId="070F690D" w14:textId="525861A6" w:rsidR="00C12B61" w:rsidRPr="00E02AB9" w:rsidRDefault="00C12B61" w:rsidP="00F45CA2">
            <w:pPr>
              <w:tabs>
                <w:tab w:val="left" w:pos="851"/>
              </w:tabs>
              <w:spacing w:before="0" w:line="240" w:lineRule="atLeast"/>
              <w:rPr>
                <w:b/>
                <w:sz w:val="22"/>
                <w:szCs w:val="22"/>
                <w:lang w:val="en-GB"/>
              </w:rPr>
            </w:pPr>
            <w:r w:rsidRPr="00E02AB9">
              <w:rPr>
                <w:b/>
                <w:sz w:val="22"/>
                <w:szCs w:val="22"/>
              </w:rPr>
              <w:t>Документ C17/68-</w:t>
            </w:r>
            <w:r w:rsidR="001C2C32" w:rsidRPr="00E02AB9">
              <w:rPr>
                <w:b/>
                <w:sz w:val="22"/>
                <w:szCs w:val="22"/>
                <w:lang w:val="en-GB"/>
              </w:rPr>
              <w:t>R</w:t>
            </w:r>
          </w:p>
        </w:tc>
      </w:tr>
      <w:tr w:rsidR="00C12B61" w:rsidRPr="00813E5E" w14:paraId="252FE992" w14:textId="77777777">
        <w:trPr>
          <w:cantSplit/>
          <w:trHeight w:val="23"/>
        </w:trPr>
        <w:tc>
          <w:tcPr>
            <w:tcW w:w="6911" w:type="dxa"/>
            <w:vMerge/>
          </w:tcPr>
          <w:p w14:paraId="5E8C767E" w14:textId="77777777" w:rsidR="00C12B61" w:rsidRPr="00E02AB9" w:rsidRDefault="00C12B61" w:rsidP="00F45CA2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4" w:name="ddate"/>
            <w:bookmarkEnd w:id="2"/>
            <w:bookmarkEnd w:id="3"/>
          </w:p>
        </w:tc>
        <w:tc>
          <w:tcPr>
            <w:tcW w:w="3120" w:type="dxa"/>
          </w:tcPr>
          <w:p w14:paraId="4DAA9C02" w14:textId="220850DE" w:rsidR="00C12B61" w:rsidRPr="00E02AB9" w:rsidRDefault="000C5C28" w:rsidP="000308FA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E02AB9">
              <w:rPr>
                <w:b/>
                <w:sz w:val="22"/>
                <w:szCs w:val="22"/>
              </w:rPr>
              <w:t>10 апреля 2017 г</w:t>
            </w:r>
            <w:r w:rsidR="000308FA">
              <w:rPr>
                <w:b/>
                <w:sz w:val="22"/>
                <w:szCs w:val="22"/>
              </w:rPr>
              <w:t>ода</w:t>
            </w:r>
          </w:p>
        </w:tc>
      </w:tr>
      <w:tr w:rsidR="00C12B61" w:rsidRPr="00813E5E" w14:paraId="3AA4CEAF" w14:textId="77777777">
        <w:trPr>
          <w:cantSplit/>
          <w:trHeight w:val="23"/>
        </w:trPr>
        <w:tc>
          <w:tcPr>
            <w:tcW w:w="6911" w:type="dxa"/>
            <w:vMerge/>
          </w:tcPr>
          <w:p w14:paraId="3A204EA5" w14:textId="77777777" w:rsidR="00C12B61" w:rsidRPr="00E02AB9" w:rsidRDefault="00C12B61" w:rsidP="00F45CA2">
            <w:pPr>
              <w:tabs>
                <w:tab w:val="left" w:pos="851"/>
              </w:tabs>
              <w:spacing w:line="240" w:lineRule="atLeast"/>
              <w:rPr>
                <w:b/>
                <w:sz w:val="22"/>
                <w:szCs w:val="22"/>
              </w:rPr>
            </w:pPr>
            <w:bookmarkStart w:id="5" w:name="dorlang"/>
            <w:bookmarkEnd w:id="4"/>
          </w:p>
        </w:tc>
        <w:tc>
          <w:tcPr>
            <w:tcW w:w="3120" w:type="dxa"/>
          </w:tcPr>
          <w:p w14:paraId="0475EA29" w14:textId="77777777" w:rsidR="00C12B61" w:rsidRPr="00E02AB9" w:rsidRDefault="00C12B61" w:rsidP="00F45CA2">
            <w:pPr>
              <w:tabs>
                <w:tab w:val="left" w:pos="993"/>
              </w:tabs>
              <w:spacing w:before="0"/>
              <w:rPr>
                <w:b/>
                <w:sz w:val="22"/>
                <w:szCs w:val="22"/>
              </w:rPr>
            </w:pPr>
            <w:r w:rsidRPr="00E02AB9">
              <w:rPr>
                <w:b/>
                <w:sz w:val="22"/>
                <w:szCs w:val="22"/>
              </w:rPr>
              <w:t>Оригинал: английский</w:t>
            </w:r>
          </w:p>
        </w:tc>
      </w:tr>
      <w:tr w:rsidR="00C12B61" w:rsidRPr="00813E5E" w14:paraId="2B749D86" w14:textId="77777777">
        <w:trPr>
          <w:cantSplit/>
        </w:trPr>
        <w:tc>
          <w:tcPr>
            <w:tcW w:w="10031" w:type="dxa"/>
            <w:gridSpan w:val="2"/>
          </w:tcPr>
          <w:p w14:paraId="5F99D45B" w14:textId="77777777" w:rsidR="00C12B61" w:rsidRPr="00E02AB9" w:rsidRDefault="00C12B61" w:rsidP="00F45CA2">
            <w:pPr>
              <w:pStyle w:val="Source"/>
              <w:framePr w:hSpace="0" w:wrap="auto" w:hAnchor="text" w:yAlign="inline"/>
              <w:rPr>
                <w:sz w:val="26"/>
                <w:szCs w:val="26"/>
              </w:rPr>
            </w:pPr>
            <w:bookmarkStart w:id="6" w:name="dsource"/>
            <w:bookmarkEnd w:id="5"/>
            <w:r w:rsidRPr="00E02AB9">
              <w:rPr>
                <w:sz w:val="26"/>
                <w:szCs w:val="26"/>
              </w:rPr>
              <w:t>Отчет Генерального секретаря</w:t>
            </w:r>
          </w:p>
        </w:tc>
      </w:tr>
      <w:tr w:rsidR="00C12B61" w:rsidRPr="007C1B37" w14:paraId="2E2391B2" w14:textId="77777777">
        <w:trPr>
          <w:cantSplit/>
        </w:trPr>
        <w:tc>
          <w:tcPr>
            <w:tcW w:w="10031" w:type="dxa"/>
            <w:gridSpan w:val="2"/>
          </w:tcPr>
          <w:p w14:paraId="33CBD7D3" w14:textId="3ED017F2" w:rsidR="00C12B61" w:rsidRPr="00E02AB9" w:rsidRDefault="00C12B61" w:rsidP="00F45CA2">
            <w:pPr>
              <w:pStyle w:val="Title1"/>
              <w:framePr w:hSpace="0" w:wrap="auto" w:hAnchor="text" w:yAlign="inline"/>
              <w:spacing w:after="360"/>
              <w:rPr>
                <w:sz w:val="26"/>
                <w:szCs w:val="26"/>
              </w:rPr>
            </w:pPr>
            <w:bookmarkStart w:id="7" w:name="dtitle1"/>
            <w:bookmarkEnd w:id="6"/>
            <w:r w:rsidRPr="00E02AB9">
              <w:rPr>
                <w:sz w:val="26"/>
                <w:szCs w:val="26"/>
              </w:rPr>
              <w:t>ЦИФРОВЫЕ ФИНАНСОВЫЕ УСЛУГИ</w:t>
            </w:r>
          </w:p>
        </w:tc>
      </w:tr>
    </w:tbl>
    <w:tbl>
      <w:tblPr>
        <w:tblW w:w="8789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C12B61" w:rsidRPr="00E02AB9" w14:paraId="137CC59D" w14:textId="77777777" w:rsidTr="00F45CA2">
        <w:trPr>
          <w:trHeight w:val="3372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14:paraId="7E0F736D" w14:textId="29F59A18" w:rsidR="00C12B61" w:rsidRPr="00E02AB9" w:rsidRDefault="00C12B61" w:rsidP="00F45CA2">
            <w:pPr>
              <w:pStyle w:val="Headingb"/>
              <w:keepNext w:val="0"/>
              <w:keepLines w:val="0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Резюме</w:t>
            </w:r>
          </w:p>
          <w:p w14:paraId="638CC1D9" w14:textId="6C30B442" w:rsidR="00792F59" w:rsidRPr="00E02AB9" w:rsidRDefault="00F712FD" w:rsidP="00F45CA2">
            <w:pPr>
              <w:jc w:val="both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В Резолюции 89 ВАСЭ (</w:t>
            </w:r>
            <w:proofErr w:type="spellStart"/>
            <w:r w:rsidRPr="00E02AB9">
              <w:rPr>
                <w:sz w:val="22"/>
                <w:szCs w:val="22"/>
              </w:rPr>
              <w:t>Хаммамет</w:t>
            </w:r>
            <w:proofErr w:type="spellEnd"/>
            <w:r w:rsidRPr="00E02AB9">
              <w:rPr>
                <w:sz w:val="22"/>
                <w:szCs w:val="22"/>
              </w:rPr>
              <w:t>, 2016 г.) Директору Бюро стандартизации электросвязи поручается совместно с Директорами других Бюро ежегодно отчитываться Совету о работе по продвижению использования ИКТ с целью преодоления разрыва в охвате финансовыми услугами.</w:t>
            </w:r>
          </w:p>
          <w:p w14:paraId="0A4ABCCF" w14:textId="30D0AFBF" w:rsidR="00F303B0" w:rsidRPr="00E02AB9" w:rsidRDefault="00C12B61" w:rsidP="00345CE5">
            <w:pPr>
              <w:jc w:val="both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Оперативная группа МСЭ-T по цифровым финансовым услугам (ОГ</w:t>
            </w:r>
            <w:r w:rsidR="00345CE5">
              <w:rPr>
                <w:sz w:val="22"/>
                <w:szCs w:val="22"/>
              </w:rPr>
              <w:t xml:space="preserve"> </w:t>
            </w:r>
            <w:r w:rsidRPr="00E02AB9">
              <w:rPr>
                <w:sz w:val="22"/>
                <w:szCs w:val="22"/>
              </w:rPr>
              <w:t>ЦФУ) завершила свою работу в декабре 2016 года. Она выпустила 28 отчетов и около 85 рекомендаций, содержащих указания в отношении политики и примеры передового опыта для регулятор</w:t>
            </w:r>
            <w:r w:rsidR="00345CE5">
              <w:rPr>
                <w:sz w:val="22"/>
                <w:szCs w:val="22"/>
              </w:rPr>
              <w:t xml:space="preserve">ных и директивных </w:t>
            </w:r>
            <w:r w:rsidRPr="00E02AB9">
              <w:rPr>
                <w:sz w:val="22"/>
                <w:szCs w:val="22"/>
              </w:rPr>
              <w:t>органов</w:t>
            </w:r>
            <w:r w:rsidR="00345CE5">
              <w:rPr>
                <w:sz w:val="22"/>
                <w:szCs w:val="22"/>
              </w:rPr>
              <w:t xml:space="preserve">, а также </w:t>
            </w:r>
            <w:r w:rsidRPr="00E02AB9">
              <w:rPr>
                <w:sz w:val="22"/>
                <w:szCs w:val="22"/>
              </w:rPr>
              <w:t xml:space="preserve">поставщиков цифровых финансовых услуг относительно решения проблем, с которыми они сталкиваются, стремясь устранить разрыв в охвате финансовыми услугами. </w:t>
            </w:r>
          </w:p>
          <w:p w14:paraId="7F3F1695" w14:textId="21178231" w:rsidR="00F303B0" w:rsidRPr="00E02AB9" w:rsidRDefault="00F303B0" w:rsidP="000C5C28">
            <w:pPr>
              <w:jc w:val="both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Глобальный диалог по охвату цифровыми финансовыми услугами – это инициатива МСЭ-D в ответ на полномочия, определенные в Резолюции 48 (</w:t>
            </w:r>
            <w:r w:rsidR="00345CE5" w:rsidRPr="00E02AB9">
              <w:rPr>
                <w:sz w:val="22"/>
                <w:szCs w:val="22"/>
              </w:rPr>
              <w:t>Пересм</w:t>
            </w:r>
            <w:r w:rsidRPr="00E02AB9">
              <w:rPr>
                <w:sz w:val="22"/>
                <w:szCs w:val="22"/>
              </w:rPr>
              <w:t>. Хайдарабад, 2010 г.) и Резолюции 64 (</w:t>
            </w:r>
            <w:r w:rsidR="00345CE5" w:rsidRPr="00E02AB9">
              <w:rPr>
                <w:sz w:val="22"/>
                <w:szCs w:val="22"/>
              </w:rPr>
              <w:t>Пересм</w:t>
            </w:r>
            <w:r w:rsidRPr="00E02AB9">
              <w:rPr>
                <w:sz w:val="22"/>
                <w:szCs w:val="22"/>
              </w:rPr>
              <w:t xml:space="preserve">. Дубай, 2014 г.) ВКРЭ. Группа старших сотрудников по регуляторным вопросам создала рабочую группу, которая вместе с МСЭ будет помогать Членам МСЭ </w:t>
            </w:r>
            <w:r w:rsidRPr="00E02AB9">
              <w:rPr>
                <w:color w:val="000000"/>
                <w:sz w:val="22"/>
                <w:szCs w:val="22"/>
              </w:rPr>
              <w:t>расширять доступ к электросвязи/ИКТ и реализовывать инновационные решения в области охвата цифровыми финансовыми услугами</w:t>
            </w:r>
            <w:r w:rsidRPr="00E02AB9">
              <w:rPr>
                <w:sz w:val="22"/>
                <w:szCs w:val="22"/>
              </w:rPr>
              <w:t>, а также повышать уровень осведомленности о важности совместного регулирования силами финансового сектора, сектора электросвязи и антимонопольных органов.</w:t>
            </w:r>
          </w:p>
          <w:p w14:paraId="7B6339B5" w14:textId="310ED6C7" w:rsidR="00C12B61" w:rsidRPr="00E02AB9" w:rsidRDefault="00C12B61" w:rsidP="00F45CA2">
            <w:pPr>
              <w:jc w:val="both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Последующий проект будет нацелен на реализацию рекомендаций ОГ ЦФУ вместе с рекомендациями других групп.</w:t>
            </w:r>
          </w:p>
          <w:p w14:paraId="28A9C2E6" w14:textId="77777777" w:rsidR="00C12B61" w:rsidRPr="00E02AB9" w:rsidRDefault="00C12B61" w:rsidP="00F45CA2">
            <w:pPr>
              <w:pStyle w:val="Headingb"/>
              <w:keepNext w:val="0"/>
              <w:keepLines w:val="0"/>
              <w:jc w:val="both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Необходимые действия</w:t>
            </w:r>
          </w:p>
          <w:p w14:paraId="13A6CBFF" w14:textId="77777777" w:rsidR="00C12B61" w:rsidRPr="00E02AB9" w:rsidRDefault="00C12B61" w:rsidP="00F45CA2">
            <w:pPr>
              <w:jc w:val="both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 xml:space="preserve">Совету предлагается </w:t>
            </w:r>
            <w:r w:rsidRPr="00E02AB9">
              <w:rPr>
                <w:b/>
                <w:bCs/>
                <w:sz w:val="22"/>
                <w:szCs w:val="22"/>
              </w:rPr>
              <w:t>принять к сведению</w:t>
            </w:r>
            <w:r w:rsidRPr="00E02AB9">
              <w:rPr>
                <w:sz w:val="22"/>
                <w:szCs w:val="22"/>
              </w:rPr>
              <w:t xml:space="preserve"> настоящий отчет.</w:t>
            </w:r>
          </w:p>
          <w:p w14:paraId="00ECB255" w14:textId="77777777" w:rsidR="00C12B61" w:rsidRPr="00E02AB9" w:rsidRDefault="00C12B61" w:rsidP="00F45CA2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szCs w:val="22"/>
              </w:rPr>
            </w:pPr>
            <w:r w:rsidRPr="00E02AB9">
              <w:rPr>
                <w:rFonts w:ascii="Calibri" w:hAnsi="Calibri"/>
                <w:caps w:val="0"/>
                <w:sz w:val="22"/>
                <w:szCs w:val="22"/>
              </w:rPr>
              <w:t>____________</w:t>
            </w:r>
          </w:p>
          <w:p w14:paraId="13821F4E" w14:textId="77777777" w:rsidR="00C12B61" w:rsidRPr="00E02AB9" w:rsidRDefault="00C12B61" w:rsidP="00F45CA2">
            <w:pPr>
              <w:pStyle w:val="Headingb"/>
              <w:keepNext w:val="0"/>
              <w:keepLines w:val="0"/>
              <w:rPr>
                <w:sz w:val="22"/>
                <w:szCs w:val="22"/>
              </w:rPr>
            </w:pPr>
            <w:r w:rsidRPr="00E02AB9">
              <w:rPr>
                <w:sz w:val="22"/>
                <w:szCs w:val="22"/>
              </w:rPr>
              <w:t>Справочные материалы</w:t>
            </w:r>
          </w:p>
          <w:p w14:paraId="01F79E33" w14:textId="7E144035" w:rsidR="00E30169" w:rsidRPr="00E02AB9" w:rsidRDefault="00841DD7" w:rsidP="000C5C28">
            <w:pPr>
              <w:spacing w:after="120"/>
              <w:rPr>
                <w:sz w:val="22"/>
                <w:szCs w:val="22"/>
              </w:rPr>
            </w:pPr>
            <w:hyperlink r:id="rId9" w:history="1">
              <w:r w:rsidR="0031234B" w:rsidRPr="00E02AB9">
                <w:rPr>
                  <w:rStyle w:val="Hyperlink"/>
                  <w:sz w:val="22"/>
                  <w:szCs w:val="22"/>
                </w:rPr>
                <w:t>Веб-сайт Оперативной группы МСЭ-T по цифровым финансовым услугам</w:t>
              </w:r>
            </w:hyperlink>
            <w:r w:rsidR="0031234B" w:rsidRPr="00E02AB9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 xml:space="preserve">; </w:t>
            </w:r>
            <w:hyperlink r:id="rId10" w:history="1">
              <w:r w:rsidR="0031234B" w:rsidRPr="00E02AB9">
                <w:rPr>
                  <w:rStyle w:val="Hyperlink"/>
                  <w:sz w:val="22"/>
                  <w:szCs w:val="22"/>
                </w:rPr>
                <w:t>Резолюция 89 ВАСЭ (</w:t>
              </w:r>
              <w:proofErr w:type="spellStart"/>
              <w:r w:rsidR="0031234B" w:rsidRPr="00E02AB9">
                <w:rPr>
                  <w:rStyle w:val="Hyperlink"/>
                  <w:sz w:val="22"/>
                  <w:szCs w:val="22"/>
                </w:rPr>
                <w:t>Хаммамет</w:t>
              </w:r>
              <w:proofErr w:type="spellEnd"/>
              <w:r w:rsidR="0031234B" w:rsidRPr="00E02AB9">
                <w:rPr>
                  <w:rStyle w:val="Hyperlink"/>
                  <w:sz w:val="22"/>
                  <w:szCs w:val="22"/>
                </w:rPr>
                <w:t>, 2016 г.)</w:t>
              </w:r>
            </w:hyperlink>
            <w:r w:rsidR="0031234B" w:rsidRPr="00E02AB9">
              <w:rPr>
                <w:rStyle w:val="Hyperlink"/>
                <w:bCs/>
                <w:color w:val="auto"/>
                <w:sz w:val="22"/>
                <w:szCs w:val="22"/>
                <w:u w:val="none"/>
              </w:rPr>
              <w:t xml:space="preserve">; </w:t>
            </w:r>
            <w:hyperlink r:id="rId11" w:history="1">
              <w:r w:rsidR="0031234B" w:rsidRPr="00E02AB9">
                <w:rPr>
                  <w:rStyle w:val="Hyperlink"/>
                  <w:sz w:val="22"/>
                  <w:szCs w:val="22"/>
                </w:rPr>
                <w:t>веб-сайт ГСР МСЭ-D</w:t>
              </w:r>
            </w:hyperlink>
            <w:r w:rsidR="0031234B" w:rsidRPr="00E02AB9">
              <w:rPr>
                <w:sz w:val="22"/>
                <w:szCs w:val="22"/>
              </w:rPr>
              <w:t xml:space="preserve">, </w:t>
            </w:r>
            <w:hyperlink r:id="rId12" w:history="1">
              <w:r w:rsidR="0031234B" w:rsidRPr="00E02AB9">
                <w:rPr>
                  <w:rStyle w:val="Hyperlink"/>
                  <w:sz w:val="22"/>
                  <w:szCs w:val="22"/>
                </w:rPr>
                <w:t>Резолюция 48 (</w:t>
              </w:r>
              <w:proofErr w:type="spellStart"/>
              <w:r w:rsidR="0031234B" w:rsidRPr="00E02AB9">
                <w:rPr>
                  <w:rStyle w:val="Hyperlink"/>
                  <w:sz w:val="22"/>
                  <w:szCs w:val="22"/>
                </w:rPr>
                <w:t>пересм</w:t>
              </w:r>
              <w:proofErr w:type="spellEnd"/>
              <w:r w:rsidR="0031234B" w:rsidRPr="00E02AB9">
                <w:rPr>
                  <w:rStyle w:val="Hyperlink"/>
                  <w:sz w:val="22"/>
                  <w:szCs w:val="22"/>
                </w:rPr>
                <w:t xml:space="preserve">. Хайдарабад, 2010 г.) </w:t>
              </w:r>
              <w:r w:rsidR="0031234B" w:rsidRPr="00E02AB9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и </w:t>
              </w:r>
              <w:r w:rsidR="0031234B" w:rsidRPr="00E02AB9">
                <w:rPr>
                  <w:rStyle w:val="Hyperlink"/>
                  <w:sz w:val="22"/>
                  <w:szCs w:val="22"/>
                </w:rPr>
                <w:t>Резолюция 64 (</w:t>
              </w:r>
              <w:proofErr w:type="spellStart"/>
              <w:r w:rsidR="0031234B" w:rsidRPr="00E02AB9">
                <w:rPr>
                  <w:rStyle w:val="Hyperlink"/>
                  <w:sz w:val="22"/>
                  <w:szCs w:val="22"/>
                </w:rPr>
                <w:t>пересм</w:t>
              </w:r>
              <w:proofErr w:type="spellEnd"/>
              <w:r w:rsidR="0031234B" w:rsidRPr="00E02AB9">
                <w:rPr>
                  <w:rStyle w:val="Hyperlink"/>
                  <w:sz w:val="22"/>
                  <w:szCs w:val="22"/>
                </w:rPr>
                <w:t xml:space="preserve">. Дубай, 2014 г.) </w:t>
              </w:r>
              <w:proofErr w:type="gramStart"/>
              <w:r w:rsidR="0031234B" w:rsidRPr="00E02AB9">
                <w:rPr>
                  <w:rStyle w:val="Hyperlink"/>
                  <w:sz w:val="22"/>
                  <w:szCs w:val="22"/>
                </w:rPr>
                <w:t xml:space="preserve">ВАСЭ </w:t>
              </w:r>
            </w:hyperlink>
            <w:r w:rsidR="0031234B" w:rsidRPr="00E02AB9">
              <w:rPr>
                <w:rStyle w:val="Hyperlink"/>
                <w:color w:val="auto"/>
                <w:sz w:val="22"/>
                <w:szCs w:val="22"/>
                <w:u w:val="none"/>
              </w:rPr>
              <w:t>;</w:t>
            </w:r>
            <w:proofErr w:type="gramEnd"/>
            <w:r w:rsidR="0031234B" w:rsidRPr="00E02AB9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hyperlink r:id="rId13" w:history="1">
              <w:r w:rsidR="0031234B" w:rsidRPr="00E02AB9">
                <w:rPr>
                  <w:rStyle w:val="Hyperlink"/>
                  <w:sz w:val="22"/>
                  <w:szCs w:val="22"/>
                </w:rPr>
                <w:t>веб-сайт CRO МСЭ-D</w:t>
              </w:r>
            </w:hyperlink>
          </w:p>
        </w:tc>
      </w:tr>
    </w:tbl>
    <w:p w14:paraId="34B5C0E9" w14:textId="69F0223E" w:rsidR="00C12B61" w:rsidRPr="00E02AB9" w:rsidRDefault="000C5C28" w:rsidP="00F4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840" w:after="120"/>
        <w:jc w:val="both"/>
        <w:rPr>
          <w:sz w:val="22"/>
          <w:szCs w:val="22"/>
        </w:rPr>
      </w:pPr>
      <w:bookmarkStart w:id="8" w:name="dstart"/>
      <w:bookmarkStart w:id="9" w:name="dbreak"/>
      <w:bookmarkEnd w:id="8"/>
      <w:bookmarkEnd w:id="9"/>
      <w:r w:rsidRPr="00E02AB9">
        <w:rPr>
          <w:sz w:val="22"/>
          <w:szCs w:val="22"/>
        </w:rPr>
        <w:lastRenderedPageBreak/>
        <w:t>1</w:t>
      </w:r>
      <w:r w:rsidRPr="00E02AB9">
        <w:rPr>
          <w:sz w:val="22"/>
          <w:szCs w:val="22"/>
        </w:rPr>
        <w:tab/>
        <w:t xml:space="preserve">Оперативная группа по цифровым финансовым услугам (ОГ ЦФУ) была создана КГСЭ на ее собрании в июне 2014 года. Оперативная группа провела свое первое собрание 5 декабря 2014 года, а в декабре 2016 года завершила свою работу. </w:t>
      </w:r>
    </w:p>
    <w:p w14:paraId="3BB68B91" w14:textId="0553B3BE" w:rsidR="00C12B61" w:rsidRPr="00E02AB9" w:rsidRDefault="000C5C28" w:rsidP="00345C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ind w:left="-6" w:right="85"/>
        <w:rPr>
          <w:sz w:val="22"/>
          <w:szCs w:val="22"/>
        </w:rPr>
      </w:pPr>
      <w:r w:rsidRPr="00E02AB9">
        <w:rPr>
          <w:sz w:val="22"/>
          <w:szCs w:val="22"/>
        </w:rPr>
        <w:t>2</w:t>
      </w:r>
      <w:r w:rsidRPr="00E02AB9">
        <w:rPr>
          <w:sz w:val="22"/>
          <w:szCs w:val="22"/>
        </w:rPr>
        <w:tab/>
      </w:r>
      <w:r w:rsidR="00345CE5">
        <w:rPr>
          <w:sz w:val="22"/>
          <w:szCs w:val="22"/>
        </w:rPr>
        <w:t>Цели ОГ ЦФУ</w:t>
      </w:r>
      <w:r w:rsidRPr="00E02AB9">
        <w:rPr>
          <w:sz w:val="22"/>
          <w:szCs w:val="22"/>
        </w:rPr>
        <w:t xml:space="preserve">: </w:t>
      </w:r>
    </w:p>
    <w:p w14:paraId="6514FE7F" w14:textId="77777777" w:rsidR="00C12B61" w:rsidRPr="00E02AB9" w:rsidRDefault="00C12B61" w:rsidP="00F45CA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snapToGrid w:val="0"/>
        <w:spacing w:after="120"/>
        <w:ind w:left="567" w:right="87" w:hanging="432"/>
        <w:jc w:val="both"/>
        <w:textAlignment w:val="auto"/>
        <w:rPr>
          <w:sz w:val="22"/>
          <w:szCs w:val="22"/>
        </w:rPr>
      </w:pPr>
      <w:r w:rsidRPr="00E02AB9">
        <w:rPr>
          <w:sz w:val="22"/>
          <w:szCs w:val="22"/>
        </w:rPr>
        <w:t>содействовать развитию сотрудничества и расширению диалога между финансовыми службами и регуляторными органами электросвязи, разъяснять их соответствующие функции и обязанности в области ЦФУ, чтобы свести к минимуму риски регуляторного арбитража или возникновения правового вакуума;</w:t>
      </w:r>
    </w:p>
    <w:p w14:paraId="717434F0" w14:textId="77777777" w:rsidR="00C12B61" w:rsidRPr="00E02AB9" w:rsidRDefault="00C12B61" w:rsidP="00F45CA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snapToGrid w:val="0"/>
        <w:spacing w:after="120"/>
        <w:ind w:left="567" w:right="87" w:hanging="432"/>
        <w:jc w:val="both"/>
        <w:textAlignment w:val="auto"/>
        <w:rPr>
          <w:sz w:val="22"/>
          <w:szCs w:val="22"/>
        </w:rPr>
      </w:pPr>
      <w:r w:rsidRPr="00E02AB9">
        <w:rPr>
          <w:sz w:val="22"/>
          <w:szCs w:val="22"/>
        </w:rPr>
        <w:t xml:space="preserve">рассматривать некоторые ключевые регуляторные и стратегические вопросы, препятствующие в настоящее время развитию открытой, безопасной и функционально совместимой экосистемы ЦФУ, с </w:t>
      </w:r>
      <w:proofErr w:type="spellStart"/>
      <w:r w:rsidRPr="00E02AB9">
        <w:rPr>
          <w:sz w:val="22"/>
          <w:szCs w:val="22"/>
        </w:rPr>
        <w:t>уделением</w:t>
      </w:r>
      <w:proofErr w:type="spellEnd"/>
      <w:r w:rsidRPr="00E02AB9">
        <w:rPr>
          <w:sz w:val="22"/>
          <w:szCs w:val="22"/>
        </w:rPr>
        <w:t xml:space="preserve"> особого (хотя и не исключительного) внимания тем областям, в которых имеет место дублирование услуг финансовых служб и компаний электросвязи; </w:t>
      </w:r>
    </w:p>
    <w:p w14:paraId="121FBD1F" w14:textId="77777777" w:rsidR="00C12B61" w:rsidRPr="00E02AB9" w:rsidRDefault="00C12B61" w:rsidP="00F45CA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snapToGrid w:val="0"/>
        <w:spacing w:after="120"/>
        <w:ind w:left="567" w:right="87" w:hanging="432"/>
        <w:jc w:val="both"/>
        <w:textAlignment w:val="auto"/>
        <w:rPr>
          <w:sz w:val="22"/>
          <w:szCs w:val="22"/>
        </w:rPr>
      </w:pPr>
      <w:r w:rsidRPr="00E02AB9">
        <w:rPr>
          <w:sz w:val="22"/>
          <w:szCs w:val="22"/>
        </w:rPr>
        <w:t xml:space="preserve">максимально использовать мнения и специальные знания большого числа ключевых участников цепочки создания ценности ЦФУ; </w:t>
      </w:r>
    </w:p>
    <w:p w14:paraId="66A71152" w14:textId="77777777" w:rsidR="00C12B61" w:rsidRPr="00E02AB9" w:rsidRDefault="00C12B61" w:rsidP="00F45CA2">
      <w:pPr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snapToGrid w:val="0"/>
        <w:spacing w:after="120"/>
        <w:ind w:left="567" w:right="87" w:hanging="432"/>
        <w:jc w:val="both"/>
        <w:textAlignment w:val="auto"/>
        <w:rPr>
          <w:sz w:val="22"/>
          <w:szCs w:val="22"/>
        </w:rPr>
      </w:pPr>
      <w:r w:rsidRPr="00E02AB9">
        <w:rPr>
          <w:sz w:val="22"/>
          <w:szCs w:val="22"/>
        </w:rPr>
        <w:t>предоставить лицам, принимающим решения и формирующим политику в развивающихся странах, дополнительные инструменты, чтобы ускорить охват финансовыми услугами и проведение реформы политики.</w:t>
      </w:r>
    </w:p>
    <w:p w14:paraId="3250666F" w14:textId="1563CAEF" w:rsidR="00C12B61" w:rsidRPr="00E02AB9" w:rsidRDefault="000C5C28" w:rsidP="00F4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E02AB9">
        <w:rPr>
          <w:sz w:val="22"/>
          <w:szCs w:val="22"/>
        </w:rPr>
        <w:t>3</w:t>
      </w:r>
      <w:r w:rsidRPr="00E02AB9">
        <w:rPr>
          <w:sz w:val="22"/>
          <w:szCs w:val="22"/>
        </w:rPr>
        <w:tab/>
        <w:t>ОГ ЦФУ</w:t>
      </w:r>
      <w:r w:rsidRPr="00E02AB9">
        <w:rPr>
          <w:b/>
          <w:sz w:val="22"/>
          <w:szCs w:val="22"/>
        </w:rPr>
        <w:t xml:space="preserve"> </w:t>
      </w:r>
      <w:r w:rsidRPr="00E02AB9">
        <w:rPr>
          <w:sz w:val="22"/>
          <w:szCs w:val="22"/>
        </w:rPr>
        <w:t>содействовала проведению эффективных консультаций и сотрудничеству по важнейшим вопросам ЦФУ. Впервые на глобальном уровне она собрала вместе финансовые органы и органы электросвязи, поставщиков ЦФУ, защитников прав потребителей, технических специалистов по ЦФУ, партнеров по развитию и другие основные заинтересованные стороны рынка ЦФУ, чтобы:</w:t>
      </w:r>
    </w:p>
    <w:p w14:paraId="51767C87" w14:textId="26E5076B" w:rsidR="00C12B61" w:rsidRPr="00E02AB9" w:rsidRDefault="00C12B61" w:rsidP="00DA3AC0">
      <w:pPr>
        <w:pStyle w:val="ListParagraph"/>
        <w:numPr>
          <w:ilvl w:val="0"/>
          <w:numId w:val="4"/>
        </w:numPr>
        <w:adjustRightInd w:val="0"/>
        <w:snapToGrid w:val="0"/>
        <w:spacing w:before="120" w:after="120" w:line="240" w:lineRule="auto"/>
        <w:ind w:left="1418" w:hanging="709"/>
        <w:contextualSpacing w:val="0"/>
        <w:rPr>
          <w:rFonts w:eastAsia="Times New Roman" w:cs="Times New Roman"/>
        </w:rPr>
      </w:pPr>
      <w:r w:rsidRPr="00E02AB9">
        <w:rPr>
          <w:b/>
          <w:bCs/>
        </w:rPr>
        <w:t xml:space="preserve">расширить </w:t>
      </w:r>
      <w:r w:rsidRPr="00E02AB9">
        <w:t>сотрудничество между финансовыми органами и органами электросвязи в отношении цифровых финансовых услуг</w:t>
      </w:r>
      <w:r w:rsidR="00DA3AC0">
        <w:t xml:space="preserve">, </w:t>
      </w:r>
      <w:r w:rsidR="00DA3AC0" w:rsidRPr="00DA3AC0">
        <w:rPr>
          <w:b/>
          <w:bCs/>
        </w:rPr>
        <w:t>а также придать этому сотрудничеству официальный характер</w:t>
      </w:r>
      <w:r w:rsidRPr="00E02AB9">
        <w:t>;</w:t>
      </w:r>
    </w:p>
    <w:p w14:paraId="49941677" w14:textId="67626CC2" w:rsidR="00C12B61" w:rsidRPr="00E02AB9" w:rsidRDefault="00345CE5" w:rsidP="00345CE5">
      <w:pPr>
        <w:pStyle w:val="ListParagraph"/>
        <w:numPr>
          <w:ilvl w:val="0"/>
          <w:numId w:val="4"/>
        </w:numPr>
        <w:adjustRightInd w:val="0"/>
        <w:snapToGrid w:val="0"/>
        <w:spacing w:before="120" w:after="120" w:line="240" w:lineRule="auto"/>
        <w:ind w:left="1418" w:hanging="709"/>
        <w:contextualSpacing w:val="0"/>
        <w:rPr>
          <w:rFonts w:eastAsia="Times New Roman" w:cs="Times New Roman"/>
        </w:rPr>
      </w:pPr>
      <w:r>
        <w:rPr>
          <w:b/>
          <w:bCs/>
        </w:rPr>
        <w:t xml:space="preserve">определить </w:t>
      </w:r>
      <w:r w:rsidR="00C12B61" w:rsidRPr="00E02AB9">
        <w:t xml:space="preserve">основные проблемы, ограничивающие развитие надежных, эффективных и благоприятных экосистем ЦФУ; </w:t>
      </w:r>
    </w:p>
    <w:p w14:paraId="512EC1C0" w14:textId="2DE1CF63" w:rsidR="00C12B61" w:rsidRPr="00E02AB9" w:rsidRDefault="00345CE5" w:rsidP="00345CE5">
      <w:pPr>
        <w:pStyle w:val="ListParagraph"/>
        <w:numPr>
          <w:ilvl w:val="0"/>
          <w:numId w:val="4"/>
        </w:numPr>
        <w:adjustRightInd w:val="0"/>
        <w:snapToGrid w:val="0"/>
        <w:spacing w:before="120" w:after="120" w:line="240" w:lineRule="auto"/>
        <w:ind w:left="1418" w:hanging="709"/>
        <w:contextualSpacing w:val="0"/>
        <w:rPr>
          <w:rFonts w:eastAsia="Times New Roman" w:cs="Times New Roman"/>
        </w:rPr>
      </w:pPr>
      <w:r>
        <w:rPr>
          <w:b/>
          <w:bCs/>
        </w:rPr>
        <w:t>про</w:t>
      </w:r>
      <w:r w:rsidR="00C12B61" w:rsidRPr="00E02AB9">
        <w:rPr>
          <w:b/>
          <w:bCs/>
        </w:rPr>
        <w:t>анализировать</w:t>
      </w:r>
      <w:r w:rsidR="00C12B61" w:rsidRPr="00E02AB9">
        <w:t xml:space="preserve"> способы решения этих проблем на практике и обмен</w:t>
      </w:r>
      <w:r>
        <w:t>я</w:t>
      </w:r>
      <w:r w:rsidR="00C12B61" w:rsidRPr="00E02AB9">
        <w:t xml:space="preserve">ться информацией о передовом опыте; </w:t>
      </w:r>
    </w:p>
    <w:p w14:paraId="09CBB985" w14:textId="230AD340" w:rsidR="00C12B61" w:rsidRPr="00E02AB9" w:rsidRDefault="00C12B61" w:rsidP="00345CE5">
      <w:pPr>
        <w:pStyle w:val="ListParagraph"/>
        <w:numPr>
          <w:ilvl w:val="0"/>
          <w:numId w:val="4"/>
        </w:numPr>
        <w:adjustRightInd w:val="0"/>
        <w:snapToGrid w:val="0"/>
        <w:spacing w:before="120" w:after="120" w:line="240" w:lineRule="auto"/>
        <w:ind w:left="1418" w:hanging="709"/>
        <w:contextualSpacing w:val="0"/>
        <w:rPr>
          <w:rFonts w:eastAsia="Times New Roman" w:cs="Times New Roman"/>
        </w:rPr>
      </w:pPr>
      <w:r w:rsidRPr="00E02AB9">
        <w:rPr>
          <w:b/>
          <w:bCs/>
        </w:rPr>
        <w:t>разраб</w:t>
      </w:r>
      <w:r w:rsidR="00345CE5">
        <w:rPr>
          <w:b/>
          <w:bCs/>
        </w:rPr>
        <w:t>о</w:t>
      </w:r>
      <w:r w:rsidRPr="00E02AB9">
        <w:rPr>
          <w:b/>
          <w:bCs/>
        </w:rPr>
        <w:t>т</w:t>
      </w:r>
      <w:r w:rsidR="00345CE5">
        <w:rPr>
          <w:b/>
          <w:bCs/>
        </w:rPr>
        <w:t>а</w:t>
      </w:r>
      <w:r w:rsidRPr="00E02AB9">
        <w:rPr>
          <w:b/>
          <w:bCs/>
        </w:rPr>
        <w:t>ть</w:t>
      </w:r>
      <w:r w:rsidRPr="00E02AB9">
        <w:t xml:space="preserve"> рекомендации в отношении подхода к решению этих проблем для заинтересованных сторон из государственного и частного секторов</w:t>
      </w:r>
    </w:p>
    <w:p w14:paraId="6798E3D4" w14:textId="1D3EF745" w:rsidR="00C12B61" w:rsidRPr="00E02AB9" w:rsidRDefault="000C5C28" w:rsidP="00345C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E02AB9">
        <w:rPr>
          <w:sz w:val="22"/>
          <w:szCs w:val="22"/>
        </w:rPr>
        <w:t>4</w:t>
      </w:r>
      <w:r w:rsidRPr="00E02AB9">
        <w:rPr>
          <w:sz w:val="22"/>
          <w:szCs w:val="22"/>
        </w:rPr>
        <w:tab/>
        <w:t>ОГ ЦФУ выпустила 28 отчетов и около 85 рекомендаций, содержащих указания в отношении политики и примеры передового опыта для регулятор</w:t>
      </w:r>
      <w:r w:rsidR="00345CE5">
        <w:rPr>
          <w:sz w:val="22"/>
          <w:szCs w:val="22"/>
        </w:rPr>
        <w:t xml:space="preserve">ных и директивных органов, а также </w:t>
      </w:r>
      <w:r w:rsidRPr="00E02AB9">
        <w:rPr>
          <w:sz w:val="22"/>
          <w:szCs w:val="22"/>
        </w:rPr>
        <w:t xml:space="preserve">поставщиков цифровых финансовых услуг относительно решения проблем, с которыми они сталкиваются, стремясь устранить разрыв в охвате финансовыми услугами. Все отчеты Оперативной группы доступны </w:t>
      </w:r>
      <w:hyperlink r:id="rId14" w:history="1">
        <w:r w:rsidRPr="00E02AB9">
          <w:rPr>
            <w:rStyle w:val="Hyperlink"/>
            <w:sz w:val="22"/>
            <w:szCs w:val="22"/>
          </w:rPr>
          <w:t>здесь</w:t>
        </w:r>
      </w:hyperlink>
      <w:r w:rsidRPr="00E02AB9">
        <w:rPr>
          <w:sz w:val="22"/>
          <w:szCs w:val="22"/>
        </w:rPr>
        <w:t xml:space="preserve">; также см. </w:t>
      </w:r>
      <w:hyperlink r:id="rId15" w:history="1">
        <w:r w:rsidRPr="00E02AB9">
          <w:rPr>
            <w:rStyle w:val="Hyperlink"/>
            <w:sz w:val="22"/>
            <w:szCs w:val="22"/>
          </w:rPr>
          <w:t>пресс-релиз</w:t>
        </w:r>
      </w:hyperlink>
      <w:r w:rsidRPr="00E02AB9">
        <w:rPr>
          <w:sz w:val="22"/>
          <w:szCs w:val="22"/>
        </w:rPr>
        <w:t xml:space="preserve"> МСЭ.</w:t>
      </w:r>
    </w:p>
    <w:p w14:paraId="6BBC7317" w14:textId="2764B917" w:rsidR="00F303B0" w:rsidRPr="00E02AB9" w:rsidRDefault="000C5C28" w:rsidP="00345C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E02AB9">
        <w:rPr>
          <w:sz w:val="22"/>
          <w:szCs w:val="22"/>
        </w:rPr>
        <w:t>5</w:t>
      </w:r>
      <w:r w:rsidRPr="00E02AB9">
        <w:rPr>
          <w:sz w:val="22"/>
          <w:szCs w:val="22"/>
        </w:rPr>
        <w:tab/>
        <w:t xml:space="preserve">Глобальный диалог по охвату цифровыми финансовыми услугами является частью инициативы МСЭ-D, нацеленной на стимулирование и усиление совместного регулирования силами регуляторных органов сектора ИКТ и других секторов, сконцентрированной в этом году на финансовом секторе. </w:t>
      </w:r>
      <w:r w:rsidR="00345CE5">
        <w:rPr>
          <w:sz w:val="22"/>
          <w:szCs w:val="22"/>
        </w:rPr>
        <w:t xml:space="preserve">На это </w:t>
      </w:r>
      <w:r w:rsidR="00345CE5" w:rsidRPr="00E02AB9">
        <w:rPr>
          <w:sz w:val="22"/>
          <w:szCs w:val="22"/>
        </w:rPr>
        <w:t xml:space="preserve">мероприятие </w:t>
      </w:r>
      <w:r w:rsidRPr="00E02AB9">
        <w:rPr>
          <w:sz w:val="22"/>
          <w:szCs w:val="22"/>
        </w:rPr>
        <w:t>соб</w:t>
      </w:r>
      <w:r w:rsidR="00345CE5">
        <w:rPr>
          <w:sz w:val="22"/>
          <w:szCs w:val="22"/>
        </w:rPr>
        <w:t xml:space="preserve">ираются </w:t>
      </w:r>
      <w:r w:rsidRPr="00E02AB9">
        <w:rPr>
          <w:sz w:val="22"/>
          <w:szCs w:val="22"/>
        </w:rPr>
        <w:t>регулятор</w:t>
      </w:r>
      <w:r w:rsidR="00345CE5">
        <w:rPr>
          <w:sz w:val="22"/>
          <w:szCs w:val="22"/>
        </w:rPr>
        <w:t>ные органы</w:t>
      </w:r>
      <w:r w:rsidRPr="00E02AB9">
        <w:rPr>
          <w:sz w:val="22"/>
          <w:szCs w:val="22"/>
        </w:rPr>
        <w:t xml:space="preserve"> сектора электросвязи/ИКТ и финансового сектора с целью проведения конструктивного диалога глобального уровня по вопросам, актуальным для заинтересованных сторон из обоих секторов. Глобальный диалог дает участникам возможность встретиться, обменяться мнениями и опытом, обсудить синергию и регуляторные "накладки", усилить </w:t>
      </w:r>
      <w:proofErr w:type="spellStart"/>
      <w:r w:rsidRPr="00E02AB9">
        <w:rPr>
          <w:sz w:val="22"/>
          <w:szCs w:val="22"/>
        </w:rPr>
        <w:t>межсекторальное</w:t>
      </w:r>
      <w:proofErr w:type="spellEnd"/>
      <w:r w:rsidRPr="00E02AB9">
        <w:rPr>
          <w:sz w:val="22"/>
          <w:szCs w:val="22"/>
        </w:rPr>
        <w:t xml:space="preserve"> сотрудничество и определить новые подходы к регулированию, способствующие обеспечению всеобщей доступности цифровых финансовых услуг за счет совместного регулирования.  Глобальный диалог дополняет на высоком политическом уровне техническую работу, выполненную Оперативной группой по цифровым финансовым услугам. </w:t>
      </w:r>
    </w:p>
    <w:p w14:paraId="45CC9C1C" w14:textId="59B1D4C7" w:rsidR="00F303B0" w:rsidRPr="00E02AB9" w:rsidRDefault="000C5C28" w:rsidP="00F45C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E02AB9">
        <w:rPr>
          <w:sz w:val="22"/>
          <w:szCs w:val="22"/>
        </w:rPr>
        <w:lastRenderedPageBreak/>
        <w:t>6</w:t>
      </w:r>
      <w:r w:rsidRPr="00E02AB9">
        <w:rPr>
          <w:sz w:val="22"/>
          <w:szCs w:val="22"/>
        </w:rPr>
        <w:tab/>
        <w:t xml:space="preserve">В ходе Глобального диалога по охвату цифровыми финансовыми услугами 2016 года были определены совместные руководящие меры по продвижению в направлении охвата цифровыми финансовыми услугами путем создания синергии на национальном, региональном и глобальном уровнях. Отчет и руководящие меры доступны </w:t>
      </w:r>
      <w:hyperlink r:id="rId16" w:history="1">
        <w:r w:rsidRPr="00E02AB9">
          <w:rPr>
            <w:rStyle w:val="Hyperlink"/>
            <w:sz w:val="22"/>
            <w:szCs w:val="22"/>
          </w:rPr>
          <w:t>здесь</w:t>
        </w:r>
      </w:hyperlink>
      <w:r w:rsidRPr="00E02AB9">
        <w:rPr>
          <w:sz w:val="22"/>
          <w:szCs w:val="22"/>
        </w:rPr>
        <w:t xml:space="preserve">. </w:t>
      </w:r>
    </w:p>
    <w:p w14:paraId="32F9166A" w14:textId="163CB7ED" w:rsidR="00F303B0" w:rsidRPr="00E02AB9" w:rsidRDefault="000C5C28" w:rsidP="00F45CA2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sz w:val="22"/>
          <w:szCs w:val="22"/>
        </w:rPr>
      </w:pPr>
      <w:r w:rsidRPr="00E02AB9">
        <w:rPr>
          <w:sz w:val="22"/>
          <w:szCs w:val="22"/>
        </w:rPr>
        <w:t>7</w:t>
      </w:r>
      <w:r w:rsidRPr="00E02AB9">
        <w:rPr>
          <w:sz w:val="22"/>
          <w:szCs w:val="22"/>
        </w:rPr>
        <w:tab/>
        <w:t xml:space="preserve">Глобальный диалог по охвату цифровыми финансовыми услугами в 2017 году будет посвящен безопасности цифровых финансовых услуг и пройдет 11 июля 2017 года в качестве мероприятия перед ГСР 2017 года, который будет проходить в Нассау, Багамские Острова, с 11 по 14 июля 2017 года под руководством Председателя Управления по вопросам регулирования и конкуренции в сфере коммунальных услуг (URCA) Багамских Островов. С проектом программы можно ознакомиться </w:t>
      </w:r>
      <w:hyperlink r:id="rId17" w:history="1">
        <w:r w:rsidRPr="00E02AB9">
          <w:rPr>
            <w:rStyle w:val="Hyperlink"/>
            <w:sz w:val="22"/>
            <w:szCs w:val="22"/>
          </w:rPr>
          <w:t>здесь</w:t>
        </w:r>
      </w:hyperlink>
      <w:r w:rsidRPr="00E02AB9">
        <w:rPr>
          <w:sz w:val="22"/>
          <w:szCs w:val="22"/>
        </w:rPr>
        <w:t>.</w:t>
      </w:r>
    </w:p>
    <w:p w14:paraId="25FB30B2" w14:textId="1408E295" w:rsidR="00DA53BB" w:rsidRPr="00E02AB9" w:rsidRDefault="000C5C28" w:rsidP="00345CE5">
      <w:pPr>
        <w:jc w:val="both"/>
        <w:rPr>
          <w:sz w:val="22"/>
          <w:szCs w:val="22"/>
        </w:rPr>
      </w:pPr>
      <w:r w:rsidRPr="00E02AB9">
        <w:rPr>
          <w:sz w:val="22"/>
          <w:szCs w:val="22"/>
        </w:rPr>
        <w:t>8</w:t>
      </w:r>
      <w:r w:rsidRPr="00E02AB9">
        <w:rPr>
          <w:sz w:val="22"/>
          <w:szCs w:val="22"/>
        </w:rPr>
        <w:tab/>
      </w:r>
      <w:r w:rsidR="00345CE5">
        <w:rPr>
          <w:sz w:val="22"/>
          <w:szCs w:val="22"/>
        </w:rPr>
        <w:t xml:space="preserve">В рамках </w:t>
      </w:r>
      <w:r w:rsidR="00345CE5" w:rsidRPr="00E02AB9">
        <w:rPr>
          <w:sz w:val="22"/>
          <w:szCs w:val="22"/>
        </w:rPr>
        <w:t xml:space="preserve">МСЭ-D старшие </w:t>
      </w:r>
      <w:r w:rsidRPr="00E02AB9">
        <w:rPr>
          <w:sz w:val="22"/>
          <w:szCs w:val="22"/>
        </w:rPr>
        <w:t xml:space="preserve">сотрудники по регуляторным вопросам (CRO), в частности их Оперативная группа, порекомендовали Членам МСЭ вместе с МСЭ определить виды совместной деятельности с участием Членов МСЭ и партнеров по созданию благоприятной для ЦФУ законодательной и регуляторной базы, уделяя особое внимание методам совместного регулирования силами обоих секторов и пилотным проектам, направленным на </w:t>
      </w:r>
      <w:r w:rsidRPr="00E02AB9">
        <w:rPr>
          <w:color w:val="000000"/>
          <w:sz w:val="22"/>
          <w:szCs w:val="22"/>
        </w:rPr>
        <w:t>повышение доступности электросвязи и ИКТ и развитие инновационных решений в области ЦФУ</w:t>
      </w:r>
      <w:r w:rsidRPr="00E02AB9">
        <w:rPr>
          <w:sz w:val="22"/>
          <w:szCs w:val="22"/>
        </w:rPr>
        <w:t>, а также повышению уровня осведомленности о важности совместного регулирования силами финансового сектора, сектора электросвязи/ИКТ и антимонопольных органов.</w:t>
      </w:r>
    </w:p>
    <w:p w14:paraId="6F6924EA" w14:textId="33E9177E" w:rsidR="00C12B61" w:rsidRPr="00E02AB9" w:rsidRDefault="000C5C28" w:rsidP="00345C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jc w:val="both"/>
        <w:rPr>
          <w:rFonts w:eastAsiaTheme="minorEastAsia"/>
          <w:sz w:val="22"/>
          <w:szCs w:val="22"/>
        </w:rPr>
      </w:pPr>
      <w:r w:rsidRPr="00E02AB9">
        <w:rPr>
          <w:sz w:val="22"/>
          <w:szCs w:val="22"/>
        </w:rPr>
        <w:t>9</w:t>
      </w:r>
      <w:r w:rsidRPr="00E02AB9">
        <w:rPr>
          <w:sz w:val="22"/>
          <w:szCs w:val="22"/>
        </w:rPr>
        <w:tab/>
        <w:t xml:space="preserve">На основе заложенного ОГ ЦФУ эффективного сотрудничества будет запущена Глобальная инициатива по охвату финансовыми услугами как совместный проект МСЭ, Фонда Билла и </w:t>
      </w:r>
      <w:proofErr w:type="spellStart"/>
      <w:r w:rsidRPr="00E02AB9">
        <w:rPr>
          <w:sz w:val="22"/>
          <w:szCs w:val="22"/>
        </w:rPr>
        <w:t>Мелинды</w:t>
      </w:r>
      <w:proofErr w:type="spellEnd"/>
      <w:r w:rsidRPr="00E02AB9">
        <w:rPr>
          <w:sz w:val="22"/>
          <w:szCs w:val="22"/>
        </w:rPr>
        <w:t xml:space="preserve"> Гейтс, Всемирного банка и Комитета по платежам и рыночным инфраструктурам (CPMI) Банка международных расчетов с целью продвижения в направлении универсальной доступности финансовых услуг в течение следующих трех лет (2017–2020 гг.). Глобальная инициатива по охвату финансовыми услугами сосредоточит свою деятельность на реализации рекомендаций Оперативной группы МСЭ по цифровым финансовым услугам, отчета Всемирного банка и Банка международных расчетов по платежным аспектам охвата финансовыми услугами и проекта </w:t>
      </w:r>
      <w:proofErr w:type="spellStart"/>
      <w:r w:rsidRPr="00E02AB9">
        <w:rPr>
          <w:sz w:val="22"/>
          <w:szCs w:val="22"/>
        </w:rPr>
        <w:t>Level</w:t>
      </w:r>
      <w:proofErr w:type="spellEnd"/>
      <w:r w:rsidRPr="00E02AB9">
        <w:rPr>
          <w:sz w:val="22"/>
          <w:szCs w:val="22"/>
        </w:rPr>
        <w:t xml:space="preserve"> </w:t>
      </w:r>
      <w:proofErr w:type="spellStart"/>
      <w:r w:rsidRPr="00E02AB9">
        <w:rPr>
          <w:sz w:val="22"/>
          <w:szCs w:val="22"/>
        </w:rPr>
        <w:t>One</w:t>
      </w:r>
      <w:proofErr w:type="spellEnd"/>
      <w:r w:rsidRPr="00E02AB9">
        <w:rPr>
          <w:sz w:val="22"/>
          <w:szCs w:val="22"/>
        </w:rPr>
        <w:t xml:space="preserve"> Фонда Билла и </w:t>
      </w:r>
      <w:proofErr w:type="spellStart"/>
      <w:r w:rsidRPr="00E02AB9">
        <w:rPr>
          <w:sz w:val="22"/>
          <w:szCs w:val="22"/>
        </w:rPr>
        <w:t>Мелинды</w:t>
      </w:r>
      <w:proofErr w:type="spellEnd"/>
      <w:r w:rsidRPr="00E02AB9">
        <w:rPr>
          <w:sz w:val="22"/>
          <w:szCs w:val="22"/>
        </w:rPr>
        <w:t xml:space="preserve"> Гейтс. </w:t>
      </w:r>
    </w:p>
    <w:p w14:paraId="2FBA0A3D" w14:textId="77777777" w:rsidR="00C12B61" w:rsidRPr="00E02AB9" w:rsidRDefault="00C12B61" w:rsidP="00F45CA2">
      <w:pPr>
        <w:spacing w:before="840"/>
        <w:jc w:val="center"/>
        <w:rPr>
          <w:sz w:val="22"/>
          <w:szCs w:val="22"/>
        </w:rPr>
      </w:pPr>
      <w:r w:rsidRPr="00E02AB9">
        <w:rPr>
          <w:sz w:val="22"/>
          <w:szCs w:val="22"/>
        </w:rPr>
        <w:t>________________</w:t>
      </w:r>
    </w:p>
    <w:sectPr w:rsidR="00C12B61" w:rsidRPr="00E02AB9" w:rsidSect="004D1851">
      <w:headerReference w:type="default" r:id="rId18"/>
      <w:footerReference w:type="default" r:id="rId19"/>
      <w:footerReference w:type="first" r:id="rId2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3EA4C" w14:textId="77777777" w:rsidR="00EF3BE5" w:rsidRDefault="00EF3BE5">
      <w:r>
        <w:separator/>
      </w:r>
    </w:p>
  </w:endnote>
  <w:endnote w:type="continuationSeparator" w:id="0">
    <w:p w14:paraId="6785B359" w14:textId="77777777" w:rsidR="00EF3BE5" w:rsidRDefault="00EF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EE854" w14:textId="7ECB189A" w:rsidR="00CB18FF" w:rsidRPr="00C12B61" w:rsidRDefault="005F48AE">
    <w:pPr>
      <w:pStyle w:val="Footer"/>
      <w:rPr>
        <w:color w:val="D9D9D9" w:themeColor="background1" w:themeShade="D9"/>
      </w:rPr>
    </w:pPr>
    <w:r w:rsidRPr="00C12B61">
      <w:rPr>
        <w:color w:val="D9D9D9" w:themeColor="background1" w:themeShade="D9"/>
      </w:rPr>
      <w:fldChar w:fldCharType="begin"/>
    </w:r>
    <w:r w:rsidRPr="00C12B61">
      <w:rPr>
        <w:color w:val="D9D9D9" w:themeColor="background1" w:themeShade="D9"/>
      </w:rPr>
      <w:instrText xml:space="preserve"> FILENAME \p  \* MERGEFORMAT </w:instrText>
    </w:r>
    <w:r w:rsidRPr="00C12B61">
      <w:rPr>
        <w:color w:val="D9D9D9" w:themeColor="background1" w:themeShade="D9"/>
      </w:rPr>
      <w:fldChar w:fldCharType="separate"/>
    </w:r>
    <w:r w:rsidR="00C12B61" w:rsidRPr="00C12B61">
      <w:rPr>
        <w:color w:val="D9D9D9" w:themeColor="background1" w:themeShade="D9"/>
      </w:rPr>
      <w:t>Document1</w:t>
    </w:r>
    <w:r w:rsidRPr="00C12B61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C12B61">
      <w:rPr>
        <w:color w:val="D9D9D9" w:themeColor="background1" w:themeShade="D9"/>
      </w:rPr>
      <w:fldChar w:fldCharType="begin"/>
    </w:r>
    <w:r w:rsidR="00CB18FF" w:rsidRPr="00C12B61">
      <w:rPr>
        <w:color w:val="D9D9D9" w:themeColor="background1" w:themeShade="D9"/>
      </w:rPr>
      <w:instrText xml:space="preserve"> SAVEDATE \@ DD.MM.YY </w:instrText>
    </w:r>
    <w:r w:rsidR="00864AFF" w:rsidRPr="00C12B61">
      <w:rPr>
        <w:color w:val="D9D9D9" w:themeColor="background1" w:themeShade="D9"/>
      </w:rPr>
      <w:fldChar w:fldCharType="separate"/>
    </w:r>
    <w:r w:rsidR="00841DD7">
      <w:rPr>
        <w:color w:val="D9D9D9" w:themeColor="background1" w:themeShade="D9"/>
      </w:rPr>
      <w:t>08.05.17</w:t>
    </w:r>
    <w:r w:rsidR="00864AFF" w:rsidRPr="00C12B61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C12B61">
      <w:rPr>
        <w:color w:val="D9D9D9" w:themeColor="background1" w:themeShade="D9"/>
      </w:rPr>
      <w:fldChar w:fldCharType="begin"/>
    </w:r>
    <w:r w:rsidR="00CB18FF" w:rsidRPr="00C12B61">
      <w:rPr>
        <w:color w:val="D9D9D9" w:themeColor="background1" w:themeShade="D9"/>
      </w:rPr>
      <w:instrText xml:space="preserve"> PRINTDATE \@ DD.MM.YY </w:instrText>
    </w:r>
    <w:r w:rsidR="00864AFF" w:rsidRPr="00C12B61">
      <w:rPr>
        <w:color w:val="D9D9D9" w:themeColor="background1" w:themeShade="D9"/>
      </w:rPr>
      <w:fldChar w:fldCharType="separate"/>
    </w:r>
    <w:r w:rsidR="00C12B61" w:rsidRPr="00C12B61">
      <w:rPr>
        <w:color w:val="D9D9D9" w:themeColor="background1" w:themeShade="D9"/>
      </w:rPr>
      <w:t>18.07.00</w:t>
    </w:r>
    <w:r w:rsidR="00864AFF" w:rsidRPr="00C12B61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A0F8" w14:textId="77777777"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295B08E3" w14:textId="1AAEB85E" w:rsidR="00322D0D" w:rsidRPr="00C12B61" w:rsidRDefault="005F48AE">
    <w:pPr>
      <w:pStyle w:val="Footer"/>
      <w:rPr>
        <w:color w:val="D9D9D9" w:themeColor="background1" w:themeShade="D9"/>
      </w:rPr>
    </w:pPr>
    <w:r w:rsidRPr="00C12B61">
      <w:rPr>
        <w:color w:val="D9D9D9" w:themeColor="background1" w:themeShade="D9"/>
      </w:rPr>
      <w:fldChar w:fldCharType="begin"/>
    </w:r>
    <w:r w:rsidRPr="00C12B61">
      <w:rPr>
        <w:color w:val="D9D9D9" w:themeColor="background1" w:themeShade="D9"/>
      </w:rPr>
      <w:instrText xml:space="preserve"> FILENAME \p  \* MERGEFORMAT </w:instrText>
    </w:r>
    <w:r w:rsidRPr="00C12B61">
      <w:rPr>
        <w:color w:val="D9D9D9" w:themeColor="background1" w:themeShade="D9"/>
      </w:rPr>
      <w:fldChar w:fldCharType="separate"/>
    </w:r>
    <w:r w:rsidR="00C12B61" w:rsidRPr="00C12B61">
      <w:rPr>
        <w:color w:val="D9D9D9" w:themeColor="background1" w:themeShade="D9"/>
      </w:rPr>
      <w:t>Document1</w:t>
    </w:r>
    <w:r w:rsidRPr="00C12B61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C12B61">
      <w:rPr>
        <w:color w:val="D9D9D9" w:themeColor="background1" w:themeShade="D9"/>
      </w:rPr>
      <w:fldChar w:fldCharType="begin"/>
    </w:r>
    <w:r w:rsidR="00322D0D" w:rsidRPr="00C12B61">
      <w:rPr>
        <w:color w:val="D9D9D9" w:themeColor="background1" w:themeShade="D9"/>
      </w:rPr>
      <w:instrText xml:space="preserve"> SAVEDATE \@ DD.MM.YY </w:instrText>
    </w:r>
    <w:r w:rsidR="00864AFF" w:rsidRPr="00C12B61">
      <w:rPr>
        <w:color w:val="D9D9D9" w:themeColor="background1" w:themeShade="D9"/>
      </w:rPr>
      <w:fldChar w:fldCharType="separate"/>
    </w:r>
    <w:r w:rsidR="00841DD7">
      <w:rPr>
        <w:color w:val="D9D9D9" w:themeColor="background1" w:themeShade="D9"/>
      </w:rPr>
      <w:t>08.05.17</w:t>
    </w:r>
    <w:r w:rsidR="00864AFF" w:rsidRPr="00C12B61">
      <w:rPr>
        <w:color w:val="D9D9D9" w:themeColor="background1" w:themeShade="D9"/>
      </w:rPr>
      <w:fldChar w:fldCharType="end"/>
    </w:r>
    <w:r>
      <w:rPr>
        <w:color w:val="D9D9D9" w:themeColor="background1" w:themeShade="D9"/>
      </w:rPr>
      <w:tab/>
    </w:r>
    <w:r w:rsidR="00864AFF" w:rsidRPr="00C12B61">
      <w:rPr>
        <w:color w:val="D9D9D9" w:themeColor="background1" w:themeShade="D9"/>
      </w:rPr>
      <w:fldChar w:fldCharType="begin"/>
    </w:r>
    <w:r w:rsidR="00322D0D" w:rsidRPr="00C12B61">
      <w:rPr>
        <w:color w:val="D9D9D9" w:themeColor="background1" w:themeShade="D9"/>
      </w:rPr>
      <w:instrText xml:space="preserve"> PRINTDATE \@ DD.MM.YY </w:instrText>
    </w:r>
    <w:r w:rsidR="00864AFF" w:rsidRPr="00C12B61">
      <w:rPr>
        <w:color w:val="D9D9D9" w:themeColor="background1" w:themeShade="D9"/>
      </w:rPr>
      <w:fldChar w:fldCharType="separate"/>
    </w:r>
    <w:r w:rsidR="00C12B61" w:rsidRPr="00C12B61">
      <w:rPr>
        <w:color w:val="D9D9D9" w:themeColor="background1" w:themeShade="D9"/>
      </w:rPr>
      <w:t>18.07.00</w:t>
    </w:r>
    <w:r w:rsidR="00864AFF" w:rsidRPr="00C12B61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8E85D" w14:textId="77777777" w:rsidR="00EF3BE5" w:rsidRDefault="00EF3BE5">
      <w:r>
        <w:t>____________________</w:t>
      </w:r>
    </w:p>
  </w:footnote>
  <w:footnote w:type="continuationSeparator" w:id="0">
    <w:p w14:paraId="1470B38E" w14:textId="77777777" w:rsidR="00EF3BE5" w:rsidRDefault="00EF3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54657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841DD7">
      <w:rPr>
        <w:noProof/>
      </w:rPr>
      <w:t>3</w:t>
    </w:r>
    <w:r>
      <w:fldChar w:fldCharType="end"/>
    </w:r>
  </w:p>
  <w:p w14:paraId="35A82E87" w14:textId="77777777" w:rsidR="00322D0D" w:rsidRDefault="00C12B61" w:rsidP="005243FF">
    <w:pPr>
      <w:pStyle w:val="Header"/>
    </w:pPr>
    <w:r>
      <w:t>C17/68-E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BC278A"/>
    <w:multiLevelType w:val="hybridMultilevel"/>
    <w:tmpl w:val="A1B64F00"/>
    <w:lvl w:ilvl="0" w:tplc="F29846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C67F71"/>
    <w:multiLevelType w:val="hybridMultilevel"/>
    <w:tmpl w:val="DBEA5ED8"/>
    <w:lvl w:ilvl="0" w:tplc="0409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B37C8D"/>
    <w:multiLevelType w:val="hybridMultilevel"/>
    <w:tmpl w:val="019AC442"/>
    <w:lvl w:ilvl="0" w:tplc="04090001">
      <w:start w:val="1"/>
      <w:numFmt w:val="bullet"/>
      <w:lvlText w:val=""/>
      <w:lvlJc w:val="left"/>
      <w:pPr>
        <w:ind w:left="78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056723C">
      <w:start w:val="1"/>
      <w:numFmt w:val="bullet"/>
      <w:lvlText w:val="o"/>
      <w:lvlJc w:val="left"/>
      <w:pPr>
        <w:ind w:left="1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05E0B10">
      <w:start w:val="1"/>
      <w:numFmt w:val="bullet"/>
      <w:lvlText w:val="▪"/>
      <w:lvlJc w:val="left"/>
      <w:pPr>
        <w:ind w:left="2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E42DD86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CB23744">
      <w:start w:val="1"/>
      <w:numFmt w:val="bullet"/>
      <w:lvlText w:val="o"/>
      <w:lvlJc w:val="left"/>
      <w:pPr>
        <w:ind w:left="36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F4607A4">
      <w:start w:val="1"/>
      <w:numFmt w:val="bullet"/>
      <w:lvlText w:val="▪"/>
      <w:lvlJc w:val="left"/>
      <w:pPr>
        <w:ind w:left="4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BEC4E84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7AA447C">
      <w:start w:val="1"/>
      <w:numFmt w:val="bullet"/>
      <w:lvlText w:val="o"/>
      <w:lvlJc w:val="left"/>
      <w:pPr>
        <w:ind w:left="57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30AD6F0">
      <w:start w:val="1"/>
      <w:numFmt w:val="bullet"/>
      <w:lvlText w:val="▪"/>
      <w:lvlJc w:val="left"/>
      <w:pPr>
        <w:ind w:left="6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Y0NTc3sDS0MDaxMDdU0lEKTi0uzszPAykwrgUAMkeOjCwAAAA="/>
  </w:docVars>
  <w:rsids>
    <w:rsidRoot w:val="00C12B61"/>
    <w:rsid w:val="000210D4"/>
    <w:rsid w:val="000308FA"/>
    <w:rsid w:val="00063016"/>
    <w:rsid w:val="00066795"/>
    <w:rsid w:val="00076AF6"/>
    <w:rsid w:val="00085CF2"/>
    <w:rsid w:val="000A08F0"/>
    <w:rsid w:val="000B1705"/>
    <w:rsid w:val="000C5C28"/>
    <w:rsid w:val="000D75B2"/>
    <w:rsid w:val="001121F5"/>
    <w:rsid w:val="00113AA7"/>
    <w:rsid w:val="001400DC"/>
    <w:rsid w:val="00140CE1"/>
    <w:rsid w:val="0017539C"/>
    <w:rsid w:val="00175AC2"/>
    <w:rsid w:val="0017609F"/>
    <w:rsid w:val="001A14CD"/>
    <w:rsid w:val="001C2C32"/>
    <w:rsid w:val="001C628E"/>
    <w:rsid w:val="001E0F7B"/>
    <w:rsid w:val="002119FD"/>
    <w:rsid w:val="002130E0"/>
    <w:rsid w:val="00264425"/>
    <w:rsid w:val="00265875"/>
    <w:rsid w:val="0027303B"/>
    <w:rsid w:val="0028109B"/>
    <w:rsid w:val="002B1F58"/>
    <w:rsid w:val="002C1C7A"/>
    <w:rsid w:val="002C4128"/>
    <w:rsid w:val="0030160F"/>
    <w:rsid w:val="0031234B"/>
    <w:rsid w:val="00322D0D"/>
    <w:rsid w:val="00345CE5"/>
    <w:rsid w:val="003942D4"/>
    <w:rsid w:val="003958A8"/>
    <w:rsid w:val="003C2533"/>
    <w:rsid w:val="0040435A"/>
    <w:rsid w:val="00416A24"/>
    <w:rsid w:val="00431D9E"/>
    <w:rsid w:val="00433CE8"/>
    <w:rsid w:val="00434A5C"/>
    <w:rsid w:val="004544D9"/>
    <w:rsid w:val="0045779A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31630"/>
    <w:rsid w:val="00564FBC"/>
    <w:rsid w:val="00582442"/>
    <w:rsid w:val="005D7792"/>
    <w:rsid w:val="005F48AE"/>
    <w:rsid w:val="00616840"/>
    <w:rsid w:val="006257FB"/>
    <w:rsid w:val="0064737F"/>
    <w:rsid w:val="006535F1"/>
    <w:rsid w:val="0065557D"/>
    <w:rsid w:val="00662984"/>
    <w:rsid w:val="006716BB"/>
    <w:rsid w:val="006B6680"/>
    <w:rsid w:val="006B6DCC"/>
    <w:rsid w:val="00702DEF"/>
    <w:rsid w:val="00706861"/>
    <w:rsid w:val="00733019"/>
    <w:rsid w:val="0075051B"/>
    <w:rsid w:val="00792F59"/>
    <w:rsid w:val="00794D34"/>
    <w:rsid w:val="007C1B37"/>
    <w:rsid w:val="007E5933"/>
    <w:rsid w:val="00813E5E"/>
    <w:rsid w:val="0083581B"/>
    <w:rsid w:val="00841DD7"/>
    <w:rsid w:val="00851C5B"/>
    <w:rsid w:val="00864AFF"/>
    <w:rsid w:val="008B4A6A"/>
    <w:rsid w:val="008C7E27"/>
    <w:rsid w:val="0091662D"/>
    <w:rsid w:val="009173EF"/>
    <w:rsid w:val="00932906"/>
    <w:rsid w:val="00961B0B"/>
    <w:rsid w:val="00991725"/>
    <w:rsid w:val="009B38C3"/>
    <w:rsid w:val="009C3674"/>
    <w:rsid w:val="009E17BD"/>
    <w:rsid w:val="00A04CEC"/>
    <w:rsid w:val="00A27F92"/>
    <w:rsid w:val="00A32257"/>
    <w:rsid w:val="00A36D20"/>
    <w:rsid w:val="00A55622"/>
    <w:rsid w:val="00A83502"/>
    <w:rsid w:val="00AD15B3"/>
    <w:rsid w:val="00AD3462"/>
    <w:rsid w:val="00AF6E49"/>
    <w:rsid w:val="00B04A67"/>
    <w:rsid w:val="00B0583C"/>
    <w:rsid w:val="00B2188C"/>
    <w:rsid w:val="00B40A81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12B61"/>
    <w:rsid w:val="00C20545"/>
    <w:rsid w:val="00C374DE"/>
    <w:rsid w:val="00C47AD4"/>
    <w:rsid w:val="00C52D81"/>
    <w:rsid w:val="00C55198"/>
    <w:rsid w:val="00C62C56"/>
    <w:rsid w:val="00C70463"/>
    <w:rsid w:val="00C82201"/>
    <w:rsid w:val="00CA6393"/>
    <w:rsid w:val="00CB18FF"/>
    <w:rsid w:val="00CD0C08"/>
    <w:rsid w:val="00CE03FB"/>
    <w:rsid w:val="00CE433C"/>
    <w:rsid w:val="00CF33F3"/>
    <w:rsid w:val="00D06183"/>
    <w:rsid w:val="00D22C42"/>
    <w:rsid w:val="00D325AD"/>
    <w:rsid w:val="00D51775"/>
    <w:rsid w:val="00D65041"/>
    <w:rsid w:val="00D82AC0"/>
    <w:rsid w:val="00DA3AC0"/>
    <w:rsid w:val="00DA53BB"/>
    <w:rsid w:val="00DB384B"/>
    <w:rsid w:val="00E02AB9"/>
    <w:rsid w:val="00E10E80"/>
    <w:rsid w:val="00E124F0"/>
    <w:rsid w:val="00E30169"/>
    <w:rsid w:val="00E60F04"/>
    <w:rsid w:val="00E64815"/>
    <w:rsid w:val="00E8391B"/>
    <w:rsid w:val="00E854E4"/>
    <w:rsid w:val="00EB0D6F"/>
    <w:rsid w:val="00EB2232"/>
    <w:rsid w:val="00EB42FE"/>
    <w:rsid w:val="00EC5337"/>
    <w:rsid w:val="00EF3BE5"/>
    <w:rsid w:val="00F130EE"/>
    <w:rsid w:val="00F2150A"/>
    <w:rsid w:val="00F231D8"/>
    <w:rsid w:val="00F236A9"/>
    <w:rsid w:val="00F303B0"/>
    <w:rsid w:val="00F41119"/>
    <w:rsid w:val="00F45CA2"/>
    <w:rsid w:val="00F46C5F"/>
    <w:rsid w:val="00F712FD"/>
    <w:rsid w:val="00F839CE"/>
    <w:rsid w:val="00F94A63"/>
    <w:rsid w:val="00FA1C28"/>
    <w:rsid w:val="00FB7596"/>
    <w:rsid w:val="00FE4077"/>
    <w:rsid w:val="00FE7606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3C21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F45CA2"/>
    <w:pPr>
      <w:framePr w:hSpace="180" w:wrap="around" w:hAnchor="margin" w:y="-675"/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framePr w:wrap="around"/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C12B61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aliases w:val="NUMBERED PARAGRAPH,List Paragraph 1,List Paragraph (numbered (a)),Use Case List Paragraph,References,ReferencesCxSpLast,lp1"/>
    <w:basedOn w:val="Normal"/>
    <w:link w:val="ListParagraphChar"/>
    <w:uiPriority w:val="34"/>
    <w:qFormat/>
    <w:rsid w:val="00C12B61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jc w:val="both"/>
      <w:textAlignment w:val="auto"/>
    </w:pPr>
    <w:rPr>
      <w:rFonts w:eastAsia="MS Mincho" w:cs="Arial"/>
      <w:sz w:val="22"/>
      <w:szCs w:val="22"/>
      <w:lang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"/>
    <w:link w:val="ListParagraph"/>
    <w:uiPriority w:val="34"/>
    <w:rsid w:val="00C12B61"/>
    <w:rPr>
      <w:rFonts w:ascii="Calibri" w:eastAsia="MS Mincho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E6481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4815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D/Conferences/CRO/Pages/default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D/Conferences/WTDC/Documents/D-TDC-WTDC-2014-PDF-E.pdf" TargetMode="External"/><Relationship Id="rId17" Type="http://schemas.openxmlformats.org/officeDocument/2006/relationships/hyperlink" Target="http://www.itu.int/en/ITU-D/Conferences/GSR/Pages/GSR2017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en/ITU-D/Conferences/GSR/Documents/GSR2016/Meeting_report_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D/Conferences/GSR/Pages/GSR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mediacentre/Pages/2017-PR07.aspx" TargetMode="External"/><Relationship Id="rId10" Type="http://schemas.openxmlformats.org/officeDocument/2006/relationships/hyperlink" Target="https://www.itu.int/dms_pub/itu-t/opb/res/T-RES-T.89-2016-PDF-E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focusgroups/dfs/Pages/deliverables.aspx" TargetMode="External"/><Relationship Id="rId14" Type="http://schemas.openxmlformats.org/officeDocument/2006/relationships/hyperlink" Target="http://www.itu.int/en/ITU-T/focusgroups/dfs/Pages/deliverables.asp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DA9FA-0294-4EB0-8045-C2C5698F6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0</TotalTime>
  <Pages>3</Pages>
  <Words>969</Words>
  <Characters>7330</Characters>
  <Application>Microsoft Office Word</Application>
  <DocSecurity>4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2017-05-08T13:36:00Z</dcterms:created>
  <dcterms:modified xsi:type="dcterms:W3CDTF">2017-05-08T13:36:00Z</dcterms:modified>
  <cp:category/>
</cp:coreProperties>
</file>