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12B61" w:rsidRPr="00813E5E" w14:paraId="4825E108" w14:textId="77777777">
        <w:trPr>
          <w:cantSplit/>
        </w:trPr>
        <w:tc>
          <w:tcPr>
            <w:tcW w:w="6911" w:type="dxa"/>
          </w:tcPr>
          <w:p w14:paraId="57872CA0" w14:textId="77777777" w:rsidR="00C12B61" w:rsidRPr="00813E5E" w:rsidRDefault="00C12B61" w:rsidP="00F45CA2">
            <w:pPr>
              <w:spacing w:before="360" w:after="48" w:line="240" w:lineRule="atLeast"/>
              <w:rPr>
                <w:position w:val="6"/>
              </w:rPr>
            </w:pPr>
            <w:bookmarkStart w:id="0" w:name="dc06"/>
            <w:bookmarkEnd w:id="0"/>
            <w:r w:rsidRPr="00C12B61">
              <w:rPr>
                <w:b/>
                <w:bCs/>
                <w:position w:val="6"/>
                <w:sz w:val="30"/>
                <w:szCs w:val="30"/>
                <w:lang w:val="fr-CH"/>
              </w:rPr>
              <w:t>Council 2017</w:t>
            </w:r>
            <w:r w:rsidRPr="00C12B61">
              <w:rPr>
                <w:rFonts w:cs="Times"/>
                <w:b/>
                <w:position w:val="6"/>
                <w:sz w:val="26"/>
                <w:szCs w:val="26"/>
                <w:lang w:val="en-US"/>
              </w:rPr>
              <w:br/>
            </w:r>
            <w:r w:rsidRPr="00C12B61">
              <w:rPr>
                <w:b/>
                <w:bCs/>
                <w:position w:val="6"/>
                <w:szCs w:val="24"/>
                <w:lang w:val="fr-CH"/>
              </w:rPr>
              <w:t>Geneva, 15-25 May 2017</w:t>
            </w:r>
          </w:p>
        </w:tc>
        <w:tc>
          <w:tcPr>
            <w:tcW w:w="3120" w:type="dxa"/>
          </w:tcPr>
          <w:p w14:paraId="77C7D43B" w14:textId="77777777" w:rsidR="00C12B61" w:rsidRPr="00813E5E" w:rsidRDefault="00C12B61" w:rsidP="00F45CA2">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0F2788ED" wp14:editId="7ABC998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C12B61" w:rsidRPr="00813E5E" w14:paraId="5997D66C" w14:textId="77777777">
        <w:trPr>
          <w:cantSplit/>
        </w:trPr>
        <w:tc>
          <w:tcPr>
            <w:tcW w:w="6911" w:type="dxa"/>
            <w:tcBorders>
              <w:bottom w:val="single" w:sz="12" w:space="0" w:color="auto"/>
            </w:tcBorders>
          </w:tcPr>
          <w:p w14:paraId="7036C4A6" w14:textId="77777777" w:rsidR="00C12B61" w:rsidRPr="00813E5E" w:rsidRDefault="00C12B61" w:rsidP="00F45CA2">
            <w:pPr>
              <w:spacing w:before="0" w:after="48" w:line="240" w:lineRule="atLeast"/>
              <w:rPr>
                <w:b/>
                <w:smallCaps/>
                <w:szCs w:val="24"/>
              </w:rPr>
            </w:pPr>
          </w:p>
        </w:tc>
        <w:tc>
          <w:tcPr>
            <w:tcW w:w="3120" w:type="dxa"/>
            <w:tcBorders>
              <w:bottom w:val="single" w:sz="12" w:space="0" w:color="auto"/>
            </w:tcBorders>
          </w:tcPr>
          <w:p w14:paraId="0022FEDB" w14:textId="77777777" w:rsidR="00C12B61" w:rsidRPr="00813E5E" w:rsidRDefault="00C12B61" w:rsidP="00F45CA2">
            <w:pPr>
              <w:spacing w:before="0" w:line="240" w:lineRule="atLeast"/>
              <w:rPr>
                <w:szCs w:val="24"/>
              </w:rPr>
            </w:pPr>
          </w:p>
        </w:tc>
      </w:tr>
      <w:tr w:rsidR="00C12B61" w:rsidRPr="00813E5E" w14:paraId="68A5C0C4" w14:textId="77777777">
        <w:trPr>
          <w:cantSplit/>
        </w:trPr>
        <w:tc>
          <w:tcPr>
            <w:tcW w:w="6911" w:type="dxa"/>
            <w:tcBorders>
              <w:top w:val="single" w:sz="12" w:space="0" w:color="auto"/>
            </w:tcBorders>
          </w:tcPr>
          <w:p w14:paraId="3109D649" w14:textId="77777777" w:rsidR="00C12B61" w:rsidRPr="00813E5E" w:rsidRDefault="00C12B61" w:rsidP="00F45CA2">
            <w:pPr>
              <w:spacing w:before="0" w:line="240" w:lineRule="atLeast"/>
              <w:rPr>
                <w:b/>
                <w:smallCaps/>
                <w:szCs w:val="24"/>
              </w:rPr>
            </w:pPr>
          </w:p>
        </w:tc>
        <w:tc>
          <w:tcPr>
            <w:tcW w:w="3120" w:type="dxa"/>
            <w:tcBorders>
              <w:top w:val="single" w:sz="12" w:space="0" w:color="auto"/>
            </w:tcBorders>
          </w:tcPr>
          <w:p w14:paraId="616E89B5" w14:textId="77777777" w:rsidR="00C12B61" w:rsidRPr="00813E5E" w:rsidRDefault="00C12B61" w:rsidP="00F45CA2">
            <w:pPr>
              <w:spacing w:before="0" w:line="240" w:lineRule="atLeast"/>
              <w:rPr>
                <w:szCs w:val="24"/>
              </w:rPr>
            </w:pPr>
          </w:p>
        </w:tc>
      </w:tr>
      <w:tr w:rsidR="00C12B61" w:rsidRPr="00813E5E" w14:paraId="753DCA72" w14:textId="77777777">
        <w:trPr>
          <w:cantSplit/>
          <w:trHeight w:val="23"/>
        </w:trPr>
        <w:tc>
          <w:tcPr>
            <w:tcW w:w="6911" w:type="dxa"/>
            <w:vMerge w:val="restart"/>
          </w:tcPr>
          <w:p w14:paraId="39E0FB24" w14:textId="0487729C" w:rsidR="00C12B61" w:rsidRPr="00C12B61" w:rsidRDefault="00C12B61" w:rsidP="000C5C28">
            <w:pPr>
              <w:tabs>
                <w:tab w:val="left" w:pos="851"/>
              </w:tabs>
              <w:spacing w:before="0" w:line="240" w:lineRule="atLeast"/>
              <w:rPr>
                <w:b/>
              </w:rPr>
            </w:pPr>
            <w:bookmarkStart w:id="2" w:name="dmeeting" w:colFirst="0" w:colLast="0"/>
            <w:bookmarkStart w:id="3" w:name="dnum" w:colFirst="1" w:colLast="1"/>
            <w:r>
              <w:rPr>
                <w:b/>
              </w:rPr>
              <w:t>Agenda item: PL 1.2</w:t>
            </w:r>
            <w:r w:rsidR="000C5C28">
              <w:rPr>
                <w:b/>
              </w:rPr>
              <w:t>0</w:t>
            </w:r>
          </w:p>
        </w:tc>
        <w:tc>
          <w:tcPr>
            <w:tcW w:w="3120" w:type="dxa"/>
          </w:tcPr>
          <w:p w14:paraId="070F690D" w14:textId="77777777" w:rsidR="00C12B61" w:rsidRPr="00C12B61" w:rsidRDefault="00C12B61" w:rsidP="00F45CA2">
            <w:pPr>
              <w:tabs>
                <w:tab w:val="left" w:pos="851"/>
              </w:tabs>
              <w:spacing w:before="0" w:line="240" w:lineRule="atLeast"/>
              <w:rPr>
                <w:b/>
              </w:rPr>
            </w:pPr>
            <w:r>
              <w:rPr>
                <w:b/>
              </w:rPr>
              <w:t>Document C17/68-E</w:t>
            </w:r>
          </w:p>
        </w:tc>
      </w:tr>
      <w:tr w:rsidR="00C12B61" w:rsidRPr="00813E5E" w14:paraId="252FE992" w14:textId="77777777">
        <w:trPr>
          <w:cantSplit/>
          <w:trHeight w:val="23"/>
        </w:trPr>
        <w:tc>
          <w:tcPr>
            <w:tcW w:w="6911" w:type="dxa"/>
            <w:vMerge/>
          </w:tcPr>
          <w:p w14:paraId="5E8C767E" w14:textId="77777777" w:rsidR="00C12B61" w:rsidRPr="00813E5E" w:rsidRDefault="00C12B61" w:rsidP="00F45CA2">
            <w:pPr>
              <w:tabs>
                <w:tab w:val="left" w:pos="851"/>
              </w:tabs>
              <w:spacing w:line="240" w:lineRule="atLeast"/>
              <w:rPr>
                <w:b/>
              </w:rPr>
            </w:pPr>
            <w:bookmarkStart w:id="4" w:name="ddate" w:colFirst="1" w:colLast="1"/>
            <w:bookmarkEnd w:id="2"/>
            <w:bookmarkEnd w:id="3"/>
          </w:p>
        </w:tc>
        <w:tc>
          <w:tcPr>
            <w:tcW w:w="3120" w:type="dxa"/>
          </w:tcPr>
          <w:p w14:paraId="4DAA9C02" w14:textId="552A35A0" w:rsidR="00C12B61" w:rsidRPr="00C12B61" w:rsidRDefault="000C5C28" w:rsidP="00F45CA2">
            <w:pPr>
              <w:tabs>
                <w:tab w:val="left" w:pos="993"/>
              </w:tabs>
              <w:spacing w:before="0"/>
              <w:rPr>
                <w:b/>
              </w:rPr>
            </w:pPr>
            <w:r>
              <w:rPr>
                <w:b/>
              </w:rPr>
              <w:t>10 April</w:t>
            </w:r>
            <w:r w:rsidR="00C12B61">
              <w:rPr>
                <w:b/>
              </w:rPr>
              <w:t xml:space="preserve"> 2017</w:t>
            </w:r>
          </w:p>
        </w:tc>
      </w:tr>
      <w:tr w:rsidR="00C12B61" w:rsidRPr="00813E5E" w14:paraId="3AA4CEAF" w14:textId="77777777">
        <w:trPr>
          <w:cantSplit/>
          <w:trHeight w:val="23"/>
        </w:trPr>
        <w:tc>
          <w:tcPr>
            <w:tcW w:w="6911" w:type="dxa"/>
            <w:vMerge/>
          </w:tcPr>
          <w:p w14:paraId="3A204EA5" w14:textId="77777777" w:rsidR="00C12B61" w:rsidRPr="00813E5E" w:rsidRDefault="00C12B61" w:rsidP="00F45CA2">
            <w:pPr>
              <w:tabs>
                <w:tab w:val="left" w:pos="851"/>
              </w:tabs>
              <w:spacing w:line="240" w:lineRule="atLeast"/>
              <w:rPr>
                <w:b/>
              </w:rPr>
            </w:pPr>
            <w:bookmarkStart w:id="5" w:name="dorlang" w:colFirst="1" w:colLast="1"/>
            <w:bookmarkEnd w:id="4"/>
          </w:p>
        </w:tc>
        <w:tc>
          <w:tcPr>
            <w:tcW w:w="3120" w:type="dxa"/>
          </w:tcPr>
          <w:p w14:paraId="0475EA29" w14:textId="77777777" w:rsidR="00C12B61" w:rsidRPr="00C12B61" w:rsidRDefault="00C12B61" w:rsidP="00F45CA2">
            <w:pPr>
              <w:tabs>
                <w:tab w:val="left" w:pos="993"/>
              </w:tabs>
              <w:spacing w:before="0"/>
              <w:rPr>
                <w:b/>
              </w:rPr>
            </w:pPr>
            <w:r>
              <w:rPr>
                <w:b/>
              </w:rPr>
              <w:t>Original: English</w:t>
            </w:r>
          </w:p>
        </w:tc>
      </w:tr>
      <w:tr w:rsidR="00C12B61" w:rsidRPr="00813E5E" w14:paraId="2B749D86" w14:textId="77777777">
        <w:trPr>
          <w:cantSplit/>
        </w:trPr>
        <w:tc>
          <w:tcPr>
            <w:tcW w:w="10031" w:type="dxa"/>
            <w:gridSpan w:val="2"/>
          </w:tcPr>
          <w:p w14:paraId="5F99D45B" w14:textId="77777777" w:rsidR="00C12B61" w:rsidRPr="00813E5E" w:rsidRDefault="00C12B61" w:rsidP="00F45CA2">
            <w:pPr>
              <w:pStyle w:val="Source"/>
              <w:framePr w:hSpace="0" w:wrap="auto" w:hAnchor="text" w:yAlign="inline"/>
            </w:pPr>
            <w:bookmarkStart w:id="6" w:name="dsource" w:colFirst="0" w:colLast="0"/>
            <w:bookmarkEnd w:id="5"/>
            <w:r>
              <w:t>Report by the Secretary-General</w:t>
            </w:r>
          </w:p>
        </w:tc>
      </w:tr>
      <w:tr w:rsidR="00C12B61" w:rsidRPr="007C1B37" w14:paraId="2E2391B2" w14:textId="77777777">
        <w:trPr>
          <w:cantSplit/>
        </w:trPr>
        <w:tc>
          <w:tcPr>
            <w:tcW w:w="10031" w:type="dxa"/>
            <w:gridSpan w:val="2"/>
          </w:tcPr>
          <w:p w14:paraId="33CBD7D3" w14:textId="3ED017F2" w:rsidR="00C12B61" w:rsidRPr="00113AA7" w:rsidRDefault="00C12B61" w:rsidP="00F45CA2">
            <w:pPr>
              <w:pStyle w:val="Title1"/>
              <w:framePr w:hSpace="0" w:wrap="auto" w:hAnchor="text" w:yAlign="inline"/>
              <w:spacing w:after="360"/>
              <w:rPr>
                <w:lang w:val="en-US"/>
              </w:rPr>
            </w:pPr>
            <w:bookmarkStart w:id="7" w:name="dtitle1" w:colFirst="0" w:colLast="0"/>
            <w:bookmarkEnd w:id="6"/>
            <w:r w:rsidRPr="00FE7606">
              <w:rPr>
                <w:lang w:val="fr-CH"/>
              </w:rPr>
              <w:t>DIGITAL FINANCIAL SERVICES</w:t>
            </w:r>
          </w:p>
        </w:tc>
      </w:tr>
    </w:tbl>
    <w:tbl>
      <w:tblPr>
        <w:tblW w:w="8789"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12B61" w:rsidRPr="00813E5E" w14:paraId="137CC59D" w14:textId="77777777" w:rsidTr="00F45CA2">
        <w:trPr>
          <w:trHeight w:val="3372"/>
        </w:trPr>
        <w:tc>
          <w:tcPr>
            <w:tcW w:w="8789" w:type="dxa"/>
            <w:tcBorders>
              <w:top w:val="single" w:sz="12" w:space="0" w:color="auto"/>
              <w:left w:val="single" w:sz="12" w:space="0" w:color="auto"/>
              <w:bottom w:val="single" w:sz="12" w:space="0" w:color="auto"/>
              <w:right w:val="single" w:sz="12" w:space="0" w:color="auto"/>
            </w:tcBorders>
          </w:tcPr>
          <w:bookmarkEnd w:id="7"/>
          <w:p w14:paraId="7E0F736D" w14:textId="29F59A18" w:rsidR="00C12B61" w:rsidRPr="00813E5E" w:rsidRDefault="00C12B61" w:rsidP="00F45CA2">
            <w:pPr>
              <w:pStyle w:val="Headingb"/>
              <w:keepNext w:val="0"/>
              <w:keepLines w:val="0"/>
            </w:pPr>
            <w:r w:rsidRPr="00813E5E">
              <w:t>Summary</w:t>
            </w:r>
          </w:p>
          <w:p w14:paraId="638CC1D9" w14:textId="6C30B442" w:rsidR="00792F59" w:rsidRDefault="00F712FD" w:rsidP="00F45CA2">
            <w:pPr>
              <w:jc w:val="both"/>
            </w:pPr>
            <w:r>
              <w:t>WTSA</w:t>
            </w:r>
            <w:r w:rsidR="000A08F0">
              <w:t xml:space="preserve"> </w:t>
            </w:r>
            <w:r>
              <w:t xml:space="preserve">Resolution 89 </w:t>
            </w:r>
            <w:r w:rsidR="000A08F0">
              <w:t xml:space="preserve">(Hammamet, 2016) </w:t>
            </w:r>
            <w:r>
              <w:t xml:space="preserve">instructs </w:t>
            </w:r>
            <w:r w:rsidR="00991725" w:rsidRPr="00991725">
              <w:t>the Director of the Telecommunication Standardization Bureau, in collaboration with the Directors of the other Bureaux</w:t>
            </w:r>
            <w:r w:rsidR="00991725">
              <w:t xml:space="preserve">, to report to Council annually </w:t>
            </w:r>
            <w:r w:rsidR="00792F59">
              <w:t xml:space="preserve">on </w:t>
            </w:r>
            <w:r w:rsidR="000A08F0">
              <w:t xml:space="preserve">the work </w:t>
            </w:r>
            <w:r w:rsidR="00792F59">
              <w:t>to promote the use of ICTs to bridge the financial inclusion gap.</w:t>
            </w:r>
          </w:p>
          <w:p w14:paraId="0A4ABCCF" w14:textId="1A816B2E" w:rsidR="00F303B0" w:rsidRDefault="00C12B61" w:rsidP="00F45CA2">
            <w:pPr>
              <w:jc w:val="both"/>
            </w:pPr>
            <w:r>
              <w:t>The ITU-T Focus Group on Digital Financial Services (</w:t>
            </w:r>
            <w:r w:rsidR="00E64815">
              <w:t xml:space="preserve">FG </w:t>
            </w:r>
            <w:r>
              <w:t>DFS) concluded its work</w:t>
            </w:r>
            <w:r w:rsidR="0091662D">
              <w:t xml:space="preserve"> in December 2016</w:t>
            </w:r>
            <w:r>
              <w:t>. It produced 28 reports and some 85 recommendations, which provide policy guidance and best practices for regulators, policy</w:t>
            </w:r>
            <w:r w:rsidR="00E64815">
              <w:t>-</w:t>
            </w:r>
            <w:r>
              <w:t xml:space="preserve">makers, and DFS providers to overcome the challenges they face to bridge the financial inclusion gap. </w:t>
            </w:r>
          </w:p>
          <w:p w14:paraId="7F3F1695" w14:textId="5E89300C" w:rsidR="00F303B0" w:rsidRDefault="00F303B0" w:rsidP="000C5C28">
            <w:pPr>
              <w:jc w:val="both"/>
            </w:pPr>
            <w:r>
              <w:t>The Global Dialogue on Digital Financial Inclusion (GDDFI) is an ITU-D initiative responding to the mandate set out in WTDC Resolution 48 (</w:t>
            </w:r>
            <w:r w:rsidR="000C5C28">
              <w:t>R</w:t>
            </w:r>
            <w:r>
              <w:t>ev. Hyder</w:t>
            </w:r>
            <w:r w:rsidR="000C5C28">
              <w:t>a</w:t>
            </w:r>
            <w:r>
              <w:t xml:space="preserve">bad, 2010) and Resolution 64 (rev. Dubai, 2014). </w:t>
            </w:r>
            <w:r w:rsidR="00E30169">
              <w:t xml:space="preserve">The ITU-D Chief Regulatory Officers Group </w:t>
            </w:r>
            <w:r w:rsidR="00DA53BB">
              <w:t xml:space="preserve">(CRO) </w:t>
            </w:r>
            <w:r w:rsidR="00E30169">
              <w:t xml:space="preserve">has established a working group that will </w:t>
            </w:r>
            <w:r w:rsidR="00DA53BB">
              <w:t xml:space="preserve">work with ITU to </w:t>
            </w:r>
            <w:r w:rsidR="00E30169">
              <w:t xml:space="preserve">assist members to </w:t>
            </w:r>
            <w:r w:rsidR="00DA53BB">
              <w:rPr>
                <w:color w:val="000000"/>
              </w:rPr>
              <w:t>increase telecommunication/ICT access and innovative solutions for Digital Financial Inclusion (DFI)</w:t>
            </w:r>
            <w:r w:rsidR="00DA53BB">
              <w:t xml:space="preserve"> as well as to increase </w:t>
            </w:r>
            <w:r w:rsidR="00E30169">
              <w:t>awareness on the importance of collaborative regulation between the financial and telecommunications sectors and competition authorities.</w:t>
            </w:r>
          </w:p>
          <w:p w14:paraId="7B6339B5" w14:textId="310ED6C7" w:rsidR="00C12B61" w:rsidRPr="00813E5E" w:rsidRDefault="00C12B61" w:rsidP="00F45CA2">
            <w:pPr>
              <w:jc w:val="both"/>
            </w:pPr>
            <w:r>
              <w:t xml:space="preserve">A follow-up project will focus on the implementation of the recommendations from the </w:t>
            </w:r>
            <w:r w:rsidR="00E64815">
              <w:t>FG DFS</w:t>
            </w:r>
            <w:r>
              <w:t>, together with recommendations from other groups.</w:t>
            </w:r>
          </w:p>
          <w:p w14:paraId="28A9C2E6" w14:textId="77777777" w:rsidR="00C12B61" w:rsidRPr="00813E5E" w:rsidRDefault="00C12B61" w:rsidP="00F45CA2">
            <w:pPr>
              <w:pStyle w:val="Headingb"/>
              <w:keepNext w:val="0"/>
              <w:keepLines w:val="0"/>
              <w:jc w:val="both"/>
            </w:pPr>
            <w:r w:rsidRPr="00813E5E">
              <w:t>Action required</w:t>
            </w:r>
          </w:p>
          <w:p w14:paraId="13A6CBFF" w14:textId="77777777" w:rsidR="00C12B61" w:rsidRPr="00813E5E" w:rsidRDefault="00C12B61" w:rsidP="00F45CA2">
            <w:pPr>
              <w:jc w:val="both"/>
            </w:pPr>
            <w:r>
              <w:t xml:space="preserve">The </w:t>
            </w:r>
            <w:r w:rsidRPr="00C12B61">
              <w:t xml:space="preserve">Council is invited </w:t>
            </w:r>
            <w:r w:rsidRPr="00C12B61">
              <w:rPr>
                <w:b/>
                <w:bCs/>
              </w:rPr>
              <w:t>to note</w:t>
            </w:r>
            <w:r w:rsidRPr="00C12B61">
              <w:t xml:space="preserve"> the report.</w:t>
            </w:r>
          </w:p>
          <w:p w14:paraId="00ECB255" w14:textId="77777777" w:rsidR="00C12B61" w:rsidRPr="00813E5E" w:rsidRDefault="00C12B61" w:rsidP="00F45CA2">
            <w:pPr>
              <w:pStyle w:val="Table"/>
              <w:keepNext w:val="0"/>
              <w:spacing w:before="0" w:after="0"/>
              <w:rPr>
                <w:rFonts w:ascii="Calibri" w:hAnsi="Calibri"/>
                <w:caps w:val="0"/>
                <w:sz w:val="22"/>
              </w:rPr>
            </w:pPr>
            <w:r w:rsidRPr="00813E5E">
              <w:rPr>
                <w:rFonts w:ascii="Calibri" w:hAnsi="Calibri"/>
                <w:caps w:val="0"/>
                <w:sz w:val="22"/>
              </w:rPr>
              <w:t>____________</w:t>
            </w:r>
          </w:p>
          <w:p w14:paraId="13821F4E" w14:textId="77777777" w:rsidR="00C12B61" w:rsidRPr="00813E5E" w:rsidRDefault="00C12B61" w:rsidP="00F45CA2">
            <w:pPr>
              <w:pStyle w:val="Headingb"/>
              <w:keepNext w:val="0"/>
              <w:keepLines w:val="0"/>
            </w:pPr>
            <w:r w:rsidRPr="00813E5E">
              <w:t>References</w:t>
            </w:r>
          </w:p>
          <w:p w14:paraId="01F79E33" w14:textId="7E144035" w:rsidR="00E30169" w:rsidRPr="00F41119" w:rsidRDefault="000C5C28" w:rsidP="000C5C28">
            <w:pPr>
              <w:spacing w:after="120"/>
            </w:pPr>
            <w:hyperlink r:id="rId9" w:history="1">
              <w:r w:rsidR="00C12B61" w:rsidRPr="009575D3">
                <w:rPr>
                  <w:rStyle w:val="Hyperlink"/>
                  <w:bCs/>
                  <w:lang w:val="en-US"/>
                </w:rPr>
                <w:t>ITU-T Focus Group</w:t>
              </w:r>
              <w:r w:rsidR="002C4128">
                <w:rPr>
                  <w:rStyle w:val="Hyperlink"/>
                  <w:bCs/>
                  <w:lang w:val="en-US"/>
                </w:rPr>
                <w:t xml:space="preserve"> Digital Financial Services</w:t>
              </w:r>
              <w:r w:rsidR="00C12B61" w:rsidRPr="009575D3">
                <w:rPr>
                  <w:rStyle w:val="Hyperlink"/>
                  <w:bCs/>
                  <w:lang w:val="en-US"/>
                </w:rPr>
                <w:t xml:space="preserve"> webpage</w:t>
              </w:r>
            </w:hyperlink>
            <w:r w:rsidR="00E8391B" w:rsidRPr="00F45CA2">
              <w:rPr>
                <w:rStyle w:val="Hyperlink"/>
                <w:bCs/>
                <w:color w:val="auto"/>
                <w:u w:val="none"/>
                <w:lang w:val="en-US"/>
              </w:rPr>
              <w:t xml:space="preserve">; </w:t>
            </w:r>
            <w:hyperlink r:id="rId10" w:history="1">
              <w:r w:rsidR="00E8391B" w:rsidRPr="00113AA7">
                <w:rPr>
                  <w:rStyle w:val="Hyperlink"/>
                  <w:bCs/>
                  <w:lang w:val="en-US"/>
                </w:rPr>
                <w:t>WTSA Resolution 89 (Hammamet, 2016)</w:t>
              </w:r>
            </w:hyperlink>
            <w:r w:rsidR="00F45CA2" w:rsidRPr="00F45CA2">
              <w:rPr>
                <w:rStyle w:val="Hyperlink"/>
                <w:bCs/>
                <w:color w:val="auto"/>
                <w:u w:val="none"/>
                <w:lang w:val="en-US"/>
              </w:rPr>
              <w:t xml:space="preserve">; </w:t>
            </w:r>
            <w:hyperlink r:id="rId11" w:history="1">
              <w:r w:rsidR="00F303B0" w:rsidRPr="00C62C56">
                <w:rPr>
                  <w:rStyle w:val="Hyperlink"/>
                </w:rPr>
                <w:t>ITU-D GSR webpage</w:t>
              </w:r>
            </w:hyperlink>
            <w:r w:rsidR="00F303B0" w:rsidRPr="00C62C56">
              <w:t xml:space="preserve">, </w:t>
            </w:r>
            <w:hyperlink r:id="rId12" w:history="1">
              <w:r w:rsidR="00F303B0" w:rsidRPr="00F303B0">
                <w:rPr>
                  <w:rStyle w:val="Hyperlink"/>
                </w:rPr>
                <w:t>WTDC Resolution 48 (</w:t>
              </w:r>
              <w:r>
                <w:rPr>
                  <w:rStyle w:val="Hyperlink"/>
                </w:rPr>
                <w:t>R</w:t>
              </w:r>
              <w:r w:rsidR="00F303B0" w:rsidRPr="00F303B0">
                <w:rPr>
                  <w:rStyle w:val="Hyperlink"/>
                </w:rPr>
                <w:t>ev. Hyder</w:t>
              </w:r>
              <w:r>
                <w:rPr>
                  <w:rStyle w:val="Hyperlink"/>
                </w:rPr>
                <w:t>a</w:t>
              </w:r>
              <w:r w:rsidR="00F303B0" w:rsidRPr="00F303B0">
                <w:rPr>
                  <w:rStyle w:val="Hyperlink"/>
                </w:rPr>
                <w:t xml:space="preserve">bad, 2010) </w:t>
              </w:r>
              <w:r w:rsidR="00F303B0" w:rsidRPr="00F45CA2">
                <w:rPr>
                  <w:rStyle w:val="Hyperlink"/>
                  <w:color w:val="auto"/>
                  <w:u w:val="none"/>
                </w:rPr>
                <w:t xml:space="preserve">and </w:t>
              </w:r>
              <w:r>
                <w:rPr>
                  <w:rStyle w:val="Hyperlink"/>
                </w:rPr>
                <w:t>Resolution 64 (R</w:t>
              </w:r>
              <w:r w:rsidR="00F303B0" w:rsidRPr="00F303B0">
                <w:rPr>
                  <w:rStyle w:val="Hyperlink"/>
                </w:rPr>
                <w:t>ev. Dubai, 2014)</w:t>
              </w:r>
            </w:hyperlink>
            <w:r w:rsidR="00F45CA2" w:rsidRPr="00F45CA2">
              <w:rPr>
                <w:rStyle w:val="Hyperlink"/>
                <w:color w:val="auto"/>
                <w:u w:val="none"/>
              </w:rPr>
              <w:t xml:space="preserve">; </w:t>
            </w:r>
            <w:hyperlink r:id="rId13" w:history="1">
              <w:r w:rsidR="00E30169" w:rsidRPr="00F41119">
                <w:rPr>
                  <w:rStyle w:val="Hyperlink"/>
                </w:rPr>
                <w:t>ITU-D CRO</w:t>
              </w:r>
              <w:r w:rsidR="00C82201" w:rsidRPr="00F41119">
                <w:rPr>
                  <w:rStyle w:val="Hyperlink"/>
                </w:rPr>
                <w:t xml:space="preserve"> webpage</w:t>
              </w:r>
            </w:hyperlink>
          </w:p>
        </w:tc>
      </w:tr>
    </w:tbl>
    <w:p w14:paraId="34B5C0E9" w14:textId="69F0223E" w:rsidR="00C12B61" w:rsidRDefault="000C5C28" w:rsidP="00F45CA2">
      <w:pPr>
        <w:tabs>
          <w:tab w:val="clear" w:pos="567"/>
          <w:tab w:val="clear" w:pos="1134"/>
          <w:tab w:val="clear" w:pos="1701"/>
          <w:tab w:val="clear" w:pos="2268"/>
          <w:tab w:val="clear" w:pos="2835"/>
        </w:tabs>
        <w:snapToGrid w:val="0"/>
        <w:spacing w:before="840" w:after="120"/>
        <w:jc w:val="both"/>
        <w:rPr>
          <w:szCs w:val="24"/>
        </w:rPr>
      </w:pPr>
      <w:bookmarkStart w:id="8" w:name="dstart"/>
      <w:bookmarkStart w:id="9" w:name="dbreak"/>
      <w:bookmarkEnd w:id="8"/>
      <w:bookmarkEnd w:id="9"/>
      <w:r>
        <w:rPr>
          <w:szCs w:val="24"/>
        </w:rPr>
        <w:lastRenderedPageBreak/>
        <w:t>1</w:t>
      </w:r>
      <w:r>
        <w:rPr>
          <w:szCs w:val="24"/>
        </w:rPr>
        <w:tab/>
      </w:r>
      <w:r w:rsidR="00C12B61">
        <w:rPr>
          <w:szCs w:val="24"/>
        </w:rPr>
        <w:t xml:space="preserve">The ITU-T Focus Group on Digital Financial Services (FG DFS) was established by TSAG at its meeting of June 2014. The Focus Group held its first meeting on 5 December 2014 and completed its work in December 2016. </w:t>
      </w:r>
    </w:p>
    <w:p w14:paraId="3BB68B91" w14:textId="3C5EA16E" w:rsidR="00C12B61" w:rsidRDefault="000C5C28" w:rsidP="00F45CA2">
      <w:pPr>
        <w:tabs>
          <w:tab w:val="clear" w:pos="567"/>
          <w:tab w:val="clear" w:pos="1134"/>
          <w:tab w:val="clear" w:pos="1701"/>
          <w:tab w:val="clear" w:pos="2268"/>
          <w:tab w:val="clear" w:pos="2835"/>
        </w:tabs>
        <w:snapToGrid w:val="0"/>
        <w:spacing w:after="120"/>
        <w:ind w:left="-6" w:right="85"/>
      </w:pPr>
      <w:r>
        <w:rPr>
          <w:szCs w:val="24"/>
        </w:rPr>
        <w:t>2</w:t>
      </w:r>
      <w:r>
        <w:rPr>
          <w:szCs w:val="24"/>
        </w:rPr>
        <w:tab/>
      </w:r>
      <w:r w:rsidR="00E64815">
        <w:rPr>
          <w:szCs w:val="24"/>
        </w:rPr>
        <w:t>FG DFS</w:t>
      </w:r>
      <w:r w:rsidR="00C12B61">
        <w:t xml:space="preserve"> aimed to: </w:t>
      </w:r>
    </w:p>
    <w:p w14:paraId="6514FE7F" w14:textId="77777777" w:rsidR="00C12B61" w:rsidRDefault="00C12B61" w:rsidP="00F45CA2">
      <w:pPr>
        <w:numPr>
          <w:ilvl w:val="0"/>
          <w:numId w:val="2"/>
        </w:numPr>
        <w:tabs>
          <w:tab w:val="clear" w:pos="567"/>
          <w:tab w:val="clear" w:pos="1134"/>
          <w:tab w:val="clear" w:pos="1701"/>
          <w:tab w:val="clear" w:pos="2268"/>
          <w:tab w:val="clear" w:pos="2835"/>
        </w:tabs>
        <w:overflowPunct/>
        <w:autoSpaceDE/>
        <w:snapToGrid w:val="0"/>
        <w:spacing w:after="120"/>
        <w:ind w:left="567" w:right="87" w:hanging="432"/>
        <w:jc w:val="both"/>
        <w:textAlignment w:val="auto"/>
      </w:pPr>
      <w:r>
        <w:t>Foster collaboration and increase dialogue between financial services and telecommunications regulators, clarify their respective roles and responsibilities in the DFS field to minimize the risk of regulatory arbitrage or legal void;</w:t>
      </w:r>
    </w:p>
    <w:p w14:paraId="717434F0" w14:textId="77777777" w:rsidR="00C12B61" w:rsidRDefault="00C12B61" w:rsidP="00F45CA2">
      <w:pPr>
        <w:numPr>
          <w:ilvl w:val="0"/>
          <w:numId w:val="2"/>
        </w:numPr>
        <w:tabs>
          <w:tab w:val="clear" w:pos="567"/>
          <w:tab w:val="clear" w:pos="1134"/>
          <w:tab w:val="clear" w:pos="1701"/>
          <w:tab w:val="clear" w:pos="2268"/>
          <w:tab w:val="clear" w:pos="2835"/>
        </w:tabs>
        <w:overflowPunct/>
        <w:autoSpaceDE/>
        <w:snapToGrid w:val="0"/>
        <w:spacing w:after="120"/>
        <w:ind w:left="567" w:right="87" w:hanging="432"/>
        <w:jc w:val="both"/>
        <w:textAlignment w:val="auto"/>
      </w:pPr>
      <w:r>
        <w:t xml:space="preserve">Address some of the key regulatory and policy issues currently preventing the development of an open, secure and interoperable DFS ecosystem with a particular (though not exclusive) focus on areas where financial services, and Telco regulators overlap; </w:t>
      </w:r>
    </w:p>
    <w:p w14:paraId="121FBD1F" w14:textId="77777777" w:rsidR="00C12B61" w:rsidRDefault="00C12B61" w:rsidP="00F45CA2">
      <w:pPr>
        <w:numPr>
          <w:ilvl w:val="0"/>
          <w:numId w:val="2"/>
        </w:numPr>
        <w:tabs>
          <w:tab w:val="clear" w:pos="567"/>
          <w:tab w:val="clear" w:pos="1134"/>
          <w:tab w:val="clear" w:pos="1701"/>
          <w:tab w:val="clear" w:pos="2268"/>
          <w:tab w:val="clear" w:pos="2835"/>
        </w:tabs>
        <w:overflowPunct/>
        <w:autoSpaceDE/>
        <w:snapToGrid w:val="0"/>
        <w:spacing w:after="120"/>
        <w:ind w:left="567" w:right="87" w:hanging="432"/>
        <w:jc w:val="both"/>
        <w:textAlignment w:val="auto"/>
      </w:pPr>
      <w:r>
        <w:t xml:space="preserve">Leverage the voice, and expertise of a large number of key actors in the DFS value chain; </w:t>
      </w:r>
    </w:p>
    <w:p w14:paraId="66A71152" w14:textId="77777777" w:rsidR="00C12B61" w:rsidRDefault="00C12B61" w:rsidP="00F45CA2">
      <w:pPr>
        <w:numPr>
          <w:ilvl w:val="0"/>
          <w:numId w:val="2"/>
        </w:numPr>
        <w:tabs>
          <w:tab w:val="clear" w:pos="567"/>
          <w:tab w:val="clear" w:pos="1134"/>
          <w:tab w:val="clear" w:pos="1701"/>
          <w:tab w:val="clear" w:pos="2268"/>
          <w:tab w:val="clear" w:pos="2835"/>
        </w:tabs>
        <w:overflowPunct/>
        <w:autoSpaceDE/>
        <w:snapToGrid w:val="0"/>
        <w:spacing w:after="120"/>
        <w:ind w:left="567" w:right="87" w:hanging="432"/>
        <w:jc w:val="both"/>
        <w:textAlignment w:val="auto"/>
      </w:pPr>
      <w:r>
        <w:t>Provide policy</w:t>
      </w:r>
      <w:r w:rsidR="00E64815">
        <w:t>-</w:t>
      </w:r>
      <w:r>
        <w:t xml:space="preserve"> and decision</w:t>
      </w:r>
      <w:r w:rsidR="00E64815">
        <w:t>-</w:t>
      </w:r>
      <w:r>
        <w:t>makers in developing countries with additional tools to advance the financial inclusion agenda and fast track policy reform.</w:t>
      </w:r>
    </w:p>
    <w:p w14:paraId="3250666F" w14:textId="1563CAEF" w:rsidR="00C12B61" w:rsidRDefault="000C5C28" w:rsidP="00F45CA2">
      <w:pPr>
        <w:tabs>
          <w:tab w:val="clear" w:pos="567"/>
          <w:tab w:val="clear" w:pos="1134"/>
          <w:tab w:val="clear" w:pos="1701"/>
          <w:tab w:val="clear" w:pos="2268"/>
          <w:tab w:val="clear" w:pos="2835"/>
        </w:tabs>
        <w:snapToGrid w:val="0"/>
        <w:spacing w:after="120"/>
        <w:jc w:val="both"/>
        <w:rPr>
          <w:szCs w:val="24"/>
        </w:rPr>
      </w:pPr>
      <w:r>
        <w:rPr>
          <w:bCs/>
          <w:szCs w:val="24"/>
        </w:rPr>
        <w:t>3</w:t>
      </w:r>
      <w:r>
        <w:rPr>
          <w:bCs/>
          <w:szCs w:val="24"/>
        </w:rPr>
        <w:tab/>
      </w:r>
      <w:r w:rsidR="00E64815" w:rsidRPr="00C10AE2">
        <w:rPr>
          <w:bCs/>
          <w:szCs w:val="24"/>
        </w:rPr>
        <w:t>FG DFS</w:t>
      </w:r>
      <w:r w:rsidR="00E64815" w:rsidRPr="0082697D">
        <w:rPr>
          <w:b/>
          <w:szCs w:val="24"/>
        </w:rPr>
        <w:t xml:space="preserve"> </w:t>
      </w:r>
      <w:r w:rsidR="00C12B61" w:rsidRPr="00AD1357">
        <w:rPr>
          <w:bCs/>
          <w:szCs w:val="24"/>
        </w:rPr>
        <w:t xml:space="preserve">facilitated effective consultation and collaboration on key DFS issues. </w:t>
      </w:r>
      <w:r w:rsidR="00C12B61" w:rsidRPr="0082697D">
        <w:rPr>
          <w:szCs w:val="24"/>
        </w:rPr>
        <w:t xml:space="preserve">For the first time at the global level, </w:t>
      </w:r>
      <w:r w:rsidR="00E64815">
        <w:rPr>
          <w:szCs w:val="24"/>
        </w:rPr>
        <w:t>it</w:t>
      </w:r>
      <w:r w:rsidR="00C12B61" w:rsidRPr="0082697D">
        <w:rPr>
          <w:b/>
          <w:szCs w:val="24"/>
        </w:rPr>
        <w:t xml:space="preserve"> </w:t>
      </w:r>
      <w:r w:rsidR="00C12B61">
        <w:rPr>
          <w:szCs w:val="24"/>
        </w:rPr>
        <w:t>brought together</w:t>
      </w:r>
      <w:r w:rsidR="00C12B61" w:rsidRPr="0082697D">
        <w:rPr>
          <w:szCs w:val="24"/>
        </w:rPr>
        <w:t xml:space="preserve"> financial and telecommunications </w:t>
      </w:r>
      <w:r w:rsidR="00C12B61">
        <w:rPr>
          <w:szCs w:val="24"/>
        </w:rPr>
        <w:t>authorities</w:t>
      </w:r>
      <w:r w:rsidR="00C12B61" w:rsidRPr="0082697D">
        <w:rPr>
          <w:szCs w:val="24"/>
        </w:rPr>
        <w:t>, DFS providers, consumer advocates, DFS technical experts, development partners, and other key DFS stakeholders to:</w:t>
      </w:r>
    </w:p>
    <w:p w14:paraId="51767C87" w14:textId="77777777" w:rsidR="00C12B61" w:rsidRPr="00E028A4" w:rsidRDefault="00C12B61" w:rsidP="000C5C28">
      <w:pPr>
        <w:pStyle w:val="ListParagraph"/>
        <w:numPr>
          <w:ilvl w:val="0"/>
          <w:numId w:val="4"/>
        </w:numPr>
        <w:adjustRightInd w:val="0"/>
        <w:snapToGrid w:val="0"/>
        <w:spacing w:before="120" w:after="120" w:line="240" w:lineRule="auto"/>
        <w:ind w:left="1418" w:hanging="709"/>
        <w:contextualSpacing w:val="0"/>
        <w:rPr>
          <w:rFonts w:eastAsia="Times New Roman" w:cs="Times New Roman"/>
          <w:sz w:val="24"/>
          <w:szCs w:val="24"/>
          <w:lang w:val="en-GB" w:eastAsia="en-US"/>
        </w:rPr>
      </w:pPr>
      <w:r w:rsidRPr="00E028A4">
        <w:rPr>
          <w:rFonts w:eastAsia="Times New Roman" w:cs="Times New Roman"/>
          <w:b/>
          <w:bCs/>
          <w:sz w:val="24"/>
          <w:szCs w:val="24"/>
          <w:lang w:val="en-GB" w:eastAsia="en-US"/>
        </w:rPr>
        <w:t>Increase and formalize</w:t>
      </w:r>
      <w:r w:rsidRPr="00E028A4">
        <w:rPr>
          <w:rFonts w:eastAsia="Times New Roman" w:cs="Times New Roman"/>
          <w:sz w:val="24"/>
          <w:szCs w:val="24"/>
          <w:lang w:val="en-GB" w:eastAsia="en-US"/>
        </w:rPr>
        <w:t xml:space="preserve"> the collaboration between financial and telecommunications authorities with respect to digital financial services;</w:t>
      </w:r>
    </w:p>
    <w:p w14:paraId="49941677" w14:textId="77777777" w:rsidR="00C12B61" w:rsidRPr="00E028A4" w:rsidRDefault="00C12B61" w:rsidP="000C5C28">
      <w:pPr>
        <w:pStyle w:val="ListParagraph"/>
        <w:numPr>
          <w:ilvl w:val="0"/>
          <w:numId w:val="4"/>
        </w:numPr>
        <w:adjustRightInd w:val="0"/>
        <w:snapToGrid w:val="0"/>
        <w:spacing w:before="120" w:after="120" w:line="240" w:lineRule="auto"/>
        <w:ind w:left="1418" w:hanging="709"/>
        <w:contextualSpacing w:val="0"/>
        <w:rPr>
          <w:rFonts w:eastAsia="Times New Roman" w:cs="Times New Roman"/>
          <w:sz w:val="24"/>
          <w:szCs w:val="24"/>
          <w:lang w:val="en-GB" w:eastAsia="en-US"/>
        </w:rPr>
      </w:pPr>
      <w:r w:rsidRPr="00E028A4">
        <w:rPr>
          <w:rFonts w:eastAsia="Times New Roman" w:cs="Times New Roman"/>
          <w:b/>
          <w:bCs/>
          <w:sz w:val="24"/>
          <w:szCs w:val="24"/>
          <w:lang w:val="en-GB" w:eastAsia="en-US"/>
        </w:rPr>
        <w:t>Identify</w:t>
      </w:r>
      <w:r w:rsidRPr="00E028A4">
        <w:rPr>
          <w:rFonts w:eastAsia="Times New Roman" w:cs="Times New Roman"/>
          <w:sz w:val="24"/>
          <w:szCs w:val="24"/>
          <w:lang w:val="en-GB" w:eastAsia="en-US"/>
        </w:rPr>
        <w:t xml:space="preserve"> key issues limiting the development of safe, efficient, and enabling DFS ecosystems; </w:t>
      </w:r>
    </w:p>
    <w:p w14:paraId="512EC1C0" w14:textId="77777777" w:rsidR="00C12B61" w:rsidRPr="00E028A4" w:rsidRDefault="00C12B61" w:rsidP="000C5C28">
      <w:pPr>
        <w:pStyle w:val="ListParagraph"/>
        <w:numPr>
          <w:ilvl w:val="0"/>
          <w:numId w:val="4"/>
        </w:numPr>
        <w:adjustRightInd w:val="0"/>
        <w:snapToGrid w:val="0"/>
        <w:spacing w:before="120" w:after="120" w:line="240" w:lineRule="auto"/>
        <w:ind w:left="1418" w:hanging="709"/>
        <w:contextualSpacing w:val="0"/>
        <w:rPr>
          <w:rFonts w:eastAsia="Times New Roman" w:cs="Times New Roman"/>
          <w:sz w:val="24"/>
          <w:szCs w:val="24"/>
          <w:lang w:val="en-GB" w:eastAsia="en-US"/>
        </w:rPr>
      </w:pPr>
      <w:r w:rsidRPr="00E028A4">
        <w:rPr>
          <w:rFonts w:eastAsia="Times New Roman" w:cs="Times New Roman"/>
          <w:b/>
          <w:bCs/>
          <w:sz w:val="24"/>
          <w:szCs w:val="24"/>
          <w:lang w:val="en-GB" w:eastAsia="en-US"/>
        </w:rPr>
        <w:t>Analy</w:t>
      </w:r>
      <w:r w:rsidR="00E64815">
        <w:rPr>
          <w:rFonts w:eastAsia="Times New Roman" w:cs="Times New Roman"/>
          <w:b/>
          <w:bCs/>
          <w:sz w:val="24"/>
          <w:szCs w:val="24"/>
          <w:lang w:val="en-GB" w:eastAsia="en-US"/>
        </w:rPr>
        <w:t>s</w:t>
      </w:r>
      <w:r w:rsidRPr="00E028A4">
        <w:rPr>
          <w:rFonts w:eastAsia="Times New Roman" w:cs="Times New Roman"/>
          <w:b/>
          <w:bCs/>
          <w:sz w:val="24"/>
          <w:szCs w:val="24"/>
          <w:lang w:val="en-GB" w:eastAsia="en-US"/>
        </w:rPr>
        <w:t>e</w:t>
      </w:r>
      <w:r w:rsidRPr="00E028A4">
        <w:rPr>
          <w:rFonts w:eastAsia="Times New Roman" w:cs="Times New Roman"/>
          <w:sz w:val="24"/>
          <w:szCs w:val="24"/>
          <w:lang w:val="en-GB" w:eastAsia="en-US"/>
        </w:rPr>
        <w:t xml:space="preserve"> how these issues have been addressed in practice and exchange information on best practices; and </w:t>
      </w:r>
    </w:p>
    <w:p w14:paraId="09CBB985" w14:textId="77777777" w:rsidR="00C12B61" w:rsidRPr="00E028A4" w:rsidRDefault="00C12B61" w:rsidP="000C5C28">
      <w:pPr>
        <w:pStyle w:val="ListParagraph"/>
        <w:numPr>
          <w:ilvl w:val="0"/>
          <w:numId w:val="4"/>
        </w:numPr>
        <w:adjustRightInd w:val="0"/>
        <w:snapToGrid w:val="0"/>
        <w:spacing w:before="120" w:after="120" w:line="240" w:lineRule="auto"/>
        <w:ind w:left="1418" w:hanging="709"/>
        <w:contextualSpacing w:val="0"/>
        <w:rPr>
          <w:rFonts w:eastAsia="Times New Roman" w:cs="Times New Roman"/>
          <w:sz w:val="24"/>
          <w:szCs w:val="24"/>
          <w:lang w:val="en-GB" w:eastAsia="en-US"/>
        </w:rPr>
      </w:pPr>
      <w:r w:rsidRPr="00E028A4">
        <w:rPr>
          <w:rFonts w:eastAsia="Times New Roman" w:cs="Times New Roman"/>
          <w:b/>
          <w:bCs/>
          <w:sz w:val="24"/>
          <w:szCs w:val="24"/>
          <w:lang w:val="en-GB" w:eastAsia="en-US"/>
        </w:rPr>
        <w:t>Develop</w:t>
      </w:r>
      <w:r w:rsidRPr="00E028A4">
        <w:rPr>
          <w:rFonts w:eastAsia="Times New Roman" w:cs="Times New Roman"/>
          <w:sz w:val="24"/>
          <w:szCs w:val="24"/>
          <w:lang w:val="en-GB" w:eastAsia="en-US"/>
        </w:rPr>
        <w:t xml:space="preserve"> policy recommendations for public- and private-sector stakeholders on how to approach these issues.</w:t>
      </w:r>
    </w:p>
    <w:p w14:paraId="6798E3D4" w14:textId="5D0E0ECE" w:rsidR="00C12B61" w:rsidRDefault="000C5C28" w:rsidP="00F45CA2">
      <w:pPr>
        <w:tabs>
          <w:tab w:val="clear" w:pos="567"/>
          <w:tab w:val="clear" w:pos="1134"/>
          <w:tab w:val="clear" w:pos="1701"/>
          <w:tab w:val="clear" w:pos="2268"/>
          <w:tab w:val="clear" w:pos="2835"/>
        </w:tabs>
        <w:snapToGrid w:val="0"/>
        <w:spacing w:after="120"/>
        <w:jc w:val="both"/>
        <w:rPr>
          <w:lang w:val="en-US"/>
        </w:rPr>
      </w:pPr>
      <w:r>
        <w:rPr>
          <w:szCs w:val="24"/>
        </w:rPr>
        <w:t>4</w:t>
      </w:r>
      <w:r>
        <w:rPr>
          <w:szCs w:val="24"/>
        </w:rPr>
        <w:tab/>
      </w:r>
      <w:r w:rsidR="00E64815">
        <w:rPr>
          <w:szCs w:val="24"/>
        </w:rPr>
        <w:t>FG DFS</w:t>
      </w:r>
      <w:r w:rsidR="00E64815" w:rsidDel="00E64815">
        <w:rPr>
          <w:lang w:val="en-US"/>
        </w:rPr>
        <w:t xml:space="preserve"> </w:t>
      </w:r>
      <w:r w:rsidR="00C12B61">
        <w:rPr>
          <w:lang w:val="en-US"/>
        </w:rPr>
        <w:t>has produced 28 reports and some 85 recommendations, which provide</w:t>
      </w:r>
      <w:r w:rsidR="00C12B61" w:rsidRPr="001325D1">
        <w:rPr>
          <w:lang w:val="en-US"/>
        </w:rPr>
        <w:t xml:space="preserve"> policy guidance and best practices for regulators, policy</w:t>
      </w:r>
      <w:r w:rsidR="00E64815">
        <w:rPr>
          <w:lang w:val="en-US"/>
        </w:rPr>
        <w:t>-</w:t>
      </w:r>
      <w:r w:rsidR="00C12B61" w:rsidRPr="001325D1">
        <w:rPr>
          <w:lang w:val="en-US"/>
        </w:rPr>
        <w:t xml:space="preserve">makers and DFS </w:t>
      </w:r>
      <w:r w:rsidR="00C12B61">
        <w:rPr>
          <w:lang w:val="en-US"/>
        </w:rPr>
        <w:t>providers</w:t>
      </w:r>
      <w:r w:rsidR="00C12B61" w:rsidRPr="001325D1">
        <w:rPr>
          <w:lang w:val="en-US"/>
        </w:rPr>
        <w:t xml:space="preserve"> to overcome the challenges they face to bridge the financial inclusion gap.</w:t>
      </w:r>
      <w:r w:rsidR="00C12B61">
        <w:rPr>
          <w:lang w:val="en-US"/>
        </w:rPr>
        <w:t xml:space="preserve"> All the reports of the Focus Group can be accessed </w:t>
      </w:r>
      <w:hyperlink r:id="rId14" w:history="1">
        <w:r w:rsidR="00C12B61" w:rsidRPr="001325D1">
          <w:rPr>
            <w:rStyle w:val="Hyperlink"/>
            <w:lang w:val="en-US"/>
          </w:rPr>
          <w:t>here</w:t>
        </w:r>
      </w:hyperlink>
      <w:r w:rsidR="00C12B61">
        <w:rPr>
          <w:lang w:val="en-US"/>
        </w:rPr>
        <w:t xml:space="preserve"> as well as the ITU </w:t>
      </w:r>
      <w:hyperlink r:id="rId15" w:history="1">
        <w:r w:rsidR="00C12B61" w:rsidRPr="00590893">
          <w:rPr>
            <w:rStyle w:val="Hyperlink"/>
            <w:lang w:val="en-US"/>
          </w:rPr>
          <w:t>press release</w:t>
        </w:r>
      </w:hyperlink>
      <w:r w:rsidR="00C12B61">
        <w:rPr>
          <w:lang w:val="en-US"/>
        </w:rPr>
        <w:t>.</w:t>
      </w:r>
    </w:p>
    <w:p w14:paraId="6BBC7317" w14:textId="7F5ACE86" w:rsidR="00F303B0" w:rsidRDefault="000C5C28" w:rsidP="00F45CA2">
      <w:pPr>
        <w:tabs>
          <w:tab w:val="clear" w:pos="567"/>
          <w:tab w:val="clear" w:pos="1134"/>
          <w:tab w:val="clear" w:pos="1701"/>
          <w:tab w:val="clear" w:pos="2268"/>
          <w:tab w:val="clear" w:pos="2835"/>
        </w:tabs>
        <w:snapToGrid w:val="0"/>
        <w:spacing w:after="120"/>
        <w:jc w:val="both"/>
        <w:rPr>
          <w:lang w:val="en-US"/>
        </w:rPr>
      </w:pPr>
      <w:r>
        <w:rPr>
          <w:lang w:val="en-US"/>
        </w:rPr>
        <w:t>5</w:t>
      </w:r>
      <w:r>
        <w:rPr>
          <w:lang w:val="en-US"/>
        </w:rPr>
        <w:tab/>
      </w:r>
      <w:r w:rsidR="00F303B0" w:rsidRPr="00F303B0">
        <w:rPr>
          <w:lang w:val="en-US"/>
        </w:rPr>
        <w:t xml:space="preserve">The Global Dialogue on Digital Financial Inclusion (GDDFI) is part of </w:t>
      </w:r>
      <w:r w:rsidR="00F303B0">
        <w:rPr>
          <w:lang w:val="en-US"/>
        </w:rPr>
        <w:t>ITU-D’s</w:t>
      </w:r>
      <w:r w:rsidR="00F303B0" w:rsidRPr="00F303B0">
        <w:rPr>
          <w:lang w:val="en-US"/>
        </w:rPr>
        <w:t xml:space="preserve"> initiative to foster and strengthen collaborative regulation between ICT regulators and regulators from other sectors, focusing this year on the financial sector. GDDFI </w:t>
      </w:r>
      <w:r w:rsidR="00F303B0">
        <w:rPr>
          <w:lang w:val="en-US"/>
        </w:rPr>
        <w:t>brings</w:t>
      </w:r>
      <w:r w:rsidR="00F303B0" w:rsidRPr="00F303B0">
        <w:rPr>
          <w:lang w:val="en-US"/>
        </w:rPr>
        <w:t xml:space="preserve"> together telecom/ICT and financial regulators from around the world to establish a constructive global dialogue on topical issues of relevance to stakeholders from both sectors. The Global Dialogue provide</w:t>
      </w:r>
      <w:r w:rsidR="00F303B0">
        <w:rPr>
          <w:lang w:val="en-US"/>
        </w:rPr>
        <w:t>s</w:t>
      </w:r>
      <w:r w:rsidR="00F303B0" w:rsidRPr="00F303B0">
        <w:rPr>
          <w:lang w:val="en-US"/>
        </w:rPr>
        <w:t xml:space="preserve"> participants with the opportunity to meet, share views and experiences, discuss synergies and regulatory overlap(s), strengthen cross-sectoral collaboration and identify new regulatory approaches fostering access to digital financial services for all through collaborative regulation.</w:t>
      </w:r>
      <w:r w:rsidR="00F303B0">
        <w:rPr>
          <w:lang w:val="en-US"/>
        </w:rPr>
        <w:t xml:space="preserve">  </w:t>
      </w:r>
      <w:r w:rsidR="00F303B0">
        <w:t xml:space="preserve">GDDFI complements at high political level the technical work done by the Focus Group on Digital Financial Services. </w:t>
      </w:r>
    </w:p>
    <w:p w14:paraId="45CC9C1C" w14:textId="59B1D4C7" w:rsidR="00F303B0" w:rsidRDefault="000C5C28" w:rsidP="00F45CA2">
      <w:pPr>
        <w:tabs>
          <w:tab w:val="clear" w:pos="567"/>
          <w:tab w:val="clear" w:pos="1134"/>
          <w:tab w:val="clear" w:pos="1701"/>
          <w:tab w:val="clear" w:pos="2268"/>
          <w:tab w:val="clear" w:pos="2835"/>
        </w:tabs>
        <w:snapToGrid w:val="0"/>
        <w:spacing w:after="120"/>
        <w:jc w:val="both"/>
      </w:pPr>
      <w:r>
        <w:rPr>
          <w:lang w:val="en-US"/>
        </w:rPr>
        <w:t>6</w:t>
      </w:r>
      <w:r>
        <w:rPr>
          <w:lang w:val="en-US"/>
        </w:rPr>
        <w:tab/>
      </w:r>
      <w:r w:rsidR="00F303B0">
        <w:rPr>
          <w:lang w:val="en-US"/>
        </w:rPr>
        <w:t xml:space="preserve">GDDFI 2016 </w:t>
      </w:r>
      <w:r w:rsidR="00F303B0">
        <w:t xml:space="preserve">identified policy, regulatory, and business collaborative guiding measures to move forward the digital financial inclusion agenda by building synergies at the national, regional and global levels. The report and guiding measures can be accessed </w:t>
      </w:r>
      <w:hyperlink r:id="rId16" w:history="1">
        <w:r w:rsidR="00F303B0" w:rsidRPr="00F303B0">
          <w:rPr>
            <w:rStyle w:val="Hyperlink"/>
          </w:rPr>
          <w:t>here</w:t>
        </w:r>
      </w:hyperlink>
      <w:r w:rsidR="00F303B0">
        <w:t xml:space="preserve">. </w:t>
      </w:r>
    </w:p>
    <w:p w14:paraId="32F9166A" w14:textId="163CB7ED" w:rsidR="00F303B0" w:rsidRDefault="000C5C28" w:rsidP="00F45CA2">
      <w:pPr>
        <w:keepNext/>
        <w:keepLines/>
        <w:tabs>
          <w:tab w:val="clear" w:pos="567"/>
          <w:tab w:val="clear" w:pos="1134"/>
          <w:tab w:val="clear" w:pos="1701"/>
          <w:tab w:val="clear" w:pos="2268"/>
          <w:tab w:val="clear" w:pos="2835"/>
        </w:tabs>
        <w:snapToGrid w:val="0"/>
        <w:spacing w:after="120"/>
        <w:jc w:val="both"/>
        <w:rPr>
          <w:lang w:val="en-US"/>
        </w:rPr>
      </w:pPr>
      <w:r>
        <w:t>7</w:t>
      </w:r>
      <w:r>
        <w:tab/>
      </w:r>
      <w:r w:rsidR="00F303B0">
        <w:t xml:space="preserve">GDDFI 2017 will focus </w:t>
      </w:r>
      <w:r w:rsidR="00F303B0" w:rsidRPr="00F303B0">
        <w:t>on the security of digital financial services</w:t>
      </w:r>
      <w:r w:rsidR="00F303B0">
        <w:t xml:space="preserve">, and will take place on 11 July 2017, as a pre-event to GSR 2017, which will take place in Nassau, </w:t>
      </w:r>
      <w:r w:rsidR="00F303B0" w:rsidRPr="003E69C7">
        <w:t xml:space="preserve">Bahamas </w:t>
      </w:r>
      <w:r w:rsidR="00F303B0">
        <w:t xml:space="preserve">from 11 to 14 July 2017 and will be </w:t>
      </w:r>
      <w:r w:rsidR="00F303B0" w:rsidRPr="003E69C7">
        <w:t>chaired by the Chairman of the Utilities Regulation and Competition Authority (URCA) of the Bahamas.</w:t>
      </w:r>
      <w:r w:rsidR="00F303B0">
        <w:t xml:space="preserve"> The draft programme is available </w:t>
      </w:r>
      <w:hyperlink r:id="rId17" w:history="1">
        <w:r w:rsidR="00F303B0" w:rsidRPr="00F303B0">
          <w:rPr>
            <w:rStyle w:val="Hyperlink"/>
          </w:rPr>
          <w:t>here</w:t>
        </w:r>
      </w:hyperlink>
      <w:r w:rsidR="00F303B0">
        <w:t>.</w:t>
      </w:r>
    </w:p>
    <w:p w14:paraId="25FB30B2" w14:textId="3268CC93" w:rsidR="00DA53BB" w:rsidRDefault="000C5C28" w:rsidP="00F45CA2">
      <w:pPr>
        <w:jc w:val="both"/>
      </w:pPr>
      <w:r>
        <w:t>8</w:t>
      </w:r>
      <w:r>
        <w:tab/>
      </w:r>
      <w:r w:rsidR="00DA53BB">
        <w:t>ITU-D’s Chief Regulatory Officers (CRO)</w:t>
      </w:r>
      <w:r w:rsidR="00C82201">
        <w:t>, its Working Group on DFI in particular,</w:t>
      </w:r>
      <w:r w:rsidR="00DA53BB">
        <w:t xml:space="preserve">  recommended that members together with ITU define activities to collaborate with members </w:t>
      </w:r>
      <w:r w:rsidR="006257FB">
        <w:t xml:space="preserve">and </w:t>
      </w:r>
      <w:r w:rsidR="00DA53BB">
        <w:t xml:space="preserve">partners to create an enabling legal and regulatory framework for </w:t>
      </w:r>
      <w:r w:rsidR="006257FB">
        <w:t>DFI</w:t>
      </w:r>
      <w:r w:rsidR="00DA53BB">
        <w:t xml:space="preserve">, focusing in particular on collaborative regulatory approaches between both sectors and pilot projects to progress to </w:t>
      </w:r>
      <w:r w:rsidR="00DA53BB">
        <w:rPr>
          <w:color w:val="000000"/>
        </w:rPr>
        <w:t>increase telecommunication/ICT access and innovative solutions for DFI</w:t>
      </w:r>
      <w:r w:rsidR="00DA53BB">
        <w:t xml:space="preserve"> as well as to increase awareness on the importance of collaborative regulation between the financial and telecommunication</w:t>
      </w:r>
      <w:r w:rsidR="006257FB">
        <w:t>/ICT</w:t>
      </w:r>
      <w:r w:rsidR="00DA53BB">
        <w:t xml:space="preserve"> sectors and competition authorities.</w:t>
      </w:r>
    </w:p>
    <w:p w14:paraId="6F6924EA" w14:textId="295546D5" w:rsidR="00C12B61" w:rsidRDefault="000C5C28" w:rsidP="00F45CA2">
      <w:pPr>
        <w:tabs>
          <w:tab w:val="clear" w:pos="567"/>
          <w:tab w:val="clear" w:pos="1134"/>
          <w:tab w:val="clear" w:pos="1701"/>
          <w:tab w:val="clear" w:pos="2268"/>
          <w:tab w:val="clear" w:pos="2835"/>
        </w:tabs>
        <w:snapToGrid w:val="0"/>
        <w:spacing w:after="120"/>
        <w:jc w:val="both"/>
        <w:rPr>
          <w:rFonts w:eastAsiaTheme="minorEastAsia"/>
          <w:szCs w:val="24"/>
          <w:lang w:eastAsia="zh-CN"/>
        </w:rPr>
      </w:pPr>
      <w:r>
        <w:rPr>
          <w:szCs w:val="24"/>
        </w:rPr>
        <w:t>9</w:t>
      </w:r>
      <w:bookmarkStart w:id="10" w:name="_GoBack"/>
      <w:bookmarkEnd w:id="10"/>
      <w:r>
        <w:rPr>
          <w:szCs w:val="24"/>
        </w:rPr>
        <w:tab/>
      </w:r>
      <w:r w:rsidR="00C12B61">
        <w:rPr>
          <w:szCs w:val="24"/>
        </w:rPr>
        <w:t xml:space="preserve">Building on the strong collaboration initiated by </w:t>
      </w:r>
      <w:r w:rsidR="00E64815">
        <w:rPr>
          <w:szCs w:val="24"/>
        </w:rPr>
        <w:t>FG DFS</w:t>
      </w:r>
      <w:r w:rsidR="00C12B61">
        <w:rPr>
          <w:szCs w:val="24"/>
        </w:rPr>
        <w:t>, a Financial Inclusion Global Initiative (FIGI) will be set up as a joint collaboration between ITU, Bill &amp; Melinda Gates Foundation, World Bank</w:t>
      </w:r>
      <w:r w:rsidR="005F48AE">
        <w:rPr>
          <w:szCs w:val="24"/>
        </w:rPr>
        <w:t>,</w:t>
      </w:r>
      <w:r w:rsidR="00C12B61">
        <w:rPr>
          <w:szCs w:val="24"/>
        </w:rPr>
        <w:t xml:space="preserve"> and the Committee on Payments and Market Infrastructure (CPMI) of the Bank for International Settlements, to accelerate progress towards universal access to financial services over the next three years (2017-2020). FIGI will focus on the implementation of the recommendations from the ITU Focus Group Digital Financial Services, the Payment Aspects of Financial Inclusion (PAFI) report of the World Bank and Bank for International Settlements, and the Level One Project of the Gates Foundation. </w:t>
      </w:r>
    </w:p>
    <w:p w14:paraId="2FBA0A3D" w14:textId="77777777" w:rsidR="00C12B61" w:rsidRPr="00820421" w:rsidRDefault="00C12B61" w:rsidP="00F45CA2">
      <w:pPr>
        <w:spacing w:before="840"/>
        <w:jc w:val="center"/>
        <w:rPr>
          <w:lang w:val="en-US"/>
        </w:rPr>
      </w:pPr>
      <w:r>
        <w:rPr>
          <w:szCs w:val="24"/>
        </w:rPr>
        <w:t>________________</w:t>
      </w:r>
    </w:p>
    <w:sectPr w:rsidR="00C12B61" w:rsidRPr="00820421" w:rsidSect="004D1851">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3EA4C" w14:textId="77777777" w:rsidR="00EF3BE5" w:rsidRDefault="00EF3BE5">
      <w:r>
        <w:separator/>
      </w:r>
    </w:p>
  </w:endnote>
  <w:endnote w:type="continuationSeparator" w:id="0">
    <w:p w14:paraId="6785B359" w14:textId="77777777" w:rsidR="00EF3BE5" w:rsidRDefault="00EF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EE854" w14:textId="7ECB189A" w:rsidR="00CB18FF" w:rsidRPr="00C12B61" w:rsidRDefault="005F48AE">
    <w:pPr>
      <w:pStyle w:val="Footer"/>
      <w:rPr>
        <w:color w:val="D9D9D9" w:themeColor="background1" w:themeShade="D9"/>
      </w:rPr>
    </w:pPr>
    <w:r w:rsidRPr="00C12B61">
      <w:rPr>
        <w:color w:val="D9D9D9" w:themeColor="background1" w:themeShade="D9"/>
      </w:rPr>
      <w:fldChar w:fldCharType="begin"/>
    </w:r>
    <w:r w:rsidRPr="00C12B61">
      <w:rPr>
        <w:color w:val="D9D9D9" w:themeColor="background1" w:themeShade="D9"/>
      </w:rPr>
      <w:instrText xml:space="preserve"> FILENAME \p  \* MERGEFORMAT </w:instrText>
    </w:r>
    <w:r w:rsidRPr="00C12B61">
      <w:rPr>
        <w:color w:val="D9D9D9" w:themeColor="background1" w:themeShade="D9"/>
      </w:rPr>
      <w:fldChar w:fldCharType="separate"/>
    </w:r>
    <w:r w:rsidR="00C12B61" w:rsidRPr="00C12B61">
      <w:rPr>
        <w:color w:val="D9D9D9" w:themeColor="background1" w:themeShade="D9"/>
      </w:rPr>
      <w:t>Document1</w:t>
    </w:r>
    <w:r w:rsidRPr="00C12B61">
      <w:rPr>
        <w:color w:val="D9D9D9" w:themeColor="background1" w:themeShade="D9"/>
      </w:rPr>
      <w:fldChar w:fldCharType="end"/>
    </w:r>
    <w:r w:rsidR="00CB18FF" w:rsidRPr="00C12B61">
      <w:rPr>
        <w:color w:val="D9D9D9" w:themeColor="background1" w:themeShade="D9"/>
      </w:rPr>
      <w:tab/>
    </w:r>
    <w:r w:rsidR="00864AFF" w:rsidRPr="00C12B61">
      <w:rPr>
        <w:color w:val="D9D9D9" w:themeColor="background1" w:themeShade="D9"/>
      </w:rPr>
      <w:fldChar w:fldCharType="begin"/>
    </w:r>
    <w:r w:rsidR="00CB18FF" w:rsidRPr="00C12B61">
      <w:rPr>
        <w:color w:val="D9D9D9" w:themeColor="background1" w:themeShade="D9"/>
      </w:rPr>
      <w:instrText xml:space="preserve"> SAVEDATE \@ DD.MM.YY </w:instrText>
    </w:r>
    <w:r w:rsidR="00864AFF" w:rsidRPr="00C12B61">
      <w:rPr>
        <w:color w:val="D9D9D9" w:themeColor="background1" w:themeShade="D9"/>
      </w:rPr>
      <w:fldChar w:fldCharType="separate"/>
    </w:r>
    <w:r w:rsidR="000C5C28">
      <w:rPr>
        <w:color w:val="D9D9D9" w:themeColor="background1" w:themeShade="D9"/>
      </w:rPr>
      <w:t>31.03.17</w:t>
    </w:r>
    <w:r w:rsidR="00864AFF" w:rsidRPr="00C12B61">
      <w:rPr>
        <w:color w:val="D9D9D9" w:themeColor="background1" w:themeShade="D9"/>
      </w:rPr>
      <w:fldChar w:fldCharType="end"/>
    </w:r>
    <w:r w:rsidR="00CB18FF" w:rsidRPr="00C12B61">
      <w:rPr>
        <w:color w:val="D9D9D9" w:themeColor="background1" w:themeShade="D9"/>
      </w:rPr>
      <w:tab/>
    </w:r>
    <w:r w:rsidR="00864AFF" w:rsidRPr="00C12B61">
      <w:rPr>
        <w:color w:val="D9D9D9" w:themeColor="background1" w:themeShade="D9"/>
      </w:rPr>
      <w:fldChar w:fldCharType="begin"/>
    </w:r>
    <w:r w:rsidR="00CB18FF" w:rsidRPr="00C12B61">
      <w:rPr>
        <w:color w:val="D9D9D9" w:themeColor="background1" w:themeShade="D9"/>
      </w:rPr>
      <w:instrText xml:space="preserve"> PRINTDATE \@ DD.MM.YY </w:instrText>
    </w:r>
    <w:r w:rsidR="00864AFF" w:rsidRPr="00C12B61">
      <w:rPr>
        <w:color w:val="D9D9D9" w:themeColor="background1" w:themeShade="D9"/>
      </w:rPr>
      <w:fldChar w:fldCharType="separate"/>
    </w:r>
    <w:r w:rsidR="00C12B61" w:rsidRPr="00C12B61">
      <w:rPr>
        <w:color w:val="D9D9D9" w:themeColor="background1" w:themeShade="D9"/>
      </w:rPr>
      <w:t>18.07.00</w:t>
    </w:r>
    <w:r w:rsidR="00864AFF" w:rsidRPr="00C12B61">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BA0F8" w14:textId="77777777" w:rsidR="00322D0D" w:rsidRDefault="00322D0D">
    <w:pPr>
      <w:spacing w:after="120"/>
      <w:jc w:val="center"/>
    </w:pPr>
    <w:r>
      <w:t xml:space="preserve">• </w:t>
    </w:r>
    <w:hyperlink r:id="rId1" w:history="1">
      <w:r>
        <w:rPr>
          <w:rStyle w:val="Hyperlink"/>
        </w:rPr>
        <w:t>http://www.itu.int/council</w:t>
      </w:r>
    </w:hyperlink>
    <w:r>
      <w:t xml:space="preserve"> •</w:t>
    </w:r>
  </w:p>
  <w:p w14:paraId="295B08E3" w14:textId="1AAEB85E" w:rsidR="00322D0D" w:rsidRPr="00C12B61" w:rsidRDefault="005F48AE">
    <w:pPr>
      <w:pStyle w:val="Footer"/>
      <w:rPr>
        <w:color w:val="D9D9D9" w:themeColor="background1" w:themeShade="D9"/>
      </w:rPr>
    </w:pPr>
    <w:r w:rsidRPr="00C12B61">
      <w:rPr>
        <w:color w:val="D9D9D9" w:themeColor="background1" w:themeShade="D9"/>
      </w:rPr>
      <w:fldChar w:fldCharType="begin"/>
    </w:r>
    <w:r w:rsidRPr="00C12B61">
      <w:rPr>
        <w:color w:val="D9D9D9" w:themeColor="background1" w:themeShade="D9"/>
      </w:rPr>
      <w:instrText xml:space="preserve"> FILENAME \p  \* MERGEFORMAT </w:instrText>
    </w:r>
    <w:r w:rsidRPr="00C12B61">
      <w:rPr>
        <w:color w:val="D9D9D9" w:themeColor="background1" w:themeShade="D9"/>
      </w:rPr>
      <w:fldChar w:fldCharType="separate"/>
    </w:r>
    <w:r w:rsidR="00C12B61" w:rsidRPr="00C12B61">
      <w:rPr>
        <w:color w:val="D9D9D9" w:themeColor="background1" w:themeShade="D9"/>
      </w:rPr>
      <w:t>Document1</w:t>
    </w:r>
    <w:r w:rsidRPr="00C12B61">
      <w:rPr>
        <w:color w:val="D9D9D9" w:themeColor="background1" w:themeShade="D9"/>
      </w:rPr>
      <w:fldChar w:fldCharType="end"/>
    </w:r>
    <w:r w:rsidR="00322D0D" w:rsidRPr="00C12B61">
      <w:rPr>
        <w:color w:val="D9D9D9" w:themeColor="background1" w:themeShade="D9"/>
      </w:rPr>
      <w:tab/>
    </w:r>
    <w:r w:rsidR="00864AFF" w:rsidRPr="00C12B61">
      <w:rPr>
        <w:color w:val="D9D9D9" w:themeColor="background1" w:themeShade="D9"/>
      </w:rPr>
      <w:fldChar w:fldCharType="begin"/>
    </w:r>
    <w:r w:rsidR="00322D0D" w:rsidRPr="00C12B61">
      <w:rPr>
        <w:color w:val="D9D9D9" w:themeColor="background1" w:themeShade="D9"/>
      </w:rPr>
      <w:instrText xml:space="preserve"> SAVEDATE \@ DD.MM.YY </w:instrText>
    </w:r>
    <w:r w:rsidR="00864AFF" w:rsidRPr="00C12B61">
      <w:rPr>
        <w:color w:val="D9D9D9" w:themeColor="background1" w:themeShade="D9"/>
      </w:rPr>
      <w:fldChar w:fldCharType="separate"/>
    </w:r>
    <w:r w:rsidR="000C5C28">
      <w:rPr>
        <w:color w:val="D9D9D9" w:themeColor="background1" w:themeShade="D9"/>
      </w:rPr>
      <w:t>31.03.17</w:t>
    </w:r>
    <w:r w:rsidR="00864AFF" w:rsidRPr="00C12B61">
      <w:rPr>
        <w:color w:val="D9D9D9" w:themeColor="background1" w:themeShade="D9"/>
      </w:rPr>
      <w:fldChar w:fldCharType="end"/>
    </w:r>
    <w:r w:rsidR="00322D0D" w:rsidRPr="00C12B61">
      <w:rPr>
        <w:color w:val="D9D9D9" w:themeColor="background1" w:themeShade="D9"/>
      </w:rPr>
      <w:tab/>
    </w:r>
    <w:r w:rsidR="00864AFF" w:rsidRPr="00C12B61">
      <w:rPr>
        <w:color w:val="D9D9D9" w:themeColor="background1" w:themeShade="D9"/>
      </w:rPr>
      <w:fldChar w:fldCharType="begin"/>
    </w:r>
    <w:r w:rsidR="00322D0D" w:rsidRPr="00C12B61">
      <w:rPr>
        <w:color w:val="D9D9D9" w:themeColor="background1" w:themeShade="D9"/>
      </w:rPr>
      <w:instrText xml:space="preserve"> PRINTDATE \@ DD.MM.YY </w:instrText>
    </w:r>
    <w:r w:rsidR="00864AFF" w:rsidRPr="00C12B61">
      <w:rPr>
        <w:color w:val="D9D9D9" w:themeColor="background1" w:themeShade="D9"/>
      </w:rPr>
      <w:fldChar w:fldCharType="separate"/>
    </w:r>
    <w:r w:rsidR="00C12B61" w:rsidRPr="00C12B61">
      <w:rPr>
        <w:color w:val="D9D9D9" w:themeColor="background1" w:themeShade="D9"/>
      </w:rPr>
      <w:t>18.07.00</w:t>
    </w:r>
    <w:r w:rsidR="00864AFF" w:rsidRPr="00C12B61">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8E85D" w14:textId="77777777" w:rsidR="00EF3BE5" w:rsidRDefault="00EF3BE5">
      <w:r>
        <w:t>____________________</w:t>
      </w:r>
    </w:p>
  </w:footnote>
  <w:footnote w:type="continuationSeparator" w:id="0">
    <w:p w14:paraId="1470B38E" w14:textId="77777777" w:rsidR="00EF3BE5" w:rsidRDefault="00EF3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54657" w14:textId="77777777" w:rsidR="00322D0D" w:rsidRDefault="006535F1" w:rsidP="00CE433C">
    <w:pPr>
      <w:pStyle w:val="Header"/>
    </w:pPr>
    <w:r>
      <w:fldChar w:fldCharType="begin"/>
    </w:r>
    <w:r>
      <w:instrText>PAGE</w:instrText>
    </w:r>
    <w:r>
      <w:fldChar w:fldCharType="separate"/>
    </w:r>
    <w:r w:rsidR="000C5C28">
      <w:rPr>
        <w:noProof/>
      </w:rPr>
      <w:t>2</w:t>
    </w:r>
    <w:r>
      <w:rPr>
        <w:noProof/>
      </w:rPr>
      <w:fldChar w:fldCharType="end"/>
    </w:r>
  </w:p>
  <w:p w14:paraId="35A82E87" w14:textId="77777777" w:rsidR="00322D0D" w:rsidRDefault="00C12B61" w:rsidP="005243FF">
    <w:pPr>
      <w:pStyle w:val="Header"/>
    </w:pPr>
    <w:r>
      <w:t>C17/68-E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BC278A"/>
    <w:multiLevelType w:val="hybridMultilevel"/>
    <w:tmpl w:val="A1B64F00"/>
    <w:lvl w:ilvl="0" w:tplc="F298460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67F71"/>
    <w:multiLevelType w:val="hybridMultilevel"/>
    <w:tmpl w:val="DBEA5ED8"/>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B37C8D"/>
    <w:multiLevelType w:val="hybridMultilevel"/>
    <w:tmpl w:val="019AC442"/>
    <w:lvl w:ilvl="0" w:tplc="04090001">
      <w:start w:val="1"/>
      <w:numFmt w:val="bullet"/>
      <w:lvlText w:val=""/>
      <w:lvlJc w:val="left"/>
      <w:pPr>
        <w:ind w:left="780" w:firstLine="0"/>
      </w:pPr>
      <w:rPr>
        <w:rFonts w:ascii="Symbol" w:hAnsi="Symbol" w:hint="default"/>
        <w:b w:val="0"/>
        <w:i w:val="0"/>
        <w:strike w:val="0"/>
        <w:dstrike w:val="0"/>
        <w:color w:val="000000"/>
        <w:sz w:val="20"/>
        <w:szCs w:val="20"/>
        <w:u w:val="none" w:color="000000"/>
        <w:effect w:val="none"/>
        <w:bdr w:val="none" w:sz="0" w:space="0" w:color="auto" w:frame="1"/>
        <w:vertAlign w:val="baseline"/>
      </w:rPr>
    </w:lvl>
    <w:lvl w:ilvl="1" w:tplc="4056723C">
      <w:start w:val="1"/>
      <w:numFmt w:val="bullet"/>
      <w:lvlText w:val="o"/>
      <w:lvlJc w:val="left"/>
      <w:pPr>
        <w:ind w:left="147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F05E0B10">
      <w:start w:val="1"/>
      <w:numFmt w:val="bullet"/>
      <w:lvlText w:val="▪"/>
      <w:lvlJc w:val="left"/>
      <w:pPr>
        <w:ind w:left="21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9E42DD86">
      <w:start w:val="1"/>
      <w:numFmt w:val="bullet"/>
      <w:lvlText w:val="•"/>
      <w:lvlJc w:val="left"/>
      <w:pPr>
        <w:ind w:left="29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1CB23744">
      <w:start w:val="1"/>
      <w:numFmt w:val="bullet"/>
      <w:lvlText w:val="o"/>
      <w:lvlJc w:val="left"/>
      <w:pPr>
        <w:ind w:left="363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7F4607A4">
      <w:start w:val="1"/>
      <w:numFmt w:val="bullet"/>
      <w:lvlText w:val="▪"/>
      <w:lvlJc w:val="left"/>
      <w:pPr>
        <w:ind w:left="435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9BEC4E84">
      <w:start w:val="1"/>
      <w:numFmt w:val="bullet"/>
      <w:lvlText w:val="•"/>
      <w:lvlJc w:val="left"/>
      <w:pPr>
        <w:ind w:left="507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7AA447C">
      <w:start w:val="1"/>
      <w:numFmt w:val="bullet"/>
      <w:lvlText w:val="o"/>
      <w:lvlJc w:val="left"/>
      <w:pPr>
        <w:ind w:left="57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C30AD6F0">
      <w:start w:val="1"/>
      <w:numFmt w:val="bullet"/>
      <w:lvlText w:val="▪"/>
      <w:lvlJc w:val="left"/>
      <w:pPr>
        <w:ind w:left="651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Y0NTc3sDS0MDaxMDdU0lEKTi0uzszPAykwrgUAMkeOjCwAAAA="/>
  </w:docVars>
  <w:rsids>
    <w:rsidRoot w:val="00C12B61"/>
    <w:rsid w:val="000210D4"/>
    <w:rsid w:val="00063016"/>
    <w:rsid w:val="00066795"/>
    <w:rsid w:val="00076AF6"/>
    <w:rsid w:val="00085CF2"/>
    <w:rsid w:val="000A08F0"/>
    <w:rsid w:val="000B1705"/>
    <w:rsid w:val="000C5C28"/>
    <w:rsid w:val="000D75B2"/>
    <w:rsid w:val="001121F5"/>
    <w:rsid w:val="00113AA7"/>
    <w:rsid w:val="001400DC"/>
    <w:rsid w:val="00140CE1"/>
    <w:rsid w:val="0017539C"/>
    <w:rsid w:val="00175AC2"/>
    <w:rsid w:val="0017609F"/>
    <w:rsid w:val="001A14CD"/>
    <w:rsid w:val="001C628E"/>
    <w:rsid w:val="001E0F7B"/>
    <w:rsid w:val="002119FD"/>
    <w:rsid w:val="002130E0"/>
    <w:rsid w:val="00264425"/>
    <w:rsid w:val="00265875"/>
    <w:rsid w:val="0027303B"/>
    <w:rsid w:val="0028109B"/>
    <w:rsid w:val="002B1F58"/>
    <w:rsid w:val="002C1C7A"/>
    <w:rsid w:val="002C4128"/>
    <w:rsid w:val="0030160F"/>
    <w:rsid w:val="00322D0D"/>
    <w:rsid w:val="003942D4"/>
    <w:rsid w:val="003958A8"/>
    <w:rsid w:val="003C2533"/>
    <w:rsid w:val="0040435A"/>
    <w:rsid w:val="00416A24"/>
    <w:rsid w:val="00431D9E"/>
    <w:rsid w:val="00433CE8"/>
    <w:rsid w:val="00434A5C"/>
    <w:rsid w:val="004544D9"/>
    <w:rsid w:val="0045779A"/>
    <w:rsid w:val="00490E72"/>
    <w:rsid w:val="00491157"/>
    <w:rsid w:val="004921C8"/>
    <w:rsid w:val="004D1851"/>
    <w:rsid w:val="004D599D"/>
    <w:rsid w:val="004E2EA5"/>
    <w:rsid w:val="004E3AEB"/>
    <w:rsid w:val="0050223C"/>
    <w:rsid w:val="005243FF"/>
    <w:rsid w:val="00531630"/>
    <w:rsid w:val="00564FBC"/>
    <w:rsid w:val="00582442"/>
    <w:rsid w:val="005D7792"/>
    <w:rsid w:val="005F48AE"/>
    <w:rsid w:val="00616840"/>
    <w:rsid w:val="006257FB"/>
    <w:rsid w:val="0064737F"/>
    <w:rsid w:val="006535F1"/>
    <w:rsid w:val="0065557D"/>
    <w:rsid w:val="00662984"/>
    <w:rsid w:val="006716BB"/>
    <w:rsid w:val="006B6680"/>
    <w:rsid w:val="006B6DCC"/>
    <w:rsid w:val="00702DEF"/>
    <w:rsid w:val="00706861"/>
    <w:rsid w:val="00733019"/>
    <w:rsid w:val="0075051B"/>
    <w:rsid w:val="00792F59"/>
    <w:rsid w:val="00794D34"/>
    <w:rsid w:val="007C1B37"/>
    <w:rsid w:val="007E5933"/>
    <w:rsid w:val="00813E5E"/>
    <w:rsid w:val="0083581B"/>
    <w:rsid w:val="00851C5B"/>
    <w:rsid w:val="00864AFF"/>
    <w:rsid w:val="008B4A6A"/>
    <w:rsid w:val="008C7E27"/>
    <w:rsid w:val="0091662D"/>
    <w:rsid w:val="009173EF"/>
    <w:rsid w:val="00932906"/>
    <w:rsid w:val="00961B0B"/>
    <w:rsid w:val="00991725"/>
    <w:rsid w:val="009B38C3"/>
    <w:rsid w:val="009C3674"/>
    <w:rsid w:val="009E17BD"/>
    <w:rsid w:val="00A04CEC"/>
    <w:rsid w:val="00A27F92"/>
    <w:rsid w:val="00A32257"/>
    <w:rsid w:val="00A36D20"/>
    <w:rsid w:val="00A55622"/>
    <w:rsid w:val="00A83502"/>
    <w:rsid w:val="00AD15B3"/>
    <w:rsid w:val="00AD3462"/>
    <w:rsid w:val="00AF6E49"/>
    <w:rsid w:val="00B04A67"/>
    <w:rsid w:val="00B0583C"/>
    <w:rsid w:val="00B2188C"/>
    <w:rsid w:val="00B40A81"/>
    <w:rsid w:val="00B44910"/>
    <w:rsid w:val="00B72267"/>
    <w:rsid w:val="00B76EB6"/>
    <w:rsid w:val="00B7737B"/>
    <w:rsid w:val="00B824C8"/>
    <w:rsid w:val="00BC251A"/>
    <w:rsid w:val="00BD032B"/>
    <w:rsid w:val="00BE2640"/>
    <w:rsid w:val="00C01189"/>
    <w:rsid w:val="00C12B61"/>
    <w:rsid w:val="00C20545"/>
    <w:rsid w:val="00C374DE"/>
    <w:rsid w:val="00C47AD4"/>
    <w:rsid w:val="00C52D81"/>
    <w:rsid w:val="00C55198"/>
    <w:rsid w:val="00C62C56"/>
    <w:rsid w:val="00C70463"/>
    <w:rsid w:val="00C82201"/>
    <w:rsid w:val="00CA6393"/>
    <w:rsid w:val="00CB18FF"/>
    <w:rsid w:val="00CD0C08"/>
    <w:rsid w:val="00CE03FB"/>
    <w:rsid w:val="00CE433C"/>
    <w:rsid w:val="00CF33F3"/>
    <w:rsid w:val="00D06183"/>
    <w:rsid w:val="00D22C42"/>
    <w:rsid w:val="00D325AD"/>
    <w:rsid w:val="00D51775"/>
    <w:rsid w:val="00D65041"/>
    <w:rsid w:val="00D82AC0"/>
    <w:rsid w:val="00DA53BB"/>
    <w:rsid w:val="00DB384B"/>
    <w:rsid w:val="00E10E80"/>
    <w:rsid w:val="00E124F0"/>
    <w:rsid w:val="00E30169"/>
    <w:rsid w:val="00E60F04"/>
    <w:rsid w:val="00E64815"/>
    <w:rsid w:val="00E8391B"/>
    <w:rsid w:val="00E854E4"/>
    <w:rsid w:val="00EB0D6F"/>
    <w:rsid w:val="00EB2232"/>
    <w:rsid w:val="00EB42FE"/>
    <w:rsid w:val="00EC5337"/>
    <w:rsid w:val="00EF3BE5"/>
    <w:rsid w:val="00F130EE"/>
    <w:rsid w:val="00F2150A"/>
    <w:rsid w:val="00F231D8"/>
    <w:rsid w:val="00F236A9"/>
    <w:rsid w:val="00F303B0"/>
    <w:rsid w:val="00F41119"/>
    <w:rsid w:val="00F45CA2"/>
    <w:rsid w:val="00F46C5F"/>
    <w:rsid w:val="00F712FD"/>
    <w:rsid w:val="00F839CE"/>
    <w:rsid w:val="00F94A63"/>
    <w:rsid w:val="00FA1C28"/>
    <w:rsid w:val="00FB7596"/>
    <w:rsid w:val="00FE4077"/>
    <w:rsid w:val="00FE7606"/>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C2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45CA2"/>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C12B6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C12B61"/>
    <w:pPr>
      <w:tabs>
        <w:tab w:val="clear" w:pos="567"/>
        <w:tab w:val="clear" w:pos="1134"/>
        <w:tab w:val="clear" w:pos="1701"/>
        <w:tab w:val="clear" w:pos="2268"/>
        <w:tab w:val="clear" w:pos="2835"/>
      </w:tabs>
      <w:overflowPunct/>
      <w:autoSpaceDE/>
      <w:autoSpaceDN/>
      <w:adjustRightInd/>
      <w:spacing w:before="0" w:after="200" w:line="276" w:lineRule="auto"/>
      <w:ind w:left="720"/>
      <w:contextualSpacing/>
      <w:jc w:val="both"/>
      <w:textAlignment w:val="auto"/>
    </w:pPr>
    <w:rPr>
      <w:rFonts w:eastAsia="MS Mincho" w:cs="Arial"/>
      <w:sz w:val="22"/>
      <w:szCs w:val="22"/>
      <w:lang w:val="en-US"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rsid w:val="00C12B61"/>
    <w:rPr>
      <w:rFonts w:ascii="Calibri" w:eastAsia="MS Mincho" w:hAnsi="Calibri" w:cs="Arial"/>
      <w:sz w:val="22"/>
      <w:szCs w:val="22"/>
    </w:rPr>
  </w:style>
  <w:style w:type="paragraph" w:styleId="BalloonText">
    <w:name w:val="Balloon Text"/>
    <w:basedOn w:val="Normal"/>
    <w:link w:val="BalloonTextChar"/>
    <w:semiHidden/>
    <w:unhideWhenUsed/>
    <w:rsid w:val="00E6481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6481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1286">
      <w:bodyDiv w:val="1"/>
      <w:marLeft w:val="0"/>
      <w:marRight w:val="0"/>
      <w:marTop w:val="0"/>
      <w:marBottom w:val="0"/>
      <w:divBdr>
        <w:top w:val="none" w:sz="0" w:space="0" w:color="auto"/>
        <w:left w:val="none" w:sz="0" w:space="0" w:color="auto"/>
        <w:bottom w:val="none" w:sz="0" w:space="0" w:color="auto"/>
        <w:right w:val="none" w:sz="0" w:space="0" w:color="auto"/>
      </w:divBdr>
      <w:divsChild>
        <w:div w:id="737632873">
          <w:marLeft w:val="0"/>
          <w:marRight w:val="0"/>
          <w:marTop w:val="0"/>
          <w:marBottom w:val="0"/>
          <w:divBdr>
            <w:top w:val="none" w:sz="0" w:space="0" w:color="auto"/>
            <w:left w:val="none" w:sz="0" w:space="0" w:color="auto"/>
            <w:bottom w:val="none" w:sz="0" w:space="0" w:color="auto"/>
            <w:right w:val="none" w:sz="0" w:space="0" w:color="auto"/>
          </w:divBdr>
          <w:divsChild>
            <w:div w:id="1659725415">
              <w:marLeft w:val="0"/>
              <w:marRight w:val="0"/>
              <w:marTop w:val="0"/>
              <w:marBottom w:val="0"/>
              <w:divBdr>
                <w:top w:val="none" w:sz="0" w:space="0" w:color="auto"/>
                <w:left w:val="none" w:sz="0" w:space="0" w:color="auto"/>
                <w:bottom w:val="none" w:sz="0" w:space="0" w:color="auto"/>
                <w:right w:val="none" w:sz="0" w:space="0" w:color="auto"/>
              </w:divBdr>
              <w:divsChild>
                <w:div w:id="16778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55482">
      <w:bodyDiv w:val="1"/>
      <w:marLeft w:val="0"/>
      <w:marRight w:val="0"/>
      <w:marTop w:val="0"/>
      <w:marBottom w:val="0"/>
      <w:divBdr>
        <w:top w:val="none" w:sz="0" w:space="0" w:color="auto"/>
        <w:left w:val="none" w:sz="0" w:space="0" w:color="auto"/>
        <w:bottom w:val="none" w:sz="0" w:space="0" w:color="auto"/>
        <w:right w:val="none" w:sz="0" w:space="0" w:color="auto"/>
      </w:divBdr>
      <w:divsChild>
        <w:div w:id="66997343">
          <w:marLeft w:val="0"/>
          <w:marRight w:val="0"/>
          <w:marTop w:val="0"/>
          <w:marBottom w:val="0"/>
          <w:divBdr>
            <w:top w:val="none" w:sz="0" w:space="0" w:color="auto"/>
            <w:left w:val="none" w:sz="0" w:space="0" w:color="auto"/>
            <w:bottom w:val="none" w:sz="0" w:space="0" w:color="auto"/>
            <w:right w:val="none" w:sz="0" w:space="0" w:color="auto"/>
          </w:divBdr>
          <w:divsChild>
            <w:div w:id="122426172">
              <w:marLeft w:val="0"/>
              <w:marRight w:val="0"/>
              <w:marTop w:val="0"/>
              <w:marBottom w:val="0"/>
              <w:divBdr>
                <w:top w:val="none" w:sz="0" w:space="0" w:color="auto"/>
                <w:left w:val="none" w:sz="0" w:space="0" w:color="auto"/>
                <w:bottom w:val="none" w:sz="0" w:space="0" w:color="auto"/>
                <w:right w:val="none" w:sz="0" w:space="0" w:color="auto"/>
              </w:divBdr>
              <w:divsChild>
                <w:div w:id="17308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D/Conferences/CRO/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D/Conferences/WTDC/Documents/D-TDC-WTDC-2014-PDF-E.pdf" TargetMode="External"/><Relationship Id="rId17" Type="http://schemas.openxmlformats.org/officeDocument/2006/relationships/hyperlink" Target="http://www.itu.int/en/ITU-D/Conferences/GSR/Pages/GSR2017/default.aspx" TargetMode="External"/><Relationship Id="rId2" Type="http://schemas.openxmlformats.org/officeDocument/2006/relationships/numbering" Target="numbering.xml"/><Relationship Id="rId16" Type="http://schemas.openxmlformats.org/officeDocument/2006/relationships/hyperlink" Target="http://www.itu.int/en/ITU-D/Conferences/GSR/Documents/GSR2016/Meeting_report_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Conferences/GSR/Pages/GSR.aspx" TargetMode="External"/><Relationship Id="rId5" Type="http://schemas.openxmlformats.org/officeDocument/2006/relationships/webSettings" Target="webSettings.xml"/><Relationship Id="rId15" Type="http://schemas.openxmlformats.org/officeDocument/2006/relationships/hyperlink" Target="http://www.itu.int/en/mediacentre/Pages/2017-PR07.aspx" TargetMode="External"/><Relationship Id="rId10" Type="http://schemas.openxmlformats.org/officeDocument/2006/relationships/hyperlink" Target="https://www.itu.int/dms_pub/itu-t/opb/res/T-RES-T.89-2016-PDF-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en/ITU-T/focusgroups/dfs/Pages/deliverables.aspx" TargetMode="External"/><Relationship Id="rId14" Type="http://schemas.openxmlformats.org/officeDocument/2006/relationships/hyperlink" Target="http://www.itu.int/en/ITU-T/focusgroups/dfs/Pages/deliverables.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2128F-71AB-4ACA-8005-DFB094DF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0</TotalTime>
  <Pages>3</Pages>
  <Words>980</Words>
  <Characters>6434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2017-03-31T07:59:00Z</dcterms:created>
  <dcterms:modified xsi:type="dcterms:W3CDTF">2017-04-10T08:49:00Z</dcterms:modified>
  <cp:category/>
</cp:coreProperties>
</file>