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E2B4B" w:rsidRPr="00813E5E" w14:paraId="4793C755" w14:textId="77777777">
        <w:trPr>
          <w:cantSplit/>
        </w:trPr>
        <w:tc>
          <w:tcPr>
            <w:tcW w:w="6911" w:type="dxa"/>
          </w:tcPr>
          <w:p w14:paraId="658B7435" w14:textId="195CB3F0" w:rsidR="002E2B4B" w:rsidRPr="00813E5E" w:rsidRDefault="00093DD0" w:rsidP="002E2B4B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71E1">
              <w:rPr>
                <w:b/>
                <w:bCs/>
                <w:position w:val="6"/>
                <w:sz w:val="28"/>
                <w:szCs w:val="28"/>
                <w:lang w:val="ru-RU"/>
              </w:rPr>
              <w:t>СОВЕТ</w:t>
            </w:r>
            <w:r w:rsidRPr="00DE71E1">
              <w:rPr>
                <w:b/>
                <w:bCs/>
                <w:position w:val="6"/>
                <w:sz w:val="28"/>
                <w:szCs w:val="28"/>
                <w:lang w:val="fr-CH"/>
              </w:rPr>
              <w:t xml:space="preserve"> 2017</w:t>
            </w:r>
            <w:r w:rsidRPr="002E2B4B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DE71E1">
              <w:rPr>
                <w:b/>
                <w:bCs/>
                <w:position w:val="6"/>
                <w:sz w:val="22"/>
                <w:szCs w:val="22"/>
                <w:lang w:val="ru-RU"/>
              </w:rPr>
              <w:t>Женева</w:t>
            </w:r>
            <w:r w:rsidRPr="00DE71E1">
              <w:rPr>
                <w:b/>
                <w:bCs/>
                <w:position w:val="6"/>
                <w:sz w:val="22"/>
                <w:szCs w:val="22"/>
                <w:lang w:val="fr-CH"/>
              </w:rPr>
              <w:t>, 15</w:t>
            </w:r>
            <w:r w:rsidRPr="00DE71E1">
              <w:rPr>
                <w:b/>
                <w:bCs/>
                <w:position w:val="6"/>
                <w:sz w:val="22"/>
                <w:szCs w:val="22"/>
                <w:lang w:val="ru-RU"/>
              </w:rPr>
              <w:t>–</w:t>
            </w:r>
            <w:r w:rsidRPr="00DE71E1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25 </w:t>
            </w:r>
            <w:r w:rsidRPr="00DE71E1">
              <w:rPr>
                <w:b/>
                <w:bCs/>
                <w:position w:val="6"/>
                <w:sz w:val="22"/>
                <w:szCs w:val="22"/>
                <w:lang w:val="ru-RU"/>
              </w:rPr>
              <w:t>мая</w:t>
            </w:r>
            <w:r w:rsidRPr="00DE71E1">
              <w:rPr>
                <w:b/>
                <w:bCs/>
                <w:position w:val="6"/>
                <w:sz w:val="22"/>
                <w:szCs w:val="22"/>
                <w:lang w:val="fr-CH"/>
              </w:rPr>
              <w:t xml:space="preserve"> 2017</w:t>
            </w:r>
            <w:r w:rsidRPr="00DE71E1">
              <w:rPr>
                <w:b/>
                <w:bCs/>
                <w:position w:val="6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1F60E6A" w14:textId="25C4B223" w:rsidR="002E2B4B" w:rsidRPr="00813E5E" w:rsidRDefault="00093DD0" w:rsidP="002E2B4B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5F2AF60" wp14:editId="4A3EB45D">
                  <wp:extent cx="1883664" cy="740664"/>
                  <wp:effectExtent l="0" t="0" r="254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740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B4B" w:rsidRPr="00813E5E" w14:paraId="5EEED18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B52E505" w14:textId="77777777" w:rsidR="002E2B4B" w:rsidRPr="00813E5E" w:rsidRDefault="002E2B4B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6289BD4" w14:textId="77777777" w:rsidR="002E2B4B" w:rsidRPr="00813E5E" w:rsidRDefault="002E2B4B">
            <w:pPr>
              <w:spacing w:before="0" w:line="240" w:lineRule="atLeast"/>
              <w:rPr>
                <w:szCs w:val="24"/>
              </w:rPr>
            </w:pPr>
          </w:p>
        </w:tc>
      </w:tr>
      <w:tr w:rsidR="002E2B4B" w:rsidRPr="00813E5E" w14:paraId="4B7D8C3B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AE92D1F" w14:textId="77777777" w:rsidR="002E2B4B" w:rsidRPr="00813E5E" w:rsidRDefault="002E2B4B" w:rsidP="002E2B4B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74A227" w14:textId="77777777" w:rsidR="002E2B4B" w:rsidRPr="00813E5E" w:rsidRDefault="002E2B4B" w:rsidP="002E2B4B">
            <w:pPr>
              <w:spacing w:before="0" w:line="240" w:lineRule="atLeast"/>
              <w:rPr>
                <w:szCs w:val="24"/>
              </w:rPr>
            </w:pPr>
          </w:p>
        </w:tc>
      </w:tr>
      <w:tr w:rsidR="002E2B4B" w:rsidRPr="00813E5E" w14:paraId="6C8D783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A799A03" w14:textId="4E0B8EA3" w:rsidR="002E2B4B" w:rsidRPr="002E2B4B" w:rsidRDefault="00093DD0" w:rsidP="00093DD0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  <w:lang w:val="ru-RU"/>
              </w:rPr>
              <w:t>Пункт повестки дня</w:t>
            </w:r>
            <w:r w:rsidR="002E2B4B">
              <w:rPr>
                <w:b/>
              </w:rPr>
              <w:t>: ADM 9</w:t>
            </w:r>
          </w:p>
        </w:tc>
        <w:tc>
          <w:tcPr>
            <w:tcW w:w="3120" w:type="dxa"/>
          </w:tcPr>
          <w:p w14:paraId="1616321E" w14:textId="0FBAD42C" w:rsidR="002E2B4B" w:rsidRPr="00FE695D" w:rsidRDefault="00093DD0" w:rsidP="00FE695D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ru-RU"/>
              </w:rPr>
            </w:pPr>
            <w:r w:rsidRPr="00DE71E1">
              <w:rPr>
                <w:b/>
                <w:sz w:val="22"/>
                <w:szCs w:val="22"/>
                <w:lang w:val="ru-RU"/>
              </w:rPr>
              <w:t>Документ</w:t>
            </w:r>
            <w:r w:rsidR="002E2B4B" w:rsidRPr="00DE71E1">
              <w:rPr>
                <w:b/>
                <w:sz w:val="22"/>
                <w:szCs w:val="22"/>
              </w:rPr>
              <w:t xml:space="preserve"> C17/67-</w:t>
            </w:r>
            <w:r w:rsidR="00FE695D">
              <w:rPr>
                <w:b/>
                <w:sz w:val="22"/>
                <w:szCs w:val="22"/>
              </w:rPr>
              <w:t>R</w:t>
            </w:r>
          </w:p>
        </w:tc>
      </w:tr>
      <w:tr w:rsidR="002E2B4B" w:rsidRPr="00813E5E" w14:paraId="532554A5" w14:textId="77777777">
        <w:trPr>
          <w:cantSplit/>
          <w:trHeight w:val="23"/>
        </w:trPr>
        <w:tc>
          <w:tcPr>
            <w:tcW w:w="6911" w:type="dxa"/>
            <w:vMerge/>
          </w:tcPr>
          <w:p w14:paraId="0A4AF071" w14:textId="77777777" w:rsidR="002E2B4B" w:rsidRPr="00813E5E" w:rsidRDefault="002E2B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77F6D3B9" w14:textId="6D0D6E59" w:rsidR="002E2B4B" w:rsidRPr="00DE71E1" w:rsidRDefault="002E2B4B" w:rsidP="00093DD0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DE71E1">
              <w:rPr>
                <w:b/>
                <w:sz w:val="22"/>
                <w:szCs w:val="22"/>
              </w:rPr>
              <w:t xml:space="preserve">14 </w:t>
            </w:r>
            <w:r w:rsidR="00093DD0" w:rsidRPr="00DE71E1">
              <w:rPr>
                <w:b/>
                <w:sz w:val="22"/>
                <w:szCs w:val="22"/>
                <w:lang w:val="ru-RU"/>
              </w:rPr>
              <w:t xml:space="preserve">марта </w:t>
            </w:r>
            <w:r w:rsidRPr="00DE71E1">
              <w:rPr>
                <w:b/>
                <w:sz w:val="22"/>
                <w:szCs w:val="22"/>
              </w:rPr>
              <w:t>2017</w:t>
            </w:r>
            <w:r w:rsidR="00093DD0" w:rsidRPr="00DE71E1">
              <w:rPr>
                <w:b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2E2B4B" w:rsidRPr="00813E5E" w14:paraId="6284C999" w14:textId="77777777">
        <w:trPr>
          <w:cantSplit/>
          <w:trHeight w:val="23"/>
        </w:trPr>
        <w:tc>
          <w:tcPr>
            <w:tcW w:w="6911" w:type="dxa"/>
            <w:vMerge/>
          </w:tcPr>
          <w:p w14:paraId="5A2D2245" w14:textId="77777777" w:rsidR="002E2B4B" w:rsidRPr="00813E5E" w:rsidRDefault="002E2B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1088933A" w14:textId="7732AC10" w:rsidR="002E2B4B" w:rsidRPr="00DE71E1" w:rsidRDefault="00093DD0" w:rsidP="00093DD0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DE71E1">
              <w:rPr>
                <w:b/>
                <w:sz w:val="22"/>
                <w:szCs w:val="22"/>
                <w:lang w:val="ru-RU"/>
              </w:rPr>
              <w:t>Оригинал</w:t>
            </w:r>
            <w:r w:rsidR="002E2B4B" w:rsidRPr="00DE71E1">
              <w:rPr>
                <w:b/>
                <w:sz w:val="22"/>
                <w:szCs w:val="22"/>
              </w:rPr>
              <w:t xml:space="preserve">: </w:t>
            </w:r>
            <w:r w:rsidRPr="00DE71E1">
              <w:rPr>
                <w:b/>
                <w:sz w:val="22"/>
                <w:szCs w:val="22"/>
                <w:lang w:val="ru-RU"/>
              </w:rPr>
              <w:t>английский</w:t>
            </w:r>
          </w:p>
        </w:tc>
      </w:tr>
      <w:tr w:rsidR="002E2B4B" w:rsidRPr="00813E5E" w14:paraId="20ABF8A4" w14:textId="77777777">
        <w:trPr>
          <w:cantSplit/>
        </w:trPr>
        <w:tc>
          <w:tcPr>
            <w:tcW w:w="10031" w:type="dxa"/>
            <w:gridSpan w:val="2"/>
          </w:tcPr>
          <w:p w14:paraId="1B36CEE5" w14:textId="7B29B2D8" w:rsidR="002E2B4B" w:rsidRPr="00DE71E1" w:rsidRDefault="00093DD0" w:rsidP="00093DD0">
            <w:pPr>
              <w:pStyle w:val="Source"/>
              <w:rPr>
                <w:sz w:val="26"/>
                <w:szCs w:val="26"/>
                <w:lang w:val="ru-RU"/>
              </w:rPr>
            </w:pPr>
            <w:bookmarkStart w:id="6" w:name="dsource" w:colFirst="0" w:colLast="0"/>
            <w:bookmarkEnd w:id="5"/>
            <w:r w:rsidRPr="00DE71E1">
              <w:rPr>
                <w:sz w:val="26"/>
                <w:szCs w:val="26"/>
                <w:lang w:val="ru-RU"/>
              </w:rPr>
              <w:t>Отчет Генерального секретаря</w:t>
            </w:r>
          </w:p>
        </w:tc>
      </w:tr>
      <w:tr w:rsidR="002E2B4B" w:rsidRPr="005C3287" w14:paraId="27CDF067" w14:textId="77777777">
        <w:trPr>
          <w:cantSplit/>
        </w:trPr>
        <w:tc>
          <w:tcPr>
            <w:tcW w:w="10031" w:type="dxa"/>
            <w:gridSpan w:val="2"/>
          </w:tcPr>
          <w:p w14:paraId="006E7011" w14:textId="2220C849" w:rsidR="002E2B4B" w:rsidRPr="00DE71E1" w:rsidRDefault="00093DD0">
            <w:pPr>
              <w:pStyle w:val="Title1"/>
              <w:rPr>
                <w:sz w:val="26"/>
                <w:szCs w:val="26"/>
                <w:lang w:val="ru-RU"/>
              </w:rPr>
            </w:pPr>
            <w:bookmarkStart w:id="7" w:name="dtitle1" w:colFirst="0" w:colLast="0"/>
            <w:bookmarkEnd w:id="6"/>
            <w:r w:rsidRPr="00DE71E1">
              <w:rPr>
                <w:sz w:val="26"/>
                <w:szCs w:val="26"/>
                <w:lang w:val="ru-RU"/>
              </w:rPr>
              <w:t xml:space="preserve">УКРЕПЛЕНИЕ СТАБИЛЬНОСТИ И ПРОГНОЗИРУЕМОСТИ </w:t>
            </w:r>
            <w:r w:rsidRPr="00DE71E1">
              <w:rPr>
                <w:sz w:val="26"/>
                <w:szCs w:val="26"/>
                <w:lang w:val="ru-RU"/>
              </w:rPr>
              <w:br/>
              <w:t>ФИНАНСОВОЙ БАЗЫ СОЮЗА</w:t>
            </w:r>
          </w:p>
        </w:tc>
      </w:tr>
      <w:bookmarkEnd w:id="7"/>
    </w:tbl>
    <w:p w14:paraId="70120AF2" w14:textId="77777777" w:rsidR="00FE695D" w:rsidRPr="00FE695D" w:rsidRDefault="00FE695D" w:rsidP="005C3287">
      <w:pPr>
        <w:spacing w:before="240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E2B4B" w:rsidRPr="005C3287" w14:paraId="6FB7865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D3066" w14:textId="1B983127" w:rsidR="002E2B4B" w:rsidRPr="00DE71E1" w:rsidRDefault="00426058" w:rsidP="005918D2">
            <w:pPr>
              <w:pStyle w:val="Headingb"/>
              <w:jc w:val="both"/>
              <w:rPr>
                <w:sz w:val="22"/>
                <w:szCs w:val="22"/>
                <w:lang w:val="ru-RU"/>
              </w:rPr>
            </w:pPr>
            <w:r w:rsidRPr="00DE71E1">
              <w:rPr>
                <w:sz w:val="22"/>
                <w:szCs w:val="22"/>
                <w:lang w:val="ru-RU"/>
              </w:rPr>
              <w:t>Резюме</w:t>
            </w:r>
          </w:p>
          <w:p w14:paraId="452D9C77" w14:textId="0A91F1D8" w:rsidR="00426058" w:rsidRPr="00DE71E1" w:rsidRDefault="00426058" w:rsidP="00426058">
            <w:pPr>
              <w:jc w:val="both"/>
              <w:rPr>
                <w:sz w:val="22"/>
                <w:szCs w:val="22"/>
                <w:lang w:val="ru-RU"/>
              </w:rPr>
            </w:pPr>
            <w:r w:rsidRPr="00DE71E1">
              <w:rPr>
                <w:sz w:val="22"/>
                <w:szCs w:val="22"/>
                <w:lang w:val="ru-RU"/>
              </w:rPr>
              <w:t xml:space="preserve">В своем отчете 2016 года по МСЭ Объединенная инспекционная группа (ОИГ) рекомендовала (Рекомендация 5), что </w:t>
            </w:r>
            <w:r w:rsidR="009C4BD2">
              <w:rPr>
                <w:sz w:val="22"/>
                <w:szCs w:val="22"/>
                <w:lang w:val="ru-RU"/>
              </w:rPr>
              <w:t>"</w:t>
            </w:r>
            <w:r w:rsidRPr="00DE71E1">
              <w:rPr>
                <w:sz w:val="22"/>
                <w:szCs w:val="22"/>
                <w:lang w:val="ru-RU"/>
              </w:rPr>
              <w:t>Генеральному секретарю следует разработать комплексный план укрепления стабильности и прогнозируемости финансовой базы Союза, включая в него варианты повышения доходов и</w:t>
            </w:r>
            <w:r w:rsidR="009C4BD2">
              <w:rPr>
                <w:sz w:val="22"/>
                <w:szCs w:val="22"/>
                <w:lang w:val="ru-RU"/>
              </w:rPr>
              <w:t> </w:t>
            </w:r>
            <w:r w:rsidRPr="00DE71E1">
              <w:rPr>
                <w:sz w:val="22"/>
                <w:szCs w:val="22"/>
                <w:lang w:val="ru-RU"/>
              </w:rPr>
              <w:t>предложения по сокращению затрат, и представить его на одобрение Совету на</w:t>
            </w:r>
            <w:r w:rsidR="009C4BD2">
              <w:rPr>
                <w:sz w:val="22"/>
                <w:szCs w:val="22"/>
                <w:lang w:val="ru-RU"/>
              </w:rPr>
              <w:t> </w:t>
            </w:r>
            <w:r w:rsidRPr="00DE71E1">
              <w:rPr>
                <w:sz w:val="22"/>
                <w:szCs w:val="22"/>
                <w:lang w:val="ru-RU"/>
              </w:rPr>
              <w:t>его сессии 2017</w:t>
            </w:r>
            <w:r w:rsidRPr="00DE71E1">
              <w:rPr>
                <w:sz w:val="22"/>
                <w:szCs w:val="22"/>
              </w:rPr>
              <w:t> </w:t>
            </w:r>
            <w:r w:rsidRPr="00DE71E1">
              <w:rPr>
                <w:sz w:val="22"/>
                <w:szCs w:val="22"/>
                <w:lang w:val="ru-RU"/>
              </w:rPr>
              <w:t>года</w:t>
            </w:r>
            <w:r w:rsidR="009C4BD2">
              <w:rPr>
                <w:sz w:val="22"/>
                <w:szCs w:val="22"/>
                <w:lang w:val="ru-RU"/>
              </w:rPr>
              <w:t>"</w:t>
            </w:r>
            <w:r w:rsidRPr="00DE71E1">
              <w:rPr>
                <w:sz w:val="22"/>
                <w:szCs w:val="22"/>
                <w:lang w:val="ru-RU"/>
              </w:rPr>
              <w:t>.</w:t>
            </w:r>
          </w:p>
          <w:p w14:paraId="01D856A7" w14:textId="77777777" w:rsidR="00426058" w:rsidRPr="00DE71E1" w:rsidRDefault="00426058" w:rsidP="00426058">
            <w:pPr>
              <w:pStyle w:val="Headingb"/>
              <w:jc w:val="both"/>
              <w:rPr>
                <w:sz w:val="22"/>
                <w:szCs w:val="22"/>
                <w:lang w:val="ru-RU"/>
              </w:rPr>
            </w:pPr>
            <w:r w:rsidRPr="00DE71E1">
              <w:rPr>
                <w:sz w:val="22"/>
                <w:szCs w:val="22"/>
                <w:lang w:val="ru-RU"/>
              </w:rPr>
              <w:t>Необходимые действия</w:t>
            </w:r>
          </w:p>
          <w:p w14:paraId="4BC59ACF" w14:textId="29824FB9" w:rsidR="002E2B4B" w:rsidRPr="00DE71E1" w:rsidRDefault="00426058" w:rsidP="00426058">
            <w:pPr>
              <w:jc w:val="both"/>
              <w:rPr>
                <w:sz w:val="22"/>
                <w:szCs w:val="22"/>
                <w:lang w:val="ru-RU"/>
              </w:rPr>
            </w:pPr>
            <w:r w:rsidRPr="00DE71E1">
              <w:rPr>
                <w:sz w:val="22"/>
                <w:szCs w:val="22"/>
                <w:lang w:val="ru-RU"/>
              </w:rPr>
              <w:t xml:space="preserve">Совету предлагается </w:t>
            </w:r>
            <w:r w:rsidRPr="00DE71E1">
              <w:rPr>
                <w:b/>
                <w:sz w:val="22"/>
                <w:szCs w:val="22"/>
                <w:lang w:val="ru-RU"/>
              </w:rPr>
              <w:t>рассмотреть</w:t>
            </w:r>
            <w:r w:rsidRPr="00DE71E1">
              <w:rPr>
                <w:sz w:val="22"/>
                <w:szCs w:val="22"/>
                <w:lang w:val="ru-RU"/>
              </w:rPr>
              <w:t xml:space="preserve"> и </w:t>
            </w:r>
            <w:r w:rsidRPr="00DE71E1">
              <w:rPr>
                <w:b/>
                <w:sz w:val="22"/>
                <w:szCs w:val="22"/>
                <w:lang w:val="ru-RU"/>
              </w:rPr>
              <w:t>одобрить</w:t>
            </w:r>
            <w:r w:rsidRPr="00DE71E1">
              <w:rPr>
                <w:sz w:val="22"/>
                <w:szCs w:val="22"/>
                <w:lang w:val="ru-RU"/>
              </w:rPr>
              <w:t xml:space="preserve"> план в качестве основы укрепления стабильности и прогнозируемости финансовой базы Союза, включая в него варианты повышения доходов и предложения по сокращению затрат; и</w:t>
            </w:r>
            <w:r w:rsidR="009C4BD2">
              <w:rPr>
                <w:sz w:val="22"/>
                <w:szCs w:val="22"/>
                <w:lang w:val="ru-RU"/>
              </w:rPr>
              <w:t> </w:t>
            </w:r>
            <w:r w:rsidRPr="00DE71E1">
              <w:rPr>
                <w:sz w:val="22"/>
                <w:szCs w:val="22"/>
                <w:lang w:val="ru-RU"/>
              </w:rPr>
              <w:t>рассмотреть принципы, изложенные в Приложении </w:t>
            </w:r>
            <w:r w:rsidR="002E2B4B" w:rsidRPr="00DE71E1">
              <w:rPr>
                <w:sz w:val="22"/>
                <w:szCs w:val="22"/>
                <w:lang w:val="ru-RU"/>
              </w:rPr>
              <w:t>1.</w:t>
            </w:r>
          </w:p>
          <w:p w14:paraId="76D0D90D" w14:textId="77777777" w:rsidR="002E2B4B" w:rsidRPr="00DE71E1" w:rsidRDefault="002E2B4B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  <w:lang w:val="ru-RU"/>
              </w:rPr>
            </w:pPr>
            <w:r w:rsidRPr="00DE71E1">
              <w:rPr>
                <w:rFonts w:ascii="Calibri" w:hAnsi="Calibri"/>
                <w:caps w:val="0"/>
                <w:sz w:val="22"/>
                <w:szCs w:val="22"/>
                <w:lang w:val="ru-RU"/>
              </w:rPr>
              <w:t>____________</w:t>
            </w:r>
          </w:p>
          <w:p w14:paraId="4523D078" w14:textId="638A6EA8" w:rsidR="002E2B4B" w:rsidRPr="00DE71E1" w:rsidRDefault="00426058">
            <w:pPr>
              <w:pStyle w:val="Headingb"/>
              <w:rPr>
                <w:sz w:val="22"/>
                <w:szCs w:val="22"/>
                <w:lang w:val="ru-RU"/>
              </w:rPr>
            </w:pPr>
            <w:r w:rsidRPr="00DE71E1">
              <w:rPr>
                <w:sz w:val="22"/>
                <w:szCs w:val="22"/>
                <w:lang w:val="ru-RU"/>
              </w:rPr>
              <w:t>Справочные материалы</w:t>
            </w:r>
          </w:p>
          <w:p w14:paraId="0A01521B" w14:textId="1BC473EE" w:rsidR="002E2B4B" w:rsidRPr="00DE71E1" w:rsidRDefault="00426058" w:rsidP="00426058">
            <w:pPr>
              <w:spacing w:after="120"/>
              <w:rPr>
                <w:i/>
                <w:iCs/>
                <w:sz w:val="22"/>
                <w:szCs w:val="22"/>
                <w:lang w:val="ru-RU"/>
              </w:rPr>
            </w:pPr>
            <w:r w:rsidRPr="00DE71E1">
              <w:rPr>
                <w:sz w:val="22"/>
                <w:szCs w:val="22"/>
                <w:lang w:val="ru-RU"/>
              </w:rPr>
              <w:t xml:space="preserve">Документы </w:t>
            </w:r>
            <w:hyperlink r:id="rId12" w:history="1">
              <w:r w:rsidR="002E2B4B" w:rsidRPr="00DE71E1">
                <w:rPr>
                  <w:rStyle w:val="Hyperlink"/>
                  <w:i/>
                  <w:iCs/>
                  <w:sz w:val="22"/>
                  <w:szCs w:val="22"/>
                </w:rPr>
                <w:t>C</w:t>
              </w:r>
              <w:r w:rsidR="002E2B4B" w:rsidRPr="00DE71E1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16/49</w:t>
              </w:r>
            </w:hyperlink>
            <w:r w:rsidR="002E2B4B" w:rsidRPr="00DE71E1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E71E1">
              <w:rPr>
                <w:iCs/>
                <w:sz w:val="22"/>
                <w:szCs w:val="22"/>
                <w:lang w:val="ru-RU"/>
              </w:rPr>
              <w:t>и</w:t>
            </w:r>
            <w:r w:rsidR="002E2B4B" w:rsidRPr="00DE71E1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hyperlink r:id="rId13" w:history="1">
              <w:r w:rsidR="002E2B4B" w:rsidRPr="00DE71E1">
                <w:rPr>
                  <w:rStyle w:val="Hyperlink"/>
                  <w:i/>
                  <w:iCs/>
                  <w:sz w:val="22"/>
                  <w:szCs w:val="22"/>
                </w:rPr>
                <w:t>C</w:t>
              </w:r>
              <w:r w:rsidR="002E2B4B" w:rsidRPr="00DE71E1">
                <w:rPr>
                  <w:rStyle w:val="Hyperlink"/>
                  <w:i/>
                  <w:iCs/>
                  <w:sz w:val="22"/>
                  <w:szCs w:val="22"/>
                  <w:lang w:val="ru-RU"/>
                </w:rPr>
                <w:t>17/50</w:t>
              </w:r>
            </w:hyperlink>
          </w:p>
        </w:tc>
        <w:bookmarkStart w:id="8" w:name="_GoBack"/>
        <w:bookmarkEnd w:id="8"/>
      </w:tr>
    </w:tbl>
    <w:p w14:paraId="7A919A0F" w14:textId="40926C17" w:rsidR="002E2B4B" w:rsidRPr="0001281C" w:rsidRDefault="002E2B4B" w:rsidP="00DD095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bookmarkStart w:id="9" w:name="dstart"/>
      <w:bookmarkStart w:id="10" w:name="dbreak"/>
      <w:bookmarkEnd w:id="9"/>
      <w:bookmarkEnd w:id="10"/>
      <w:r w:rsidRPr="00FE695D">
        <w:rPr>
          <w:rStyle w:val="hps"/>
          <w:rFonts w:asciiTheme="minorHAnsi" w:hAnsiTheme="minorHAnsi"/>
          <w:b/>
          <w:bCs/>
          <w:sz w:val="22"/>
          <w:szCs w:val="22"/>
          <w:lang w:val="ru-RU"/>
        </w:rPr>
        <w:t>1</w:t>
      </w:r>
      <w:r w:rsidRPr="00FE695D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426058"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Введение</w:t>
      </w:r>
    </w:p>
    <w:p w14:paraId="3ABC738F" w14:textId="07E6C114" w:rsidR="009513C0" w:rsidRPr="0001281C" w:rsidRDefault="009513C0" w:rsidP="009513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1281C">
        <w:rPr>
          <w:sz w:val="22"/>
          <w:szCs w:val="22"/>
          <w:lang w:val="ru-RU"/>
        </w:rPr>
        <w:t xml:space="preserve">В своем отчете 2016 года по МСЭ Объединенная инспекционная группа (ОИГ) рекомендовала (Рекомендация 5), что </w:t>
      </w:r>
      <w:r w:rsidR="009C4BD2" w:rsidRPr="0001281C">
        <w:rPr>
          <w:sz w:val="22"/>
          <w:szCs w:val="22"/>
          <w:lang w:val="ru-RU"/>
        </w:rPr>
        <w:t>"</w:t>
      </w:r>
      <w:r w:rsidRPr="0001281C">
        <w:rPr>
          <w:sz w:val="22"/>
          <w:szCs w:val="22"/>
          <w:lang w:val="ru-RU"/>
        </w:rPr>
        <w:t>Генеральному секретарю следует разработать комплексный план укрепления стабильности и прогнозируемости финансовой базы Союза, включая в него варианты повышения доходов и предложения по сокращению затрат, и</w:t>
      </w:r>
      <w:r w:rsidR="00DE71E1" w:rsidRPr="0001281C">
        <w:rPr>
          <w:sz w:val="22"/>
          <w:szCs w:val="22"/>
          <w:lang w:val="ru-RU"/>
        </w:rPr>
        <w:t> </w:t>
      </w:r>
      <w:r w:rsidRPr="0001281C">
        <w:rPr>
          <w:sz w:val="22"/>
          <w:szCs w:val="22"/>
          <w:lang w:val="ru-RU"/>
        </w:rPr>
        <w:t>представить его на одобрение Совету на его сессии 2017</w:t>
      </w:r>
      <w:r w:rsidRPr="0001281C">
        <w:rPr>
          <w:sz w:val="22"/>
          <w:szCs w:val="22"/>
        </w:rPr>
        <w:t> </w:t>
      </w:r>
      <w:r w:rsidRPr="0001281C">
        <w:rPr>
          <w:sz w:val="22"/>
          <w:szCs w:val="22"/>
          <w:lang w:val="ru-RU"/>
        </w:rPr>
        <w:t>года</w:t>
      </w:r>
      <w:r w:rsidR="009C4BD2" w:rsidRPr="0001281C">
        <w:rPr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6AAA02A6" w14:textId="411538DC" w:rsidR="009513C0" w:rsidRPr="0001281C" w:rsidRDefault="009513C0" w:rsidP="009513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sz w:val="22"/>
          <w:szCs w:val="22"/>
          <w:lang w:val="ru-RU"/>
        </w:rPr>
        <w:t>ОИГ выдвинула несколько взаимосвязанных предложений, в том числе призвала секретариат укрепить отчетность, а также отметила, что для МСЭ была бы полезной общеорганизационная стратегия мобилизации ресурсов. С этой целью секретариат проводит анализ существующих в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настоящее время методологий отчетности и усовершенствует их при необходимости, чтобы обеспечить наличие у Государств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-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Членов легкодоступной, всеобъемлющей информации о статусе всех финансовых взносов.</w:t>
      </w:r>
    </w:p>
    <w:p w14:paraId="17348202" w14:textId="70BDB166" w:rsidR="009513C0" w:rsidRPr="0001281C" w:rsidRDefault="009513C0" w:rsidP="005C32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sz w:val="22"/>
          <w:szCs w:val="22"/>
          <w:lang w:val="ru-RU"/>
        </w:rPr>
        <w:lastRenderedPageBreak/>
        <w:t xml:space="preserve">В отчете ОИГ отмечалось, что 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расходы МСЭ возросли на 7,2% с 608,2 млн. шв. фр. (2004–2007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годы) до 637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млн. шв. фр. (2012–2015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годы, оценочные данные), однако неизменно остаются на более низком уровне по сравнению с предусмотренными в бюджете суммами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. Это происходит несмотря на растущую потребность в осуществлении МСЭ дополнительных мероприятий по оказанию поддержки Государствам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-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Членам. В отчете ОИГ далее отмечалось, что 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в течение многих лет Полномочная конференция подчеркивает необходимость увеличения поступлений Союза… поскольку планы получения доходов еще не принесли достаточных результатов, Государства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-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Члены выступают за активное осуществление мер обеспечения эффективности и сокращения затрат в целях улучшения финансовой перспективы МСЭ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. Сравнение совокупного размера бюджетов на период 2000–2003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годов (674,6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млн. шв. фр.) с прогнозируемой величиной на 2016–2019</w:t>
      </w:r>
      <w:r w:rsidR="00B44C10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годы (635,7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млн.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шв.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фр.) свидетельствует о снижении на 38,9 млн. шв. фр., то есть на 5,77</w:t>
      </w:r>
      <w:r w:rsidR="00B44C10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процента. 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Прогнозы с использованием показателей инфляции ОЭСР говорят об уменьшении бюджета </w:t>
      </w:r>
      <w:r w:rsidRPr="005C3287">
        <w:rPr>
          <w:rFonts w:asciiTheme="minorHAnsi" w:hAnsiTheme="minorHAnsi" w:cstheme="majorBidi"/>
          <w:spacing w:val="6"/>
          <w:sz w:val="22"/>
          <w:szCs w:val="22"/>
          <w:lang w:val="ru-RU"/>
        </w:rPr>
        <w:t>на</w:t>
      </w:r>
      <w:r w:rsidR="009C4BD2" w:rsidRPr="005C3287">
        <w:rPr>
          <w:rFonts w:asciiTheme="minorHAnsi" w:hAnsiTheme="minorHAnsi" w:cstheme="majorBidi"/>
          <w:spacing w:val="6"/>
          <w:sz w:val="22"/>
          <w:szCs w:val="22"/>
          <w:lang w:val="ru-RU"/>
        </w:rPr>
        <w:t> </w:t>
      </w:r>
      <w:r w:rsidRPr="005C3287">
        <w:rPr>
          <w:rFonts w:asciiTheme="minorHAnsi" w:hAnsiTheme="minorHAnsi" w:cstheme="majorBidi"/>
          <w:spacing w:val="6"/>
          <w:sz w:val="22"/>
          <w:szCs w:val="22"/>
          <w:lang w:val="ru-RU"/>
        </w:rPr>
        <w:t>двухгодичный период 2014–2015 годов на 20% по сравнению с двухгодичным периодом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 2004–2005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годов</w:t>
      </w:r>
      <w:r w:rsidR="009C4BD2" w:rsidRPr="0001281C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546C4930" w14:textId="77777777" w:rsidR="009513C0" w:rsidRPr="0001281C" w:rsidRDefault="009513C0" w:rsidP="009513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Обзор текущего положения с точки зрения доходов приводится в информационном документе РГС-ФЛР </w:t>
      </w:r>
      <w:hyperlink r:id="rId14" w:history="1">
        <w:r w:rsidRPr="0001281C">
          <w:rPr>
            <w:rStyle w:val="Hyperlink"/>
            <w:rFonts w:asciiTheme="minorHAnsi" w:hAnsiTheme="minorHAnsi" w:cstheme="majorBidi"/>
            <w:sz w:val="22"/>
            <w:szCs w:val="22"/>
          </w:rPr>
          <w:t>CWG</w:t>
        </w:r>
        <w:r w:rsidRPr="0001281C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</w:t>
        </w:r>
        <w:r w:rsidRPr="0001281C">
          <w:rPr>
            <w:rStyle w:val="Hyperlink"/>
            <w:rFonts w:asciiTheme="minorHAnsi" w:hAnsiTheme="minorHAnsi" w:cstheme="majorBidi"/>
            <w:sz w:val="22"/>
            <w:szCs w:val="22"/>
          </w:rPr>
          <w:t>FHR</w:t>
        </w:r>
        <w:r w:rsidRPr="0001281C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</w:t>
        </w:r>
        <w:r w:rsidRPr="0001281C">
          <w:rPr>
            <w:rStyle w:val="Hyperlink"/>
            <w:rFonts w:asciiTheme="minorHAnsi" w:hAnsiTheme="minorHAnsi" w:cstheme="majorBidi"/>
            <w:sz w:val="22"/>
            <w:szCs w:val="22"/>
          </w:rPr>
          <w:t>INF</w:t>
        </w:r>
        <w:r w:rsidRPr="0001281C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 xml:space="preserve"> 7/1</w:t>
        </w:r>
      </w:hyperlink>
      <w:r w:rsidRPr="0001281C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319B54C3" w14:textId="7C7DC284" w:rsidR="002E2B4B" w:rsidRPr="0001281C" w:rsidRDefault="009513C0" w:rsidP="009513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sz w:val="22"/>
          <w:szCs w:val="22"/>
          <w:lang w:val="ru-RU"/>
        </w:rPr>
        <w:t>Настоящий документ представляет собой первоначальный отклик на Рекомендацию 5 ОИГ. В</w:t>
      </w:r>
      <w:r w:rsidR="00F85B58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излагаемом ниже плане учитываются замечания, высказанные делегатами на заседании РГС-ФЛР в</w:t>
      </w:r>
      <w:r w:rsidR="00B44C10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2017</w:t>
      </w:r>
      <w:r w:rsidR="00B44C10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году</w:t>
      </w:r>
      <w:r w:rsidRPr="0001281C">
        <w:rPr>
          <w:sz w:val="22"/>
          <w:szCs w:val="22"/>
          <w:lang w:val="ru-RU"/>
        </w:rPr>
        <w:t>.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 Он будет далее развиваться, обновляться и совершенствоваться с учетом опыта и</w:t>
      </w:r>
      <w:r w:rsidR="00B44C10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отзывов Государств</w:t>
      </w:r>
      <w:r w:rsidR="00F85B58" w:rsidRPr="0001281C">
        <w:rPr>
          <w:rFonts w:asciiTheme="minorHAnsi" w:hAnsiTheme="minorHAnsi" w:cstheme="majorBidi"/>
          <w:sz w:val="22"/>
          <w:szCs w:val="22"/>
          <w:lang w:val="ru-RU"/>
        </w:rPr>
        <w:t>-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Членов. В настоящее время в нем рассматриваются следующие аспекты: стратегия мобилизации ресурсов; руководящие </w:t>
      </w:r>
      <w:r w:rsidR="00F85B58"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указания по мобилизации 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спонсор</w:t>
      </w:r>
      <w:r w:rsidR="00F85B58" w:rsidRPr="0001281C">
        <w:rPr>
          <w:rFonts w:asciiTheme="minorHAnsi" w:hAnsiTheme="minorHAnsi" w:cstheme="majorBidi"/>
          <w:sz w:val="22"/>
          <w:szCs w:val="22"/>
          <w:lang w:val="ru-RU"/>
        </w:rPr>
        <w:t>ов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; получение доходов и</w:t>
      </w:r>
      <w:r w:rsidR="00F85B58" w:rsidRPr="0001281C"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01281C">
        <w:rPr>
          <w:rFonts w:asciiTheme="minorHAnsi" w:hAnsiTheme="minorHAnsi" w:cstheme="majorBidi"/>
          <w:sz w:val="22"/>
          <w:szCs w:val="22"/>
          <w:lang w:val="ru-RU"/>
        </w:rPr>
        <w:t>сокращение затрат; и диверсификация финансовой поддержки</w:t>
      </w:r>
      <w:r w:rsidR="002E2B4B" w:rsidRPr="0001281C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2F0F8A78" w14:textId="11B2F167" w:rsidR="002E2B4B" w:rsidRPr="0001281C" w:rsidRDefault="001012AB" w:rsidP="005918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2</w:t>
      </w: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01281C"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Стратегия мобилизации ресурсов</w:t>
      </w:r>
    </w:p>
    <w:p w14:paraId="023FD7F8" w14:textId="5542B846" w:rsidR="002E2B4B" w:rsidRPr="0001281C" w:rsidRDefault="0001281C" w:rsidP="005918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В качестве первого шага по разработке общеорганизационной стратегии мобилизации ресурсов Совету предлагается рассмотреть принципы, изложенные в </w:t>
      </w:r>
      <w:hyperlink w:anchor="Annex1" w:history="1">
        <w:r w:rsidRPr="0001281C">
          <w:rPr>
            <w:rStyle w:val="Hyperlink"/>
            <w:rFonts w:asciiTheme="minorHAnsi" w:hAnsiTheme="minorHAnsi" w:cstheme="majorBidi"/>
            <w:b/>
            <w:bCs/>
            <w:sz w:val="22"/>
            <w:szCs w:val="22"/>
            <w:lang w:val="ru-RU"/>
          </w:rPr>
          <w:t>Приложении 1</w:t>
        </w:r>
      </w:hyperlink>
      <w:r w:rsidR="002E2B4B"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. </w:t>
      </w:r>
    </w:p>
    <w:p w14:paraId="664CE550" w14:textId="2EA53403" w:rsidR="002E2B4B" w:rsidRPr="0001281C" w:rsidRDefault="002E2B4B" w:rsidP="005918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3</w:t>
      </w: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01281C"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Руководящие указания по мобилизации спонсоров</w:t>
      </w:r>
    </w:p>
    <w:p w14:paraId="2F060BF4" w14:textId="2D1FD68E" w:rsidR="002E2B4B" w:rsidRPr="0001281C" w:rsidRDefault="0001281C" w:rsidP="005918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bCs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sz w:val="22"/>
          <w:szCs w:val="22"/>
          <w:lang w:val="ru-RU"/>
        </w:rPr>
        <w:t xml:space="preserve">В связи с уменьшением ресурсов регулярного бюджета МСЭ уделяет повышенное внимание привлечению средств для деятельности, связанной с конкретными мероприятиями, на основе спонсорской поддержки. В то время как спонсорская поддержка обеспечивает МСЭ ресурсами, она связана с некоторыми рисками. Руководящие принципы спонсорской поддержки, призванные устранить потенциальные риски при максимальном увеличении пользы от новых возможностей оказания спонсорской поддержки, приводятся </w:t>
      </w:r>
      <w:hyperlink r:id="rId15" w:history="1">
        <w:r w:rsidRPr="0001281C">
          <w:rPr>
            <w:rStyle w:val="Hyperlink"/>
            <w:rFonts w:asciiTheme="minorHAnsi" w:hAnsiTheme="minorHAnsi" w:cstheme="majorBidi"/>
            <w:bCs/>
            <w:sz w:val="22"/>
            <w:szCs w:val="22"/>
            <w:lang w:val="ru-RU"/>
          </w:rPr>
          <w:t>здесь</w:t>
        </w:r>
      </w:hyperlink>
      <w:r w:rsidRPr="0001281C">
        <w:rPr>
          <w:rFonts w:asciiTheme="minorHAnsi" w:hAnsiTheme="minorHAnsi" w:cstheme="majorBidi"/>
          <w:bCs/>
          <w:sz w:val="22"/>
          <w:szCs w:val="22"/>
          <w:lang w:val="ru-RU"/>
        </w:rPr>
        <w:t>. Совету предлагается принять к сведению эти руководящие указания и высказать свое мнение</w:t>
      </w:r>
      <w:r w:rsidR="002E2B4B" w:rsidRPr="0001281C">
        <w:rPr>
          <w:rFonts w:asciiTheme="minorHAnsi" w:hAnsiTheme="minorHAnsi" w:cstheme="majorBidi"/>
          <w:bCs/>
          <w:sz w:val="22"/>
          <w:szCs w:val="22"/>
          <w:lang w:val="ru-RU"/>
        </w:rPr>
        <w:t>.</w:t>
      </w:r>
    </w:p>
    <w:p w14:paraId="16054A9D" w14:textId="095AE9B2" w:rsidR="002E2B4B" w:rsidRPr="0001281C" w:rsidRDefault="002E2B4B" w:rsidP="00DD095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4</w:t>
      </w: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01281C"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Получение доходов и сокращение затрат в целях укрепления регулярного бюджета МСЭ</w:t>
      </w:r>
    </w:p>
    <w:p w14:paraId="640C1AA3" w14:textId="3AC8C5AA" w:rsidR="002E2B4B" w:rsidRPr="0001281C" w:rsidRDefault="0001281C" w:rsidP="00DD095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sz w:val="22"/>
          <w:szCs w:val="22"/>
          <w:lang w:val="ru-RU"/>
        </w:rPr>
        <w:t>ПК-14 (Резолюция 158 (Пересм. Пусан, 2014 г.)) поручила Генеральному секретарю изучить и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 xml:space="preserve">рекомендовать Совету через РГС-ФЛР меры по получению доходов. Руководство МСЭ создало внутреннюю группу под председательством заместителя Генерального секретаря и поручила ей изучить эту тему и подготовить предложения. Они представлены в </w:t>
      </w:r>
      <w:hyperlink w:anchor="Annex2" w:history="1">
        <w:r w:rsidRPr="00D234AF">
          <w:rPr>
            <w:rStyle w:val="Hyperlink"/>
            <w:rFonts w:asciiTheme="minorHAnsi" w:hAnsiTheme="minorHAnsi" w:cstheme="majorBidi"/>
            <w:b/>
            <w:bCs/>
            <w:sz w:val="22"/>
            <w:szCs w:val="22"/>
            <w:lang w:val="ru-RU"/>
          </w:rPr>
          <w:t>Приложении 2</w:t>
        </w:r>
      </w:hyperlink>
      <w:r w:rsidRPr="00D234AF">
        <w:rPr>
          <w:rFonts w:asciiTheme="minorHAnsi" w:hAnsiTheme="minorHAnsi" w:cstheme="majorBidi"/>
          <w:sz w:val="22"/>
          <w:szCs w:val="22"/>
          <w:lang w:val="ru-RU"/>
        </w:rPr>
        <w:t>. Эта группа также определила необходимое сокращение расходов по каждому пункт</w:t>
      </w:r>
      <w:r>
        <w:rPr>
          <w:rFonts w:asciiTheme="minorHAnsi" w:hAnsiTheme="minorHAnsi" w:cstheme="majorBidi"/>
          <w:sz w:val="22"/>
          <w:szCs w:val="22"/>
          <w:lang w:val="ru-RU"/>
        </w:rPr>
        <w:t>у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 xml:space="preserve"> в Приложении 2 к Решению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5 ПК-14. Благодаря этим усилиям подготовлен сбалансированный бюджет на 2016–2017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годы. В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отдельном документе [</w:t>
      </w:r>
      <w:hyperlink r:id="rId16" w:history="1">
        <w:r w:rsidRPr="00D234AF">
          <w:rPr>
            <w:rStyle w:val="Hyperlink"/>
            <w:rFonts w:asciiTheme="minorHAnsi" w:hAnsiTheme="minorHAnsi" w:cstheme="majorBidi"/>
            <w:sz w:val="22"/>
            <w:szCs w:val="22"/>
          </w:rPr>
          <w:t>CWG</w:t>
        </w:r>
        <w:r w:rsidRPr="00D234AF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-</w:t>
        </w:r>
        <w:r w:rsidRPr="00D234AF">
          <w:rPr>
            <w:rStyle w:val="Hyperlink"/>
            <w:rFonts w:asciiTheme="minorHAnsi" w:hAnsiTheme="minorHAnsi" w:cstheme="majorBidi"/>
            <w:sz w:val="22"/>
            <w:szCs w:val="22"/>
          </w:rPr>
          <w:t>FHR</w:t>
        </w:r>
        <w:r w:rsidRPr="00D234AF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 xml:space="preserve"> 7/5</w:t>
        </w:r>
      </w:hyperlink>
      <w:r w:rsidRPr="00D234AF">
        <w:rPr>
          <w:rFonts w:asciiTheme="minorHAnsi" w:hAnsiTheme="minorHAnsi" w:cstheme="majorBidi"/>
          <w:sz w:val="22"/>
          <w:szCs w:val="22"/>
          <w:lang w:val="ru-RU"/>
        </w:rPr>
        <w:t>] рассматриваются осуществленные меры по обеспечению эффективности. В число изучаемых основных возможностей сокращения расходов входят централизация административных задач, таких как финансы, ЛР, регистрация; организация приближенных друг к другу по времени и месту проведения мероприятий; превращение МСЭ в полностью безбумажную организацию; и дальнейшее уменьшение числа штатных должностей</w:t>
      </w:r>
      <w:r w:rsidR="002E2B4B" w:rsidRPr="0001281C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3F66C27F" w14:textId="6B742F2B" w:rsidR="002E2B4B" w:rsidRPr="0001281C" w:rsidRDefault="002E2B4B" w:rsidP="00DD095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lastRenderedPageBreak/>
        <w:t>5</w:t>
      </w: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01281C" w:rsidRPr="00D234AF">
        <w:rPr>
          <w:rFonts w:asciiTheme="minorHAnsi" w:hAnsiTheme="minorHAnsi" w:cstheme="majorBidi"/>
          <w:b/>
          <w:bCs/>
          <w:sz w:val="22"/>
          <w:szCs w:val="22"/>
          <w:lang w:val="ru-RU"/>
        </w:rPr>
        <w:t>Диверсификация финансовой поддержки</w:t>
      </w:r>
    </w:p>
    <w:p w14:paraId="64404F76" w14:textId="5494656D" w:rsidR="002E2B4B" w:rsidRPr="0001281C" w:rsidRDefault="0001281C" w:rsidP="00DD0958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В число важных изменений в международной картине привлечения средств в последние годы входит </w:t>
      </w:r>
      <w:r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воз</w:t>
      </w: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раст</w:t>
      </w:r>
      <w:r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аю</w:t>
      </w: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щая роль крупных фондов. Взнос в размере 2 млн. шв. фр. от Фонда Гейтсов для поддержки работы МСЭ в области цифровых финансовых услуг является успехом, который необходимо развивать. Фонды (и компании) зачастую предпочитают вносить свой вклад в</w:t>
      </w:r>
      <w:r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организации с признанным благотворительным статусом. Так обстоит дело в</w:t>
      </w:r>
      <w:r w:rsidRPr="0001281C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 </w:t>
      </w: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Соединенных Штатах, </w:t>
      </w:r>
      <w:r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где</w:t>
      </w: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 xml:space="preserve"> находится много крупных фондов. В целях содействия диверсификации источников финансирования секретариат изучает возможность установления партнерских отношений с</w:t>
      </w:r>
      <w:r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организацией, уже обладающей благотворительным статусом в Соединенных Штатах, чтобы повысить привлекательность поддержки проектов и инициатив МСЭ для фондов (и компаний), базирующихся в США. В случае успеха МСЭ мог бы потенциально создать в США свою собственную организацию/специальный фонд с благотворительным статусом, как сделали ЮНИСЕФ и другие учреждения ООН. Этот подход мог бы также быть изучен в других странах</w:t>
      </w:r>
      <w:r w:rsidR="002E2B4B" w:rsidRPr="0001281C">
        <w:rPr>
          <w:rFonts w:asciiTheme="minorHAnsi" w:hAnsiTheme="minorHAnsi" w:cstheme="majorBidi"/>
          <w:color w:val="000000" w:themeColor="text1"/>
          <w:sz w:val="22"/>
          <w:szCs w:val="22"/>
          <w:lang w:val="ru-RU"/>
        </w:rPr>
        <w:t>.</w:t>
      </w:r>
    </w:p>
    <w:p w14:paraId="12354D18" w14:textId="1A954812" w:rsidR="002E2B4B" w:rsidRPr="0001281C" w:rsidRDefault="002E2B4B" w:rsidP="005918D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6</w:t>
      </w:r>
      <w:r w:rsidRP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ab/>
      </w:r>
      <w:r w:rsidR="0001281C">
        <w:rPr>
          <w:rFonts w:asciiTheme="minorHAnsi" w:hAnsiTheme="minorHAnsi" w:cstheme="majorBidi"/>
          <w:b/>
          <w:bCs/>
          <w:sz w:val="22"/>
          <w:szCs w:val="22"/>
          <w:lang w:val="ru-RU"/>
        </w:rPr>
        <w:t>Выводы</w:t>
      </w:r>
    </w:p>
    <w:p w14:paraId="21DB426D" w14:textId="0EB43698" w:rsidR="002E2B4B" w:rsidRPr="0001281C" w:rsidRDefault="0001281C" w:rsidP="001012A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asciiTheme="minorHAnsi" w:eastAsia="SimSun" w:hAnsiTheme="minorHAnsi" w:cstheme="majorBidi"/>
          <w:color w:val="000000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sz w:val="22"/>
          <w:szCs w:val="22"/>
          <w:lang w:val="ru-RU"/>
        </w:rPr>
        <w:t xml:space="preserve">С учетом обсуждений на сессии Совета 2017 года изложенный выше план будет совершенствоваться и развиваться на основе укрепления стабильности и прогнозируемости финансовой базы Союза, </w:t>
      </w:r>
      <w:r w:rsidRPr="00D234AF">
        <w:rPr>
          <w:sz w:val="22"/>
          <w:szCs w:val="22"/>
          <w:lang w:val="ru-RU"/>
        </w:rPr>
        <w:t>включая варианты повышения доходов, а также сокращения затрат</w:t>
      </w:r>
      <w:r w:rsidR="002E2B4B" w:rsidRPr="0001281C">
        <w:rPr>
          <w:rFonts w:asciiTheme="minorHAnsi" w:hAnsiTheme="minorHAnsi" w:cstheme="majorBidi"/>
          <w:sz w:val="22"/>
          <w:szCs w:val="22"/>
          <w:lang w:val="ru-RU"/>
        </w:rPr>
        <w:t>.</w:t>
      </w:r>
      <w:r w:rsidR="002E2B4B" w:rsidRPr="0001281C" w:rsidDel="00B85DC4">
        <w:rPr>
          <w:rFonts w:asciiTheme="minorHAnsi" w:eastAsia="SimSun" w:hAnsiTheme="minorHAnsi" w:cstheme="majorBidi"/>
          <w:color w:val="000000"/>
          <w:sz w:val="22"/>
          <w:szCs w:val="22"/>
          <w:lang w:val="ru-RU"/>
        </w:rPr>
        <w:t xml:space="preserve"> </w:t>
      </w:r>
    </w:p>
    <w:p w14:paraId="7390059E" w14:textId="11BB3115" w:rsidR="002E2B4B" w:rsidRPr="00FF003D" w:rsidRDefault="002E2B4B" w:rsidP="002E2B4B">
      <w:pPr>
        <w:pStyle w:val="AnnexNo"/>
        <w:rPr>
          <w:rFonts w:eastAsia="SimSun"/>
          <w:szCs w:val="28"/>
        </w:rPr>
      </w:pPr>
      <w:r w:rsidRPr="0001281C">
        <w:rPr>
          <w:sz w:val="22"/>
          <w:szCs w:val="22"/>
          <w:lang w:val="ru-RU"/>
        </w:rPr>
        <w:br w:type="page"/>
      </w:r>
      <w:bookmarkStart w:id="11" w:name="Annex1"/>
      <w:r w:rsidR="00FF003D">
        <w:rPr>
          <w:rFonts w:eastAsia="SimSun"/>
          <w:szCs w:val="28"/>
          <w:lang w:val="ru-RU"/>
        </w:rPr>
        <w:lastRenderedPageBreak/>
        <w:t>ПРИЛОЖЕНИЕ</w:t>
      </w:r>
      <w:r w:rsidRPr="00FF003D">
        <w:rPr>
          <w:rFonts w:eastAsia="SimSun"/>
          <w:szCs w:val="28"/>
        </w:rPr>
        <w:t xml:space="preserve"> 1</w:t>
      </w:r>
      <w:bookmarkEnd w:id="11"/>
    </w:p>
    <w:p w14:paraId="77347D2D" w14:textId="1006BF08" w:rsidR="002E2B4B" w:rsidRPr="00FF003D" w:rsidRDefault="00FF003D" w:rsidP="002E2B4B">
      <w:pPr>
        <w:pStyle w:val="Annextitle"/>
        <w:rPr>
          <w:szCs w:val="28"/>
        </w:rPr>
      </w:pPr>
      <w:r w:rsidRPr="00D234AF">
        <w:rPr>
          <w:szCs w:val="28"/>
          <w:lang w:val="ru-RU"/>
        </w:rPr>
        <w:t>ПРЕДЛОЖЕНИЕ: принципы мобилизации ресурсов</w:t>
      </w:r>
    </w:p>
    <w:p w14:paraId="33B30E13" w14:textId="4991B91E" w:rsidR="002E2B4B" w:rsidRPr="00FF003D" w:rsidRDefault="00FF003D" w:rsidP="009B10ED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sz w:val="22"/>
          <w:szCs w:val="22"/>
          <w:u w:val="single"/>
          <w:lang w:val="ru-RU"/>
        </w:rPr>
        <w:t>Определение сферы охвата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 xml:space="preserve">: Выражение </w:t>
      </w:r>
      <w:r w:rsidR="006D2B0E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мобилизация ресурсов</w:t>
      </w:r>
      <w:r w:rsidR="006D2B0E">
        <w:rPr>
          <w:rFonts w:asciiTheme="minorHAnsi" w:hAnsiTheme="minorHAnsi" w:cstheme="majorBidi"/>
          <w:sz w:val="22"/>
          <w:szCs w:val="22"/>
          <w:lang w:val="ru-RU"/>
        </w:rPr>
        <w:t>"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 xml:space="preserve"> в контексте МСЭ относится ко всем формам привлечения доходов, включая как доходы регулярного бюджета, так и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внебюджетные взносы</w:t>
      </w:r>
      <w:r w:rsidR="002E2B4B" w:rsidRPr="00FF003D">
        <w:rPr>
          <w:rFonts w:asciiTheme="minorHAnsi" w:hAnsiTheme="minorHAnsi" w:cstheme="majorBidi"/>
          <w:sz w:val="22"/>
          <w:szCs w:val="22"/>
          <w:lang w:val="ru-RU"/>
        </w:rPr>
        <w:t>.</w:t>
      </w:r>
    </w:p>
    <w:p w14:paraId="62918732" w14:textId="09BADE1E" w:rsidR="009B10ED" w:rsidRPr="00D234AF" w:rsidRDefault="009B10ED" w:rsidP="009B10ED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sz w:val="22"/>
          <w:szCs w:val="22"/>
          <w:u w:val="single"/>
          <w:lang w:val="ru-RU"/>
        </w:rPr>
        <w:t>Установление приоритетов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: Будучи основным источником доходов МСЭ, наивысшим приоритетом в плане мобилизации ресурсов обладают начисленные взносы Государств – Членов МСЭ. Эти взносы предоставляются в целях поддержки согласованного Стратегического плана и его осуществления через посредство оперативных планов с использованием регулярного бюджета МСЭ. Вследствие этого Государствам-Членам рекомендуется отдавать приоритет своим начисленным взносам в качестве основного вида их финансовой поддержки МСЭ посредством либо поддержания на прежнем уровне, либо, при возможности, увеличения этих взносов</w:t>
      </w:r>
      <w:r>
        <w:rPr>
          <w:rFonts w:asciiTheme="minorHAnsi" w:hAnsiTheme="minorHAnsi" w:cstheme="majorBidi"/>
          <w:sz w:val="22"/>
          <w:szCs w:val="22"/>
          <w:lang w:val="ru-RU"/>
        </w:rPr>
        <w:t>,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 xml:space="preserve"> перед тем как рассматривать возможность предоставления ресурсов для деятельности вне рамок регулярного бюджета МСЭ. С</w:t>
      </w:r>
      <w:r>
        <w:rPr>
          <w:rFonts w:asciiTheme="minorHAnsi" w:hAnsiTheme="minorHAnsi" w:cstheme="majorBidi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этой целью секретариат будет поощрять по мере возможности поддержку со стороны организаций за пределами круга членов МСЭ посредством внебюджетных добровольных взносов в целях дополнения ресурсов, предоставляемых членами.</w:t>
      </w:r>
    </w:p>
    <w:p w14:paraId="03FC6627" w14:textId="7BD73E8E" w:rsidR="009B10ED" w:rsidRPr="00D234AF" w:rsidRDefault="009B10ED" w:rsidP="00AF1E03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sz w:val="22"/>
          <w:szCs w:val="22"/>
          <w:u w:val="single"/>
          <w:lang w:val="ru-RU"/>
        </w:rPr>
        <w:t xml:space="preserve">Обеспечение </w:t>
      </w:r>
      <w:r w:rsidR="00AF1E03">
        <w:rPr>
          <w:rFonts w:asciiTheme="minorHAnsi" w:hAnsiTheme="minorHAnsi" w:cstheme="majorBidi"/>
          <w:sz w:val="22"/>
          <w:szCs w:val="22"/>
          <w:u w:val="single"/>
          <w:lang w:val="ru-RU"/>
        </w:rPr>
        <w:t>прозрачности</w:t>
      </w:r>
      <w:r w:rsidRPr="00D234AF">
        <w:rPr>
          <w:rFonts w:asciiTheme="minorHAnsi" w:hAnsiTheme="minorHAnsi" w:cstheme="majorBidi"/>
          <w:sz w:val="22"/>
          <w:szCs w:val="22"/>
          <w:lang w:val="ru-RU"/>
        </w:rPr>
        <w:t>: Возможности поддержки членами МСЭ и другими организациями дополнительных видов деятельности посредством кампаний по мобилизации ресурсов следует доводить до сведения всех членов, а польза, извлекаемая партнером/источником финансирования, должна быть умеренной и должна соответствовать правилам и процедурам МСЭ, включая протокол и сложившуюся практику МСЭ.</w:t>
      </w:r>
    </w:p>
    <w:p w14:paraId="04E7A99B" w14:textId="61171ABB" w:rsidR="009B10ED" w:rsidRPr="00D234AF" w:rsidRDefault="009B10ED" w:rsidP="009B10ED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sz w:val="22"/>
          <w:szCs w:val="22"/>
          <w:u w:val="single"/>
          <w:lang w:val="ru-RU"/>
        </w:rPr>
        <w:t>Соблюдение принципов ООН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: В дополнение к поддержке со стороны своих членов МСЭ будет принимать денежные средства от организаций/устанавливать партнерские отношения с</w:t>
      </w:r>
      <w:r w:rsidR="006251D7">
        <w:rPr>
          <w:rFonts w:asciiTheme="minorHAnsi" w:hAnsiTheme="minorHAnsi" w:cstheme="majorBidi"/>
          <w:bCs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 xml:space="preserve">организациями, которые действуют в соответствии с </w:t>
      </w:r>
      <w:hyperlink r:id="rId17" w:history="1">
        <w:r w:rsidRPr="00D234AF">
          <w:rPr>
            <w:rStyle w:val="Hyperlink"/>
            <w:rFonts w:asciiTheme="minorHAnsi" w:hAnsiTheme="minorHAnsi" w:cstheme="majorBidi"/>
            <w:bCs/>
            <w:sz w:val="22"/>
            <w:szCs w:val="22"/>
            <w:lang w:val="ru-RU"/>
          </w:rPr>
          <w:t>принципами ООН</w:t>
        </w:r>
      </w:hyperlink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, в том числе в области прав человека, трудовых отношений, окружающей среды и противодействия коррупции. МСЭ будет применять процесс проверки с проявлением должной осмотрительности в соответствии с</w:t>
      </w:r>
      <w:r w:rsidR="006251D7">
        <w:rPr>
          <w:rFonts w:asciiTheme="minorHAnsi" w:hAnsiTheme="minorHAnsi" w:cstheme="majorBidi"/>
          <w:bCs/>
          <w:sz w:val="22"/>
          <w:szCs w:val="22"/>
          <w:lang w:val="ru-RU"/>
        </w:rPr>
        <w:t> </w:t>
      </w:r>
      <w:hyperlink r:id="rId18" w:history="1">
        <w:r w:rsidR="007F3022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Р</w:t>
        </w:r>
        <w:r w:rsidRPr="00D234AF">
          <w:rPr>
            <w:rStyle w:val="Hyperlink"/>
            <w:rFonts w:asciiTheme="minorHAnsi" w:hAnsiTheme="minorHAnsi" w:cstheme="majorBidi"/>
            <w:sz w:val="22"/>
            <w:szCs w:val="22"/>
            <w:lang w:val="ru-RU"/>
          </w:rPr>
          <w:t>уководящими принципами ООН</w:t>
        </w:r>
      </w:hyperlink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 xml:space="preserve"> и передовой практикой при рассмотрении возможности принять денежные средства от организации, не являющейся членом МСЭ, или установить</w:t>
      </w:r>
      <w:r w:rsidR="006251D7">
        <w:rPr>
          <w:rFonts w:asciiTheme="minorHAnsi" w:hAnsiTheme="minorHAnsi" w:cstheme="majorBidi"/>
          <w:bCs/>
          <w:sz w:val="22"/>
          <w:szCs w:val="22"/>
          <w:lang w:val="ru-RU"/>
        </w:rPr>
        <w:t xml:space="preserve"> с ней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 xml:space="preserve"> партнерские отношения.</w:t>
      </w:r>
    </w:p>
    <w:p w14:paraId="46626511" w14:textId="3EE2EC29" w:rsidR="009B10ED" w:rsidRPr="00D234AF" w:rsidRDefault="009B10ED" w:rsidP="009B10ED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bCs/>
          <w:sz w:val="22"/>
          <w:szCs w:val="22"/>
          <w:u w:val="single"/>
          <w:lang w:val="ru-RU"/>
        </w:rPr>
        <w:t>Достижение целей МСЭ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: Цель договоренностей о предоставлении денежных средств (или</w:t>
      </w:r>
      <w:r w:rsidR="006251D7">
        <w:rPr>
          <w:rFonts w:asciiTheme="minorHAnsi" w:hAnsiTheme="minorHAnsi" w:cstheme="majorBidi"/>
          <w:bCs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взносе натурой/установлении партнерских отношений) должна соответствовать общим целям МСЭ, изложенным в его Уставе и Конвенции и Стратегическом плане МСЭ.</w:t>
      </w:r>
    </w:p>
    <w:p w14:paraId="47CC1B23" w14:textId="228AB0B2" w:rsidR="009B10ED" w:rsidRPr="00D234AF" w:rsidRDefault="009B10ED" w:rsidP="009B10ED">
      <w:pPr>
        <w:pStyle w:val="ListParagraph"/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0" w:firstLine="0"/>
        <w:contextualSpacing w:val="0"/>
        <w:jc w:val="both"/>
        <w:textAlignment w:val="auto"/>
        <w:rPr>
          <w:rFonts w:asciiTheme="minorHAnsi" w:hAnsiTheme="minorHAnsi" w:cstheme="majorBidi"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bCs/>
          <w:sz w:val="22"/>
          <w:szCs w:val="22"/>
          <w:u w:val="single"/>
          <w:lang w:val="ru-RU"/>
        </w:rPr>
        <w:t>Разъяснение функций и обязанностей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: Договоренности о предоставлении денежных средств/установлении партнерских отношений должны основываться на четко изложенном понимании соответствующих функций и ожиданий при обеспечении подотчетности и четкого разделения обязанностей между МСЭ и источником финансирования/партнером.</w:t>
      </w:r>
    </w:p>
    <w:p w14:paraId="766B8DB3" w14:textId="26068923" w:rsidR="002E2B4B" w:rsidRPr="009B10ED" w:rsidRDefault="009B10ED" w:rsidP="009B10ED">
      <w:pPr>
        <w:pStyle w:val="Default"/>
        <w:snapToGrid w:val="0"/>
        <w:spacing w:before="120" w:after="120"/>
        <w:rPr>
          <w:rFonts w:asciiTheme="minorHAnsi" w:hAnsiTheme="minorHAnsi" w:cstheme="majorBidi"/>
          <w:b/>
          <w:bCs/>
          <w:sz w:val="22"/>
          <w:szCs w:val="22"/>
          <w:lang w:val="ru-RU"/>
        </w:rPr>
      </w:pP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7.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ab/>
      </w:r>
      <w:r w:rsidRPr="00D234AF">
        <w:rPr>
          <w:rFonts w:asciiTheme="minorHAnsi" w:hAnsiTheme="minorHAnsi" w:cstheme="majorBidi"/>
          <w:bCs/>
          <w:sz w:val="22"/>
          <w:szCs w:val="22"/>
          <w:u w:val="single"/>
          <w:lang w:val="ru-RU"/>
        </w:rPr>
        <w:t>Защита репутации МСЭ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:</w:t>
      </w:r>
      <w:r w:rsidRPr="00D234AF">
        <w:rPr>
          <w:rFonts w:asciiTheme="minorHAnsi" w:hAnsiTheme="minorHAnsi" w:cstheme="majorBidi"/>
          <w:bCs/>
          <w:color w:val="auto"/>
          <w:sz w:val="22"/>
          <w:szCs w:val="22"/>
          <w:lang w:val="ru-RU"/>
        </w:rPr>
        <w:t xml:space="preserve"> Договоренности о предоставлении денежных средств/установлении партнерских отношений не должны подрывать авторитет, независимость и беспристрастность МСЭ и</w:t>
      </w:r>
      <w:r w:rsidR="006251D7">
        <w:rPr>
          <w:rFonts w:asciiTheme="minorHAnsi" w:hAnsiTheme="minorHAnsi" w:cstheme="majorBidi"/>
          <w:bCs/>
          <w:color w:val="auto"/>
          <w:sz w:val="22"/>
          <w:szCs w:val="22"/>
          <w:lang w:val="ru-RU"/>
        </w:rPr>
        <w:t> </w:t>
      </w:r>
      <w:r w:rsidRPr="00D234AF">
        <w:rPr>
          <w:rFonts w:asciiTheme="minorHAnsi" w:hAnsiTheme="minorHAnsi" w:cstheme="majorBidi"/>
          <w:bCs/>
          <w:color w:val="auto"/>
          <w:sz w:val="22"/>
          <w:szCs w:val="22"/>
          <w:lang w:val="ru-RU"/>
        </w:rPr>
        <w:t>не должны предоставлять никакого несправедливого преимущества</w:t>
      </w:r>
      <w:r w:rsidRPr="00D234AF">
        <w:rPr>
          <w:rFonts w:asciiTheme="minorHAnsi" w:hAnsiTheme="minorHAnsi" w:cstheme="majorBidi"/>
          <w:bCs/>
          <w:sz w:val="22"/>
          <w:szCs w:val="22"/>
          <w:lang w:val="ru-RU"/>
        </w:rPr>
        <w:t>. В частности, они не должны выражать или предполагать прямое или косвенное одобрение того или иного источника финансирования/партнера, его политики, продуктов или услуг. Должно также проводиться четкое различие между мобилизацией ресурсов/партнерскими отношениями и закупками</w:t>
      </w:r>
      <w:r w:rsidR="002E2B4B" w:rsidRPr="009B10ED">
        <w:rPr>
          <w:rFonts w:asciiTheme="minorHAnsi" w:hAnsiTheme="minorHAnsi" w:cstheme="majorBidi"/>
          <w:bCs/>
          <w:sz w:val="22"/>
          <w:szCs w:val="22"/>
          <w:lang w:val="ru-RU"/>
        </w:rPr>
        <w:t>.</w:t>
      </w:r>
      <w:r w:rsidR="002E2B4B" w:rsidRPr="009B10ED">
        <w:rPr>
          <w:rFonts w:asciiTheme="minorHAnsi" w:hAnsiTheme="minorHAnsi" w:cstheme="majorBidi"/>
          <w:b/>
          <w:bCs/>
          <w:sz w:val="22"/>
          <w:szCs w:val="22"/>
          <w:lang w:val="ru-RU"/>
        </w:rPr>
        <w:t xml:space="preserve"> </w:t>
      </w:r>
    </w:p>
    <w:p w14:paraId="17280437" w14:textId="77777777" w:rsidR="002E2B4B" w:rsidRPr="009B10ED" w:rsidRDefault="002E2B4B" w:rsidP="002E2B4B">
      <w:pPr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2"/>
          <w:szCs w:val="22"/>
          <w:lang w:val="ru-RU"/>
        </w:rPr>
      </w:pPr>
      <w:r w:rsidRPr="009B10ED">
        <w:rPr>
          <w:rFonts w:asciiTheme="minorHAnsi" w:hAnsiTheme="minorHAnsi"/>
          <w:sz w:val="22"/>
          <w:szCs w:val="22"/>
          <w:lang w:val="ru-RU"/>
        </w:rPr>
        <w:br w:type="page"/>
      </w:r>
    </w:p>
    <w:p w14:paraId="753672F1" w14:textId="2707040C" w:rsidR="002E2B4B" w:rsidRPr="006251D7" w:rsidRDefault="006251D7" w:rsidP="002E2B4B">
      <w:pPr>
        <w:pStyle w:val="AnnexNo"/>
        <w:rPr>
          <w:szCs w:val="28"/>
          <w:lang w:val="it-IT"/>
        </w:rPr>
      </w:pPr>
      <w:bookmarkStart w:id="12" w:name="Annex2"/>
      <w:r>
        <w:rPr>
          <w:szCs w:val="28"/>
          <w:lang w:val="ru-RU"/>
        </w:rPr>
        <w:lastRenderedPageBreak/>
        <w:t>ПРИЛОЖЕНИЕ</w:t>
      </w:r>
      <w:r w:rsidR="002E2B4B" w:rsidRPr="006251D7">
        <w:rPr>
          <w:szCs w:val="28"/>
          <w:lang w:val="it-IT"/>
        </w:rPr>
        <w:t xml:space="preserve"> 2</w:t>
      </w:r>
    </w:p>
    <w:bookmarkEnd w:id="12"/>
    <w:p w14:paraId="44E473E6" w14:textId="3B559093" w:rsidR="002E2B4B" w:rsidRPr="006251D7" w:rsidRDefault="006251D7" w:rsidP="002E2B4B">
      <w:pPr>
        <w:pStyle w:val="Annextitle"/>
        <w:rPr>
          <w:szCs w:val="28"/>
        </w:rPr>
      </w:pPr>
      <w:r w:rsidRPr="006251D7">
        <w:rPr>
          <w:szCs w:val="28"/>
          <w:lang w:val="ru-RU"/>
        </w:rPr>
        <w:t>Потенциальные области получения доходов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6251D7" w:rsidRPr="0001281C" w14:paraId="1B53786C" w14:textId="77777777" w:rsidTr="005F15C3">
        <w:tc>
          <w:tcPr>
            <w:tcW w:w="2830" w:type="dxa"/>
            <w:shd w:val="clear" w:color="auto" w:fill="auto"/>
          </w:tcPr>
          <w:p w14:paraId="0B3F0B36" w14:textId="2B364FA3" w:rsidR="006251D7" w:rsidRPr="0001281C" w:rsidRDefault="006251D7" w:rsidP="005F15C3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Направление деятельности</w:t>
            </w:r>
          </w:p>
        </w:tc>
        <w:tc>
          <w:tcPr>
            <w:tcW w:w="6804" w:type="dxa"/>
          </w:tcPr>
          <w:p w14:paraId="0C9DC321" w14:textId="73D36285" w:rsidR="006251D7" w:rsidRPr="0001281C" w:rsidRDefault="006251D7" w:rsidP="005F15C3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Действия</w:t>
            </w:r>
          </w:p>
        </w:tc>
      </w:tr>
      <w:tr w:rsidR="006251D7" w:rsidRPr="005C3287" w14:paraId="1007B70E" w14:textId="77777777" w:rsidTr="005F15C3">
        <w:tc>
          <w:tcPr>
            <w:tcW w:w="2830" w:type="dxa"/>
            <w:shd w:val="clear" w:color="auto" w:fill="auto"/>
          </w:tcPr>
          <w:p w14:paraId="6C3F79E2" w14:textId="5AAF2F1A" w:rsidR="006251D7" w:rsidRPr="006251D7" w:rsidRDefault="006251D7" w:rsidP="006251D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Рыночная цена на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 </w:t>
            </w:r>
            <w:r w:rsidRPr="00D234A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некоторые номера + 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ежегодные сборы </w:t>
            </w:r>
            <w:r w:rsidRPr="00D234A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за</w:t>
            </w:r>
            <w:r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 </w:t>
            </w:r>
            <w:r w:rsidRPr="00D234AF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обслуживание</w:t>
            </w:r>
          </w:p>
        </w:tc>
        <w:tc>
          <w:tcPr>
            <w:tcW w:w="6804" w:type="dxa"/>
          </w:tcPr>
          <w:p w14:paraId="5A33CB36" w14:textId="636E7EF2" w:rsidR="006251D7" w:rsidRPr="006251D7" w:rsidRDefault="006251D7" w:rsidP="006251D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Завершить рыночный анализ ресурсов нумерации: </w:t>
            </w:r>
            <w:r w:rsidR="00995AB5"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международные 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ресурсы нумерации (например, </w:t>
            </w:r>
            <w:r w:rsidR="00995AB5"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коды 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страны </w:t>
            </w:r>
            <w:r w:rsidRPr="00D234AF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.164, </w:t>
            </w:r>
            <w:r w:rsidRPr="00D234AF">
              <w:rPr>
                <w:rFonts w:asciiTheme="minorHAnsi" w:hAnsiTheme="minorHAnsi"/>
                <w:sz w:val="22"/>
                <w:szCs w:val="22"/>
              </w:rPr>
              <w:t>SANC</w:t>
            </w:r>
            <w:r w:rsidRPr="00D234AF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, примерно десять типов номера). Универсальные ресурсы нумерации (например, </w:t>
            </w:r>
            <w:r w:rsidRPr="00D234AF">
              <w:rPr>
                <w:rFonts w:asciiTheme="minorHAnsi" w:hAnsiTheme="minorHAnsi"/>
                <w:sz w:val="22"/>
                <w:szCs w:val="22"/>
              </w:rPr>
              <w:t>UIFN</w:t>
            </w:r>
            <w:r w:rsidRPr="00D234AF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,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примерно шесть типов номеров). Изучить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дополнительные услуги, которые мог бы предоставлять МСЭ.</w:t>
            </w:r>
          </w:p>
        </w:tc>
      </w:tr>
      <w:tr w:rsidR="006251D7" w:rsidRPr="005C3287" w14:paraId="36D9A7BB" w14:textId="77777777" w:rsidTr="005F15C3">
        <w:tc>
          <w:tcPr>
            <w:tcW w:w="2830" w:type="dxa"/>
            <w:shd w:val="clear" w:color="auto" w:fill="auto"/>
          </w:tcPr>
          <w:p w14:paraId="13063ECC" w14:textId="3D12D4E6" w:rsidR="006251D7" w:rsidRPr="006251D7" w:rsidRDefault="005C3287" w:rsidP="006251D7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hyperlink r:id="rId19" w:history="1">
              <w:r w:rsidR="006251D7" w:rsidRPr="00D234AF">
                <w:rPr>
                  <w:rStyle w:val="Hyperlink"/>
                  <w:rFonts w:asciiTheme="minorHAnsi" w:hAnsiTheme="minorHAnsi"/>
                  <w:b/>
                  <w:sz w:val="22"/>
                  <w:szCs w:val="22"/>
                  <w:lang w:val="ru-RU"/>
                </w:rPr>
                <w:t xml:space="preserve">Борьба с </w:t>
              </w:r>
              <w:r w:rsidR="006251D7">
                <w:rPr>
                  <w:rStyle w:val="Hyperlink"/>
                  <w:rFonts w:asciiTheme="minorHAnsi" w:hAnsiTheme="minorHAnsi"/>
                  <w:b/>
                  <w:sz w:val="22"/>
                  <w:szCs w:val="22"/>
                  <w:lang w:val="ru-RU"/>
                </w:rPr>
                <w:t xml:space="preserve">контрафактными </w:t>
              </w:r>
              <w:r w:rsidR="006251D7" w:rsidRPr="00D234AF">
                <w:rPr>
                  <w:rStyle w:val="Hyperlink"/>
                  <w:rFonts w:asciiTheme="minorHAnsi" w:hAnsiTheme="minorHAnsi"/>
                  <w:b/>
                  <w:sz w:val="22"/>
                  <w:szCs w:val="22"/>
                  <w:lang w:val="ru-RU"/>
                </w:rPr>
                <w:t>публикаци</w:t>
              </w:r>
              <w:r w:rsidR="006251D7" w:rsidRPr="00D234AF">
                <w:rPr>
                  <w:rStyle w:val="Hyperlink"/>
                  <w:rFonts w:asciiTheme="minorHAnsi" w:hAnsiTheme="minorHAnsi"/>
                  <w:b/>
                  <w:sz w:val="22"/>
                  <w:szCs w:val="22"/>
                  <w:lang w:val="ru-RU"/>
                </w:rPr>
                <w:t>я</w:t>
              </w:r>
              <w:r w:rsidR="006251D7" w:rsidRPr="00D234AF">
                <w:rPr>
                  <w:rStyle w:val="Hyperlink"/>
                  <w:rFonts w:asciiTheme="minorHAnsi" w:hAnsiTheme="minorHAnsi"/>
                  <w:b/>
                  <w:sz w:val="22"/>
                  <w:szCs w:val="22"/>
                  <w:lang w:val="ru-RU"/>
                </w:rPr>
                <w:t>ми</w:t>
              </w:r>
            </w:hyperlink>
            <w:r w:rsidR="006251D7">
              <w:rPr>
                <w:rStyle w:val="Hyperlink"/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по </w:t>
            </w:r>
            <w:r w:rsidR="006251D7" w:rsidRPr="006251D7">
              <w:rPr>
                <w:rStyle w:val="Hyperlink"/>
                <w:rFonts w:asciiTheme="minorHAnsi" w:hAnsiTheme="minorHAnsi"/>
                <w:b/>
                <w:sz w:val="22"/>
                <w:szCs w:val="22"/>
                <w:lang w:val="ru-RU"/>
              </w:rPr>
              <w:t>морским</w:t>
            </w:r>
            <w:r w:rsidR="006251D7">
              <w:rPr>
                <w:rStyle w:val="Hyperlink"/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службам</w:t>
            </w:r>
          </w:p>
        </w:tc>
        <w:tc>
          <w:tcPr>
            <w:tcW w:w="6804" w:type="dxa"/>
          </w:tcPr>
          <w:p w14:paraId="71A3E01D" w14:textId="6B16CBFC" w:rsidR="006251D7" w:rsidRPr="006251D7" w:rsidRDefault="006251D7" w:rsidP="006251D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Создать пилотный проект. Согласовать проблему, подлежащую рассмотрению, цели, охват и график осуществления пилотного проекта, например борьба с 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контрафактными 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публикациями, начиная с публикаций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 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морски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м службам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</w:tr>
      <w:tr w:rsidR="006251D7" w:rsidRPr="005C3287" w14:paraId="4D19DEA2" w14:textId="77777777" w:rsidTr="005F15C3">
        <w:tc>
          <w:tcPr>
            <w:tcW w:w="2830" w:type="dxa"/>
            <w:shd w:val="clear" w:color="auto" w:fill="auto"/>
          </w:tcPr>
          <w:p w14:paraId="0EFB8AF7" w14:textId="2FF62BBC" w:rsidR="006251D7" w:rsidRPr="0001281C" w:rsidRDefault="006251D7" w:rsidP="005F15C3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Доходы</w:t>
            </w: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для</w:t>
            </w: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проектов</w:t>
            </w:r>
          </w:p>
        </w:tc>
        <w:tc>
          <w:tcPr>
            <w:tcW w:w="6804" w:type="dxa"/>
          </w:tcPr>
          <w:p w14:paraId="630EE2A6" w14:textId="08549EE0" w:rsidR="006251D7" w:rsidRPr="006251D7" w:rsidRDefault="006251D7" w:rsidP="005F15C3">
            <w:pPr>
              <w:tabs>
                <w:tab w:val="left" w:pos="720"/>
              </w:tabs>
              <w:overflowPunct/>
              <w:autoSpaceDE/>
              <w:adjustRightInd/>
              <w:spacing w:after="120"/>
              <w:textAlignment w:val="auto"/>
              <w:rPr>
                <w:rFonts w:eastAsia="Calibri" w:cs="Calibri"/>
                <w:color w:val="000000"/>
                <w:sz w:val="22"/>
                <w:szCs w:val="22"/>
                <w:lang w:val="ru-RU"/>
              </w:rPr>
            </w:pPr>
            <w:r w:rsidRPr="00D234AF">
              <w:rPr>
                <w:rFonts w:cs="Calibri"/>
                <w:color w:val="000000"/>
                <w:sz w:val="22"/>
                <w:szCs w:val="22"/>
                <w:lang w:val="ru-RU"/>
              </w:rPr>
              <w:t>Оценить меняющиеся условия финансирования и активизировать усилия МСЭ по мобилизации ресурсов для проектов в рамках подготовки к ВКРЭ-2017.</w:t>
            </w:r>
          </w:p>
        </w:tc>
      </w:tr>
      <w:tr w:rsidR="006251D7" w:rsidRPr="005C3287" w14:paraId="69A624C8" w14:textId="77777777" w:rsidTr="005F15C3">
        <w:tc>
          <w:tcPr>
            <w:tcW w:w="2830" w:type="dxa"/>
            <w:shd w:val="clear" w:color="auto" w:fill="auto"/>
          </w:tcPr>
          <w:p w14:paraId="747ECF01" w14:textId="40ED5F0E" w:rsidR="006251D7" w:rsidRPr="006251D7" w:rsidRDefault="006251D7" w:rsidP="005F15C3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Увеличить число Членов Секторов, вносящих взносы в полном объеме</w:t>
            </w:r>
          </w:p>
        </w:tc>
        <w:tc>
          <w:tcPr>
            <w:tcW w:w="6804" w:type="dxa"/>
          </w:tcPr>
          <w:p w14:paraId="3FD8579E" w14:textId="7C937107" w:rsidR="006251D7" w:rsidRPr="006251D7" w:rsidRDefault="006251D7" w:rsidP="006251D7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Разработать список важнейших перспективных компаний и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 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осуществить стратегию информационно-пропагандистской деятельности по согласованию с Государствами</w:t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Членами, ориентируясь не только на сектор ИКТ, но и на автомобильный сектор, сектор здравоохранения и финансовый сектор.</w:t>
            </w:r>
          </w:p>
        </w:tc>
      </w:tr>
      <w:tr w:rsidR="006251D7" w:rsidRPr="005C3287" w14:paraId="359535B0" w14:textId="77777777" w:rsidTr="005F15C3">
        <w:tc>
          <w:tcPr>
            <w:tcW w:w="2830" w:type="dxa"/>
            <w:shd w:val="clear" w:color="auto" w:fill="auto"/>
          </w:tcPr>
          <w:p w14:paraId="25DE0B70" w14:textId="60DB438D" w:rsidR="006251D7" w:rsidRPr="0001281C" w:rsidRDefault="006251D7" w:rsidP="005F15C3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Форум и мероприятия</w:t>
            </w:r>
          </w:p>
        </w:tc>
        <w:tc>
          <w:tcPr>
            <w:tcW w:w="6804" w:type="dxa"/>
          </w:tcPr>
          <w:p w14:paraId="5269880D" w14:textId="6B2B42C6" w:rsidR="006251D7" w:rsidRPr="006251D7" w:rsidRDefault="006251D7" w:rsidP="005F15C3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>Проанализировать текущие мероприятия МСЭ, представляющие большой интерес для отрасли. Провести также рыночные исследования и анализ, в том числе сравнение с потенциальными конкурентами.</w:t>
            </w:r>
          </w:p>
        </w:tc>
      </w:tr>
      <w:tr w:rsidR="006251D7" w:rsidRPr="005C3287" w14:paraId="37507574" w14:textId="77777777" w:rsidTr="005F15C3">
        <w:tc>
          <w:tcPr>
            <w:tcW w:w="2830" w:type="dxa"/>
            <w:shd w:val="clear" w:color="auto" w:fill="auto"/>
          </w:tcPr>
          <w:p w14:paraId="3839680C" w14:textId="222733F6" w:rsidR="006251D7" w:rsidRPr="0001281C" w:rsidRDefault="006251D7" w:rsidP="005F15C3">
            <w:pPr>
              <w:spacing w:before="60" w:after="6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234AF"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  <w:t>Оценка соответствия</w:t>
            </w:r>
          </w:p>
        </w:tc>
        <w:tc>
          <w:tcPr>
            <w:tcW w:w="6804" w:type="dxa"/>
          </w:tcPr>
          <w:p w14:paraId="0D59564D" w14:textId="74C03FEB" w:rsidR="006251D7" w:rsidRPr="006251D7" w:rsidRDefault="006251D7" w:rsidP="006B38B0">
            <w:pPr>
              <w:spacing w:before="60" w:after="60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Провести анализ и исследования </w:t>
            </w:r>
            <w:r w:rsidR="006B38B0">
              <w:rPr>
                <w:rFonts w:asciiTheme="minorHAnsi" w:hAnsiTheme="minorHAnsi"/>
                <w:sz w:val="22"/>
                <w:szCs w:val="22"/>
                <w:lang w:val="ru-RU"/>
              </w:rPr>
              <w:t>в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цел</w:t>
            </w:r>
            <w:r w:rsidR="006B38B0">
              <w:rPr>
                <w:rFonts w:asciiTheme="minorHAnsi" w:hAnsiTheme="minorHAnsi"/>
                <w:sz w:val="22"/>
                <w:szCs w:val="22"/>
                <w:lang w:val="ru-RU"/>
              </w:rPr>
              <w:t>ях</w:t>
            </w:r>
            <w:r w:rsidRPr="00D234AF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выявления возможных мер обеспечения получения доходов.</w:t>
            </w:r>
          </w:p>
        </w:tc>
      </w:tr>
    </w:tbl>
    <w:p w14:paraId="24B6C6CC" w14:textId="77777777" w:rsidR="00264425" w:rsidRPr="0001281C" w:rsidRDefault="002E2B4B" w:rsidP="002E2B4B">
      <w:pPr>
        <w:spacing w:before="600"/>
        <w:jc w:val="center"/>
        <w:rPr>
          <w:rFonts w:asciiTheme="minorHAnsi" w:hAnsiTheme="minorHAnsi"/>
          <w:sz w:val="22"/>
          <w:szCs w:val="22"/>
          <w:u w:val="single"/>
          <w:lang w:val="it-IT"/>
        </w:rPr>
      </w:pPr>
      <w:r w:rsidRPr="0001281C">
        <w:rPr>
          <w:rFonts w:asciiTheme="minorHAnsi" w:hAnsiTheme="minorHAnsi"/>
          <w:sz w:val="22"/>
          <w:szCs w:val="22"/>
        </w:rPr>
        <w:t>________________</w:t>
      </w:r>
    </w:p>
    <w:sectPr w:rsidR="00264425" w:rsidRPr="0001281C" w:rsidSect="004D1851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4298" w14:textId="77777777" w:rsidR="00F17C6B" w:rsidRDefault="00F17C6B">
      <w:r>
        <w:separator/>
      </w:r>
    </w:p>
  </w:endnote>
  <w:endnote w:type="continuationSeparator" w:id="0">
    <w:p w14:paraId="0BCFE087" w14:textId="77777777" w:rsidR="00F17C6B" w:rsidRDefault="00F1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D2429" w14:textId="6DD3FB91" w:rsidR="00CB18FF" w:rsidRPr="008F3F9A" w:rsidRDefault="008F3F9A">
    <w:pPr>
      <w:pStyle w:val="Footer"/>
      <w:rPr>
        <w:color w:val="D9D9D9" w:themeColor="background1" w:themeShade="D9"/>
      </w:rPr>
    </w:pPr>
    <w:r w:rsidRPr="008F3F9A">
      <w:rPr>
        <w:color w:val="D9D9D9" w:themeColor="background1" w:themeShade="D9"/>
      </w:rPr>
      <w:fldChar w:fldCharType="begin"/>
    </w:r>
    <w:r w:rsidRPr="008F3F9A">
      <w:rPr>
        <w:color w:val="D9D9D9" w:themeColor="background1" w:themeShade="D9"/>
      </w:rPr>
      <w:instrText xml:space="preserve"> FILENAME \p  \* MERGEFORMAT </w:instrText>
    </w:r>
    <w:r w:rsidRPr="008F3F9A">
      <w:rPr>
        <w:color w:val="D9D9D9" w:themeColor="background1" w:themeShade="D9"/>
      </w:rPr>
      <w:fldChar w:fldCharType="separate"/>
    </w:r>
    <w:r w:rsidR="00BE62AC">
      <w:rPr>
        <w:color w:val="D9D9D9" w:themeColor="background1" w:themeShade="D9"/>
      </w:rPr>
      <w:t>D:\ITU-JOBS\196\413899.docx</w:t>
    </w:r>
    <w:r w:rsidRPr="008F3F9A">
      <w:rPr>
        <w:color w:val="D9D9D9" w:themeColor="background1" w:themeShade="D9"/>
      </w:rPr>
      <w:fldChar w:fldCharType="end"/>
    </w:r>
    <w:r w:rsidR="00CB18FF" w:rsidRPr="008F3F9A">
      <w:rPr>
        <w:color w:val="D9D9D9" w:themeColor="background1" w:themeShade="D9"/>
      </w:rPr>
      <w:tab/>
    </w:r>
    <w:r w:rsidR="00864AFF" w:rsidRPr="008F3F9A">
      <w:rPr>
        <w:color w:val="D9D9D9" w:themeColor="background1" w:themeShade="D9"/>
      </w:rPr>
      <w:fldChar w:fldCharType="begin"/>
    </w:r>
    <w:r w:rsidR="00CB18FF" w:rsidRPr="008F3F9A">
      <w:rPr>
        <w:color w:val="D9D9D9" w:themeColor="background1" w:themeShade="D9"/>
      </w:rPr>
      <w:instrText xml:space="preserve"> SAVEDATE \@ DD.MM.YY </w:instrText>
    </w:r>
    <w:r w:rsidR="00864AFF" w:rsidRPr="008F3F9A">
      <w:rPr>
        <w:color w:val="D9D9D9" w:themeColor="background1" w:themeShade="D9"/>
      </w:rPr>
      <w:fldChar w:fldCharType="separate"/>
    </w:r>
    <w:r w:rsidR="005C3287">
      <w:rPr>
        <w:color w:val="D9D9D9" w:themeColor="background1" w:themeShade="D9"/>
      </w:rPr>
      <w:t>01.05.17</w:t>
    </w:r>
    <w:r w:rsidR="00864AFF" w:rsidRPr="008F3F9A">
      <w:rPr>
        <w:color w:val="D9D9D9" w:themeColor="background1" w:themeShade="D9"/>
      </w:rPr>
      <w:fldChar w:fldCharType="end"/>
    </w:r>
    <w:r w:rsidR="00CB18FF" w:rsidRPr="008F3F9A">
      <w:rPr>
        <w:color w:val="D9D9D9" w:themeColor="background1" w:themeShade="D9"/>
      </w:rPr>
      <w:tab/>
    </w:r>
    <w:r w:rsidR="00864AFF" w:rsidRPr="008F3F9A">
      <w:rPr>
        <w:color w:val="D9D9D9" w:themeColor="background1" w:themeShade="D9"/>
      </w:rPr>
      <w:fldChar w:fldCharType="begin"/>
    </w:r>
    <w:r w:rsidR="00CB18FF" w:rsidRPr="008F3F9A">
      <w:rPr>
        <w:color w:val="D9D9D9" w:themeColor="background1" w:themeShade="D9"/>
      </w:rPr>
      <w:instrText xml:space="preserve"> PRINTDATE \@ DD.MM.YY </w:instrText>
    </w:r>
    <w:r w:rsidR="00864AFF" w:rsidRPr="008F3F9A">
      <w:rPr>
        <w:color w:val="D9D9D9" w:themeColor="background1" w:themeShade="D9"/>
      </w:rPr>
      <w:fldChar w:fldCharType="separate"/>
    </w:r>
    <w:r w:rsidR="00BE62AC">
      <w:rPr>
        <w:color w:val="D9D9D9" w:themeColor="background1" w:themeShade="D9"/>
      </w:rPr>
      <w:t>26.04.17</w:t>
    </w:r>
    <w:r w:rsidR="00864AFF" w:rsidRPr="008F3F9A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74EE6" w14:textId="77777777" w:rsidR="00322D0D" w:rsidRPr="00FE695D" w:rsidRDefault="00322D0D">
    <w:pPr>
      <w:spacing w:after="120"/>
      <w:jc w:val="center"/>
      <w:rPr>
        <w:sz w:val="22"/>
        <w:szCs w:val="22"/>
      </w:rPr>
    </w:pPr>
    <w:r w:rsidRPr="00FE695D">
      <w:rPr>
        <w:sz w:val="22"/>
        <w:szCs w:val="22"/>
      </w:rPr>
      <w:t xml:space="preserve">• </w:t>
    </w:r>
    <w:hyperlink r:id="rId1" w:history="1">
      <w:r w:rsidRPr="00FE695D">
        <w:rPr>
          <w:rStyle w:val="Hyperlink"/>
          <w:sz w:val="22"/>
          <w:szCs w:val="22"/>
        </w:rPr>
        <w:t>http://www.itu.int/council</w:t>
      </w:r>
    </w:hyperlink>
    <w:r w:rsidRPr="00FE695D">
      <w:rPr>
        <w:sz w:val="22"/>
        <w:szCs w:val="22"/>
      </w:rPr>
      <w:t xml:space="preserve"> •</w:t>
    </w:r>
  </w:p>
  <w:p w14:paraId="6C5A8D64" w14:textId="7866DA24" w:rsidR="00322D0D" w:rsidRPr="008F3F9A" w:rsidRDefault="008F3F9A">
    <w:pPr>
      <w:pStyle w:val="Footer"/>
      <w:rPr>
        <w:color w:val="D9D9D9" w:themeColor="background1" w:themeShade="D9"/>
      </w:rPr>
    </w:pPr>
    <w:r w:rsidRPr="008F3F9A">
      <w:rPr>
        <w:color w:val="D9D9D9" w:themeColor="background1" w:themeShade="D9"/>
      </w:rPr>
      <w:fldChar w:fldCharType="begin"/>
    </w:r>
    <w:r w:rsidRPr="008F3F9A">
      <w:rPr>
        <w:color w:val="D9D9D9" w:themeColor="background1" w:themeShade="D9"/>
      </w:rPr>
      <w:instrText xml:space="preserve"> FILENAME \p  \* MERGEFORMAT </w:instrText>
    </w:r>
    <w:r w:rsidRPr="008F3F9A">
      <w:rPr>
        <w:color w:val="D9D9D9" w:themeColor="background1" w:themeShade="D9"/>
      </w:rPr>
      <w:fldChar w:fldCharType="separate"/>
    </w:r>
    <w:r w:rsidR="00BE62AC">
      <w:rPr>
        <w:color w:val="D9D9D9" w:themeColor="background1" w:themeShade="D9"/>
      </w:rPr>
      <w:t>D:\ITU-JOBS\196\413899.docx</w:t>
    </w:r>
    <w:r w:rsidRPr="008F3F9A">
      <w:rPr>
        <w:color w:val="D9D9D9" w:themeColor="background1" w:themeShade="D9"/>
      </w:rPr>
      <w:fldChar w:fldCharType="end"/>
    </w:r>
    <w:r w:rsidR="00322D0D" w:rsidRPr="008F3F9A">
      <w:rPr>
        <w:color w:val="D9D9D9" w:themeColor="background1" w:themeShade="D9"/>
      </w:rPr>
      <w:tab/>
    </w:r>
    <w:r w:rsidR="00864AFF" w:rsidRPr="008F3F9A">
      <w:rPr>
        <w:color w:val="D9D9D9" w:themeColor="background1" w:themeShade="D9"/>
      </w:rPr>
      <w:fldChar w:fldCharType="begin"/>
    </w:r>
    <w:r w:rsidR="00322D0D" w:rsidRPr="008F3F9A">
      <w:rPr>
        <w:color w:val="D9D9D9" w:themeColor="background1" w:themeShade="D9"/>
      </w:rPr>
      <w:instrText xml:space="preserve"> SAVEDATE \@ DD.MM.YY </w:instrText>
    </w:r>
    <w:r w:rsidR="00864AFF" w:rsidRPr="008F3F9A">
      <w:rPr>
        <w:color w:val="D9D9D9" w:themeColor="background1" w:themeShade="D9"/>
      </w:rPr>
      <w:fldChar w:fldCharType="separate"/>
    </w:r>
    <w:r w:rsidR="005C3287">
      <w:rPr>
        <w:color w:val="D9D9D9" w:themeColor="background1" w:themeShade="D9"/>
      </w:rPr>
      <w:t>01.05.17</w:t>
    </w:r>
    <w:r w:rsidR="00864AFF" w:rsidRPr="008F3F9A">
      <w:rPr>
        <w:color w:val="D9D9D9" w:themeColor="background1" w:themeShade="D9"/>
      </w:rPr>
      <w:fldChar w:fldCharType="end"/>
    </w:r>
    <w:r w:rsidR="00322D0D" w:rsidRPr="008F3F9A">
      <w:rPr>
        <w:color w:val="D9D9D9" w:themeColor="background1" w:themeShade="D9"/>
      </w:rPr>
      <w:tab/>
    </w:r>
    <w:r w:rsidR="00864AFF" w:rsidRPr="008F3F9A">
      <w:rPr>
        <w:color w:val="D9D9D9" w:themeColor="background1" w:themeShade="D9"/>
      </w:rPr>
      <w:fldChar w:fldCharType="begin"/>
    </w:r>
    <w:r w:rsidR="00322D0D" w:rsidRPr="008F3F9A">
      <w:rPr>
        <w:color w:val="D9D9D9" w:themeColor="background1" w:themeShade="D9"/>
      </w:rPr>
      <w:instrText xml:space="preserve"> PRINTDATE \@ DD.MM.YY </w:instrText>
    </w:r>
    <w:r w:rsidR="00864AFF" w:rsidRPr="008F3F9A">
      <w:rPr>
        <w:color w:val="D9D9D9" w:themeColor="background1" w:themeShade="D9"/>
      </w:rPr>
      <w:fldChar w:fldCharType="separate"/>
    </w:r>
    <w:r w:rsidR="00BE62AC">
      <w:rPr>
        <w:color w:val="D9D9D9" w:themeColor="background1" w:themeShade="D9"/>
      </w:rPr>
      <w:t>26.04.17</w:t>
    </w:r>
    <w:r w:rsidR="00864AFF" w:rsidRPr="008F3F9A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1FA27" w14:textId="77777777" w:rsidR="00F17C6B" w:rsidRDefault="00F17C6B">
      <w:r>
        <w:t>____________________</w:t>
      </w:r>
    </w:p>
  </w:footnote>
  <w:footnote w:type="continuationSeparator" w:id="0">
    <w:p w14:paraId="7E117C27" w14:textId="77777777" w:rsidR="00F17C6B" w:rsidRDefault="00F17C6B">
      <w:r>
        <w:continuationSeparator/>
      </w:r>
    </w:p>
  </w:footnote>
  <w:footnote w:id="1">
    <w:p w14:paraId="7F4AF544" w14:textId="5DA0A591" w:rsidR="006251D7" w:rsidRPr="006B38B0" w:rsidRDefault="006251D7" w:rsidP="00995AB5">
      <w:pPr>
        <w:pStyle w:val="FootnoteText"/>
        <w:snapToGrid w:val="0"/>
        <w:spacing w:before="0"/>
        <w:rPr>
          <w:rFonts w:asciiTheme="minorHAnsi" w:hAnsiTheme="minorHAnsi"/>
          <w:sz w:val="18"/>
          <w:szCs w:val="18"/>
          <w:lang w:val="ru-RU"/>
        </w:rPr>
      </w:pPr>
      <w:r w:rsidRPr="006B38B0">
        <w:rPr>
          <w:rStyle w:val="FootnoteReference"/>
          <w:rFonts w:asciiTheme="minorHAnsi" w:hAnsiTheme="minorHAnsi"/>
          <w:sz w:val="18"/>
          <w:szCs w:val="18"/>
        </w:rPr>
        <w:footnoteRef/>
      </w:r>
      <w:r w:rsidR="006B38B0">
        <w:rPr>
          <w:rFonts w:asciiTheme="minorHAnsi" w:hAnsiTheme="minorHAnsi"/>
          <w:sz w:val="18"/>
          <w:szCs w:val="18"/>
          <w:lang w:val="ru-RU"/>
        </w:rPr>
        <w:tab/>
      </w:r>
      <w:r w:rsidRPr="006B38B0">
        <w:rPr>
          <w:rFonts w:asciiTheme="minorHAnsi" w:hAnsiTheme="minorHAnsi"/>
          <w:sz w:val="18"/>
          <w:szCs w:val="18"/>
          <w:lang w:val="en-US"/>
        </w:rPr>
        <w:t>SANC</w:t>
      </w:r>
      <w:r w:rsidRPr="006B38B0">
        <w:rPr>
          <w:rFonts w:asciiTheme="minorHAnsi" w:hAnsiTheme="minorHAnsi"/>
          <w:sz w:val="18"/>
          <w:szCs w:val="18"/>
          <w:lang w:val="ru-RU"/>
        </w:rPr>
        <w:t xml:space="preserve">: </w:t>
      </w:r>
      <w:r w:rsidR="00995AB5" w:rsidRPr="00995AB5">
        <w:rPr>
          <w:rFonts w:asciiTheme="minorHAnsi" w:hAnsiTheme="minorHAnsi"/>
          <w:sz w:val="18"/>
          <w:szCs w:val="18"/>
          <w:lang w:val="ru-RU"/>
        </w:rPr>
        <w:t>зоновы</w:t>
      </w:r>
      <w:r w:rsidR="00995AB5">
        <w:rPr>
          <w:rFonts w:asciiTheme="minorHAnsi" w:hAnsiTheme="minorHAnsi"/>
          <w:sz w:val="18"/>
          <w:szCs w:val="18"/>
          <w:lang w:val="ru-RU"/>
        </w:rPr>
        <w:t>й</w:t>
      </w:r>
      <w:r w:rsidR="00995AB5" w:rsidRPr="00995AB5">
        <w:rPr>
          <w:rFonts w:asciiTheme="minorHAnsi" w:hAnsiTheme="minorHAnsi"/>
          <w:sz w:val="18"/>
          <w:szCs w:val="18"/>
          <w:lang w:val="ru-RU"/>
        </w:rPr>
        <w:t>/сетев</w:t>
      </w:r>
      <w:r w:rsidR="00995AB5">
        <w:rPr>
          <w:rFonts w:asciiTheme="minorHAnsi" w:hAnsiTheme="minorHAnsi"/>
          <w:sz w:val="18"/>
          <w:szCs w:val="18"/>
          <w:lang w:val="ru-RU"/>
        </w:rPr>
        <w:t>ой</w:t>
      </w:r>
      <w:r w:rsidR="00995AB5" w:rsidRPr="00995AB5">
        <w:rPr>
          <w:rFonts w:asciiTheme="minorHAnsi" w:hAnsiTheme="minorHAnsi"/>
          <w:sz w:val="18"/>
          <w:szCs w:val="18"/>
          <w:lang w:val="ru-RU"/>
        </w:rPr>
        <w:t xml:space="preserve"> код сигнализации</w:t>
      </w:r>
    </w:p>
  </w:footnote>
  <w:footnote w:id="2">
    <w:p w14:paraId="79B01EB8" w14:textId="57B65D1E" w:rsidR="006251D7" w:rsidRPr="006B38B0" w:rsidRDefault="006251D7" w:rsidP="00995AB5">
      <w:pPr>
        <w:pStyle w:val="FootnoteText"/>
        <w:snapToGrid w:val="0"/>
        <w:spacing w:before="0"/>
        <w:rPr>
          <w:sz w:val="18"/>
          <w:szCs w:val="18"/>
          <w:lang w:val="ru-RU"/>
        </w:rPr>
      </w:pPr>
      <w:r w:rsidRPr="006B38B0">
        <w:rPr>
          <w:rStyle w:val="FootnoteReference"/>
          <w:rFonts w:asciiTheme="minorHAnsi" w:hAnsiTheme="minorHAnsi"/>
          <w:sz w:val="18"/>
          <w:szCs w:val="18"/>
        </w:rPr>
        <w:footnoteRef/>
      </w:r>
      <w:r w:rsidR="006B38B0">
        <w:rPr>
          <w:rFonts w:asciiTheme="minorHAnsi" w:hAnsiTheme="minorHAnsi"/>
          <w:sz w:val="18"/>
          <w:szCs w:val="18"/>
          <w:lang w:val="ru-RU"/>
        </w:rPr>
        <w:tab/>
      </w:r>
      <w:r w:rsidRPr="006B38B0">
        <w:rPr>
          <w:rFonts w:asciiTheme="minorHAnsi" w:hAnsiTheme="minorHAnsi"/>
          <w:sz w:val="18"/>
          <w:szCs w:val="18"/>
          <w:lang w:val="en-US"/>
        </w:rPr>
        <w:t>UIFN</w:t>
      </w:r>
      <w:r w:rsidRPr="006B38B0">
        <w:rPr>
          <w:rFonts w:asciiTheme="minorHAnsi" w:hAnsiTheme="minorHAnsi"/>
          <w:sz w:val="18"/>
          <w:szCs w:val="18"/>
          <w:lang w:val="ru-RU"/>
        </w:rPr>
        <w:t xml:space="preserve">: универсальный международный номер </w:t>
      </w:r>
      <w:r w:rsidR="00995AB5" w:rsidRPr="00995AB5">
        <w:rPr>
          <w:rFonts w:asciiTheme="minorHAnsi" w:hAnsiTheme="minorHAnsi"/>
          <w:sz w:val="18"/>
          <w:szCs w:val="18"/>
          <w:lang w:val="ru-RU"/>
        </w:rPr>
        <w:t>услуги</w:t>
      </w:r>
      <w:r w:rsidR="00995AB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995AB5" w:rsidRPr="00995AB5">
        <w:rPr>
          <w:rFonts w:asciiTheme="minorHAnsi" w:hAnsiTheme="minorHAnsi"/>
          <w:sz w:val="18"/>
          <w:szCs w:val="18"/>
          <w:lang w:val="ru-RU"/>
        </w:rPr>
        <w:t>бесплатного вызова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D3293" w14:textId="78380A41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5C3287">
      <w:rPr>
        <w:noProof/>
      </w:rPr>
      <w:t>2</w:t>
    </w:r>
    <w:r>
      <w:rPr>
        <w:noProof/>
      </w:rPr>
      <w:fldChar w:fldCharType="end"/>
    </w:r>
  </w:p>
  <w:p w14:paraId="6D4A2012" w14:textId="00538A05" w:rsidR="00322D0D" w:rsidRDefault="002E2B4B" w:rsidP="005243FF">
    <w:pPr>
      <w:pStyle w:val="Header"/>
    </w:pPr>
    <w:r>
      <w:t>C17/67-</w:t>
    </w:r>
    <w:r w:rsidR="0001281C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D0CCE"/>
    <w:multiLevelType w:val="hybridMultilevel"/>
    <w:tmpl w:val="E87C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4B"/>
    <w:rsid w:val="0001281C"/>
    <w:rsid w:val="000210D4"/>
    <w:rsid w:val="00063016"/>
    <w:rsid w:val="00066795"/>
    <w:rsid w:val="00076AF6"/>
    <w:rsid w:val="00085CF2"/>
    <w:rsid w:val="00093DD0"/>
    <w:rsid w:val="000B1705"/>
    <w:rsid w:val="000B5CB4"/>
    <w:rsid w:val="000C6FBB"/>
    <w:rsid w:val="000D75B2"/>
    <w:rsid w:val="000D7F64"/>
    <w:rsid w:val="001012AB"/>
    <w:rsid w:val="001121F5"/>
    <w:rsid w:val="001400DC"/>
    <w:rsid w:val="00140230"/>
    <w:rsid w:val="00140CE1"/>
    <w:rsid w:val="0017539C"/>
    <w:rsid w:val="00175AC2"/>
    <w:rsid w:val="0017609F"/>
    <w:rsid w:val="001C628E"/>
    <w:rsid w:val="001E0F7B"/>
    <w:rsid w:val="001E1B65"/>
    <w:rsid w:val="002119FD"/>
    <w:rsid w:val="002130E0"/>
    <w:rsid w:val="0023649C"/>
    <w:rsid w:val="00264425"/>
    <w:rsid w:val="00265875"/>
    <w:rsid w:val="0027303B"/>
    <w:rsid w:val="0028109B"/>
    <w:rsid w:val="00283E92"/>
    <w:rsid w:val="002B1E35"/>
    <w:rsid w:val="002B1F58"/>
    <w:rsid w:val="002C1C7A"/>
    <w:rsid w:val="002E2B4B"/>
    <w:rsid w:val="0030160F"/>
    <w:rsid w:val="00322D0D"/>
    <w:rsid w:val="00356F74"/>
    <w:rsid w:val="00376C9C"/>
    <w:rsid w:val="003942D4"/>
    <w:rsid w:val="003958A8"/>
    <w:rsid w:val="003C2533"/>
    <w:rsid w:val="0040435A"/>
    <w:rsid w:val="00416A24"/>
    <w:rsid w:val="00426058"/>
    <w:rsid w:val="00431D9E"/>
    <w:rsid w:val="00433CE8"/>
    <w:rsid w:val="00434A5C"/>
    <w:rsid w:val="004544D9"/>
    <w:rsid w:val="00457BF5"/>
    <w:rsid w:val="00490E72"/>
    <w:rsid w:val="00491157"/>
    <w:rsid w:val="004921C8"/>
    <w:rsid w:val="004A3691"/>
    <w:rsid w:val="004D1851"/>
    <w:rsid w:val="004D599D"/>
    <w:rsid w:val="004E2EA5"/>
    <w:rsid w:val="004E3AEB"/>
    <w:rsid w:val="0050223C"/>
    <w:rsid w:val="00505923"/>
    <w:rsid w:val="005243FF"/>
    <w:rsid w:val="005626DC"/>
    <w:rsid w:val="00564FBC"/>
    <w:rsid w:val="00582442"/>
    <w:rsid w:val="005918D2"/>
    <w:rsid w:val="005C3287"/>
    <w:rsid w:val="006251D7"/>
    <w:rsid w:val="0064737F"/>
    <w:rsid w:val="006535F1"/>
    <w:rsid w:val="0065557D"/>
    <w:rsid w:val="00662984"/>
    <w:rsid w:val="006716BB"/>
    <w:rsid w:val="006B38B0"/>
    <w:rsid w:val="006B6680"/>
    <w:rsid w:val="006B6DCC"/>
    <w:rsid w:val="006D2B0E"/>
    <w:rsid w:val="006F729E"/>
    <w:rsid w:val="00702DEF"/>
    <w:rsid w:val="00706861"/>
    <w:rsid w:val="007374C6"/>
    <w:rsid w:val="00746FA9"/>
    <w:rsid w:val="0075051B"/>
    <w:rsid w:val="00794D34"/>
    <w:rsid w:val="007D110B"/>
    <w:rsid w:val="007F3022"/>
    <w:rsid w:val="007F716E"/>
    <w:rsid w:val="00813E5E"/>
    <w:rsid w:val="0083581B"/>
    <w:rsid w:val="00864AFF"/>
    <w:rsid w:val="00871643"/>
    <w:rsid w:val="00895D1F"/>
    <w:rsid w:val="008B2F18"/>
    <w:rsid w:val="008B4A6A"/>
    <w:rsid w:val="008C7E27"/>
    <w:rsid w:val="008F3F9A"/>
    <w:rsid w:val="009173EF"/>
    <w:rsid w:val="00932906"/>
    <w:rsid w:val="009513C0"/>
    <w:rsid w:val="00961B0B"/>
    <w:rsid w:val="00995AB5"/>
    <w:rsid w:val="009B10ED"/>
    <w:rsid w:val="009B38C3"/>
    <w:rsid w:val="009C4BD2"/>
    <w:rsid w:val="009E17BD"/>
    <w:rsid w:val="00A04CEC"/>
    <w:rsid w:val="00A24D3F"/>
    <w:rsid w:val="00A25389"/>
    <w:rsid w:val="00A27F92"/>
    <w:rsid w:val="00A32257"/>
    <w:rsid w:val="00A36D20"/>
    <w:rsid w:val="00A55622"/>
    <w:rsid w:val="00A65195"/>
    <w:rsid w:val="00A83502"/>
    <w:rsid w:val="00AD15B3"/>
    <w:rsid w:val="00AF1E03"/>
    <w:rsid w:val="00AF6E49"/>
    <w:rsid w:val="00B04A67"/>
    <w:rsid w:val="00B0583C"/>
    <w:rsid w:val="00B27938"/>
    <w:rsid w:val="00B40A81"/>
    <w:rsid w:val="00B44910"/>
    <w:rsid w:val="00B44C10"/>
    <w:rsid w:val="00B72267"/>
    <w:rsid w:val="00B76EB6"/>
    <w:rsid w:val="00B7737B"/>
    <w:rsid w:val="00B824C8"/>
    <w:rsid w:val="00BA29E3"/>
    <w:rsid w:val="00BC251A"/>
    <w:rsid w:val="00BD032B"/>
    <w:rsid w:val="00BE2640"/>
    <w:rsid w:val="00BE62AC"/>
    <w:rsid w:val="00C01189"/>
    <w:rsid w:val="00C103CF"/>
    <w:rsid w:val="00C169CC"/>
    <w:rsid w:val="00C27ED5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83102"/>
    <w:rsid w:val="00DB384B"/>
    <w:rsid w:val="00DD0958"/>
    <w:rsid w:val="00DE71E1"/>
    <w:rsid w:val="00E10E80"/>
    <w:rsid w:val="00E124F0"/>
    <w:rsid w:val="00E60F04"/>
    <w:rsid w:val="00E83FF1"/>
    <w:rsid w:val="00E854E4"/>
    <w:rsid w:val="00EB0D6F"/>
    <w:rsid w:val="00EB2232"/>
    <w:rsid w:val="00EC5337"/>
    <w:rsid w:val="00F17C6B"/>
    <w:rsid w:val="00F2150A"/>
    <w:rsid w:val="00F231D8"/>
    <w:rsid w:val="00F4639B"/>
    <w:rsid w:val="00F46C5F"/>
    <w:rsid w:val="00F85B58"/>
    <w:rsid w:val="00F85D28"/>
    <w:rsid w:val="00F94A63"/>
    <w:rsid w:val="00FA1C28"/>
    <w:rsid w:val="00FB7596"/>
    <w:rsid w:val="00FD5CF0"/>
    <w:rsid w:val="00FE4077"/>
    <w:rsid w:val="00FE695D"/>
    <w:rsid w:val="00FE77D2"/>
    <w:rsid w:val="00FF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10283B0"/>
  <w15:docId w15:val="{0AC0E8E3-9441-4283-BA8A-473F8B76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aliases w:val="Char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E2B4B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hps">
    <w:name w:val="hps"/>
    <w:basedOn w:val="DefaultParagraphFont"/>
    <w:rsid w:val="002E2B4B"/>
  </w:style>
  <w:style w:type="paragraph" w:styleId="ListParagraph">
    <w:name w:val="List Paragraph"/>
    <w:basedOn w:val="Normal"/>
    <w:link w:val="ListParagraphChar"/>
    <w:uiPriority w:val="34"/>
    <w:qFormat/>
    <w:rsid w:val="002E2B4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character" w:customStyle="1" w:styleId="FootnoteTextChar">
    <w:name w:val="Footnote Text Char"/>
    <w:aliases w:val="Char Char"/>
    <w:basedOn w:val="DefaultParagraphFont"/>
    <w:link w:val="FootnoteText"/>
    <w:uiPriority w:val="99"/>
    <w:qFormat/>
    <w:rsid w:val="002E2B4B"/>
    <w:rPr>
      <w:rFonts w:ascii="Calibri" w:hAnsi="Calibri"/>
      <w:sz w:val="24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2B4B"/>
    <w:rPr>
      <w:rFonts w:ascii="Times New Roman" w:hAnsi="Times New Roman"/>
      <w:sz w:val="24"/>
      <w:lang w:val="en-GB" w:eastAsia="en-US"/>
    </w:rPr>
  </w:style>
  <w:style w:type="paragraph" w:customStyle="1" w:styleId="Default">
    <w:name w:val="Default"/>
    <w:rsid w:val="002E2B4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table" w:styleId="TableGrid">
    <w:name w:val="Table Grid"/>
    <w:basedOn w:val="TableNormal"/>
    <w:uiPriority w:val="59"/>
    <w:rsid w:val="002E2B4B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57B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7BF5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513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13C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13C0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AF1E0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md/S17-CL-C-0050/en" TargetMode="External"/><Relationship Id="rId18" Type="http://schemas.openxmlformats.org/officeDocument/2006/relationships/hyperlink" Target="https://business.un.org/en/documents/guidelin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16-CL-C-0049/en" TargetMode="External"/><Relationship Id="rId17" Type="http://schemas.openxmlformats.org/officeDocument/2006/relationships/hyperlink" Target="https://www.unglobalcompact.org/what-is-gc/mission/princip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S17-CLCWGFHRM7-C-0005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en/council/Documents/2017/ITUSponsorshipguidelines.doc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LNSiRuCH3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S17-CLCWGFHRM7-INF-0001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CFAE3DE746A4685A8753B6C2499EA" ma:contentTypeVersion="0" ma:contentTypeDescription="Create a new document." ma:contentTypeScope="" ma:versionID="7a8b0435e6fb22d8444e7940a317a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FEA1-52F5-425B-8705-529CE36A058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FDAF52-E6B9-4E09-ACE7-47C689646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B4662-3C87-4178-A698-A345EB86F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3A3E7-5E70-4897-9D11-DD24C637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10354</Characters>
  <Application>Microsoft Office Word</Application>
  <DocSecurity>4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Improving the stability and predictability of the financial base of the Union</vt:lpstr>
      <vt:lpstr>Improving the stability and predictability of the financial base of the Union</vt:lpstr>
    </vt:vector>
  </TitlesOfParts>
  <Manager>General Secretariat - Pool</Manager>
  <Company>International Telecommunication Union (ITU)</Company>
  <LinksUpToDate>false</LinksUpToDate>
  <CharactersWithSpaces>12146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 the stability and predictability of the financial base of the Union</dc:title>
  <dc:subject>Council 2017</dc:subject>
  <dc:creator>Brouard, Ricarda</dc:creator>
  <cp:keywords>C2017, C17</cp:keywords>
  <cp:lastModifiedBy>Brouard, Ricarda</cp:lastModifiedBy>
  <cp:revision>2</cp:revision>
  <cp:lastPrinted>2017-04-26T13:56:00Z</cp:lastPrinted>
  <dcterms:created xsi:type="dcterms:W3CDTF">2017-05-01T12:45:00Z</dcterms:created>
  <dcterms:modified xsi:type="dcterms:W3CDTF">2017-05-01T12:45:00Z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0x010100439CFAE3DE746A4685A8753B6C2499EA</vt:lpwstr>
  </property>
</Properties>
</file>