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F3F43">
        <w:trPr>
          <w:cantSplit/>
        </w:trPr>
        <w:tc>
          <w:tcPr>
            <w:tcW w:w="6912" w:type="dxa"/>
          </w:tcPr>
          <w:p w:rsidR="00520F36" w:rsidRPr="00EF3F43" w:rsidRDefault="00520F36" w:rsidP="00520F36">
            <w:pPr>
              <w:spacing w:before="360"/>
              <w:rPr>
                <w:lang w:val="fr-CH"/>
              </w:rPr>
            </w:pPr>
            <w:bookmarkStart w:id="0" w:name="dc06"/>
            <w:bookmarkEnd w:id="0"/>
            <w:r w:rsidRPr="00EF3F43">
              <w:rPr>
                <w:b/>
                <w:bCs/>
                <w:sz w:val="30"/>
                <w:szCs w:val="30"/>
                <w:lang w:val="fr-CH"/>
              </w:rPr>
              <w:t>Conseil 2017</w:t>
            </w:r>
            <w:r w:rsidRPr="00EF3F43">
              <w:rPr>
                <w:rFonts w:ascii="Verdana" w:hAnsi="Verdana"/>
                <w:b/>
                <w:bCs/>
                <w:sz w:val="26"/>
                <w:szCs w:val="26"/>
                <w:lang w:val="fr-CH"/>
              </w:rPr>
              <w:br/>
            </w:r>
            <w:r w:rsidRPr="00EF3F43">
              <w:rPr>
                <w:b/>
                <w:bCs/>
                <w:szCs w:val="24"/>
                <w:lang w:val="fr-CH"/>
              </w:rPr>
              <w:t>Genève, 15-25 mai 2017</w:t>
            </w:r>
          </w:p>
        </w:tc>
        <w:tc>
          <w:tcPr>
            <w:tcW w:w="3261" w:type="dxa"/>
          </w:tcPr>
          <w:p w:rsidR="00520F36" w:rsidRPr="00EF3F43" w:rsidRDefault="00520F36" w:rsidP="00520F36">
            <w:pPr>
              <w:spacing w:before="0"/>
              <w:jc w:val="right"/>
              <w:rPr>
                <w:lang w:val="fr-CH"/>
              </w:rPr>
            </w:pPr>
            <w:bookmarkStart w:id="1" w:name="ditulogo"/>
            <w:bookmarkEnd w:id="1"/>
            <w:r w:rsidRPr="00EF3F43">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F3F43" w:rsidTr="00EF41DD">
        <w:trPr>
          <w:cantSplit/>
          <w:trHeight w:val="20"/>
        </w:trPr>
        <w:tc>
          <w:tcPr>
            <w:tcW w:w="6912" w:type="dxa"/>
            <w:tcBorders>
              <w:bottom w:val="single" w:sz="12" w:space="0" w:color="auto"/>
            </w:tcBorders>
            <w:vAlign w:val="center"/>
          </w:tcPr>
          <w:p w:rsidR="00520F36" w:rsidRPr="00EF3F43" w:rsidRDefault="00520F36" w:rsidP="004C37A9">
            <w:pPr>
              <w:spacing w:before="0"/>
              <w:rPr>
                <w:b/>
                <w:bCs/>
                <w:sz w:val="26"/>
                <w:szCs w:val="26"/>
                <w:lang w:val="fr-CH"/>
              </w:rPr>
            </w:pPr>
          </w:p>
        </w:tc>
        <w:tc>
          <w:tcPr>
            <w:tcW w:w="3261" w:type="dxa"/>
            <w:tcBorders>
              <w:bottom w:val="single" w:sz="12" w:space="0" w:color="auto"/>
            </w:tcBorders>
          </w:tcPr>
          <w:p w:rsidR="00520F36" w:rsidRPr="00EF3F43" w:rsidRDefault="00520F36" w:rsidP="00DF74DD">
            <w:pPr>
              <w:spacing w:before="0"/>
              <w:rPr>
                <w:b/>
                <w:bCs/>
                <w:lang w:val="fr-CH"/>
              </w:rPr>
            </w:pPr>
          </w:p>
        </w:tc>
      </w:tr>
      <w:tr w:rsidR="00520F36" w:rsidRPr="00EF3F43">
        <w:trPr>
          <w:cantSplit/>
          <w:trHeight w:val="20"/>
        </w:trPr>
        <w:tc>
          <w:tcPr>
            <w:tcW w:w="6912" w:type="dxa"/>
            <w:tcBorders>
              <w:top w:val="single" w:sz="12" w:space="0" w:color="auto"/>
            </w:tcBorders>
          </w:tcPr>
          <w:p w:rsidR="00520F36" w:rsidRPr="00EF3F43" w:rsidRDefault="00520F36" w:rsidP="00DF74DD">
            <w:pPr>
              <w:spacing w:before="0"/>
              <w:rPr>
                <w:smallCaps/>
                <w:sz w:val="22"/>
                <w:lang w:val="fr-CH"/>
              </w:rPr>
            </w:pPr>
          </w:p>
        </w:tc>
        <w:tc>
          <w:tcPr>
            <w:tcW w:w="3261" w:type="dxa"/>
            <w:tcBorders>
              <w:top w:val="single" w:sz="12" w:space="0" w:color="auto"/>
            </w:tcBorders>
          </w:tcPr>
          <w:p w:rsidR="00520F36" w:rsidRPr="00EF3F43" w:rsidRDefault="00520F36" w:rsidP="00DF74DD">
            <w:pPr>
              <w:spacing w:before="0"/>
              <w:rPr>
                <w:b/>
                <w:bCs/>
                <w:lang w:val="fr-CH"/>
              </w:rPr>
            </w:pPr>
          </w:p>
        </w:tc>
      </w:tr>
      <w:tr w:rsidR="00520F36" w:rsidRPr="00EF3F43">
        <w:trPr>
          <w:cantSplit/>
          <w:trHeight w:val="20"/>
        </w:trPr>
        <w:tc>
          <w:tcPr>
            <w:tcW w:w="6912" w:type="dxa"/>
            <w:vMerge w:val="restart"/>
          </w:tcPr>
          <w:p w:rsidR="00520F36" w:rsidRPr="00EF3F43"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EF3F43" w:rsidRDefault="00520F36" w:rsidP="00520F36">
            <w:pPr>
              <w:spacing w:before="0"/>
              <w:rPr>
                <w:b/>
                <w:bCs/>
                <w:lang w:val="fr-CH"/>
              </w:rPr>
            </w:pPr>
            <w:r w:rsidRPr="00EF3F43">
              <w:rPr>
                <w:b/>
                <w:bCs/>
                <w:lang w:val="fr-CH"/>
              </w:rPr>
              <w:t>Document C17/</w:t>
            </w:r>
            <w:r w:rsidR="0094675C" w:rsidRPr="00EF3F43">
              <w:rPr>
                <w:b/>
                <w:bCs/>
                <w:lang w:val="fr-CH"/>
              </w:rPr>
              <w:t>67</w:t>
            </w:r>
            <w:r w:rsidRPr="00EF3F43">
              <w:rPr>
                <w:b/>
                <w:bCs/>
                <w:lang w:val="fr-CH"/>
              </w:rPr>
              <w:t>-F</w:t>
            </w:r>
          </w:p>
        </w:tc>
      </w:tr>
      <w:tr w:rsidR="00520F36" w:rsidRPr="00EF3F43">
        <w:trPr>
          <w:cantSplit/>
          <w:trHeight w:val="20"/>
        </w:trPr>
        <w:tc>
          <w:tcPr>
            <w:tcW w:w="6912" w:type="dxa"/>
            <w:vMerge/>
          </w:tcPr>
          <w:p w:rsidR="00520F36" w:rsidRPr="00EF3F43"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EF3F43" w:rsidRDefault="0094675C" w:rsidP="00520F36">
            <w:pPr>
              <w:spacing w:before="0"/>
              <w:rPr>
                <w:b/>
                <w:bCs/>
                <w:lang w:val="fr-CH"/>
              </w:rPr>
            </w:pPr>
            <w:r w:rsidRPr="00EF3F43">
              <w:rPr>
                <w:b/>
                <w:bCs/>
                <w:lang w:val="fr-CH"/>
              </w:rPr>
              <w:t>14 mars</w:t>
            </w:r>
            <w:r w:rsidR="00520F36" w:rsidRPr="00EF3F43">
              <w:rPr>
                <w:b/>
                <w:bCs/>
                <w:lang w:val="fr-CH"/>
              </w:rPr>
              <w:t xml:space="preserve"> 2017</w:t>
            </w:r>
          </w:p>
        </w:tc>
      </w:tr>
      <w:tr w:rsidR="00520F36" w:rsidRPr="00EF3F43">
        <w:trPr>
          <w:cantSplit/>
          <w:trHeight w:val="20"/>
        </w:trPr>
        <w:tc>
          <w:tcPr>
            <w:tcW w:w="6912" w:type="dxa"/>
            <w:vMerge/>
          </w:tcPr>
          <w:p w:rsidR="00520F36" w:rsidRPr="00EF3F43"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EF3F43" w:rsidRDefault="00520F36" w:rsidP="00520F36">
            <w:pPr>
              <w:spacing w:before="0"/>
              <w:rPr>
                <w:b/>
                <w:bCs/>
                <w:lang w:val="fr-CH"/>
              </w:rPr>
            </w:pPr>
            <w:proofErr w:type="gramStart"/>
            <w:r w:rsidRPr="00EF3F43">
              <w:rPr>
                <w:b/>
                <w:bCs/>
                <w:lang w:val="fr-CH"/>
              </w:rPr>
              <w:t>Original:</w:t>
            </w:r>
            <w:proofErr w:type="gramEnd"/>
            <w:r w:rsidRPr="00EF3F43">
              <w:rPr>
                <w:b/>
                <w:bCs/>
                <w:lang w:val="fr-CH"/>
              </w:rPr>
              <w:t xml:space="preserve"> anglais</w:t>
            </w:r>
          </w:p>
        </w:tc>
      </w:tr>
      <w:tr w:rsidR="00520F36" w:rsidRPr="00EF3F43">
        <w:trPr>
          <w:cantSplit/>
        </w:trPr>
        <w:tc>
          <w:tcPr>
            <w:tcW w:w="10173" w:type="dxa"/>
            <w:gridSpan w:val="2"/>
          </w:tcPr>
          <w:p w:rsidR="00520F36" w:rsidRPr="00EF3F43" w:rsidRDefault="0094675C" w:rsidP="00DF74DD">
            <w:pPr>
              <w:pStyle w:val="Source"/>
              <w:rPr>
                <w:lang w:val="fr-CH"/>
              </w:rPr>
            </w:pPr>
            <w:bookmarkStart w:id="6" w:name="dsource" w:colFirst="0" w:colLast="0"/>
            <w:bookmarkEnd w:id="5"/>
            <w:r w:rsidRPr="00EF3F43">
              <w:rPr>
                <w:lang w:val="fr-CH"/>
              </w:rPr>
              <w:t>Rapport du Secrétaire général</w:t>
            </w:r>
          </w:p>
        </w:tc>
      </w:tr>
      <w:tr w:rsidR="00520F36" w:rsidRPr="00EF3F43">
        <w:trPr>
          <w:cantSplit/>
        </w:trPr>
        <w:tc>
          <w:tcPr>
            <w:tcW w:w="10173" w:type="dxa"/>
            <w:gridSpan w:val="2"/>
          </w:tcPr>
          <w:p w:rsidR="00520F36" w:rsidRPr="00EF3F43" w:rsidRDefault="0094675C" w:rsidP="00DF74DD">
            <w:pPr>
              <w:pStyle w:val="Title1"/>
              <w:rPr>
                <w:lang w:val="fr-CH"/>
              </w:rPr>
            </w:pPr>
            <w:bookmarkStart w:id="7" w:name="lt_pId012"/>
            <w:bookmarkStart w:id="8" w:name="dtitle1" w:colFirst="0" w:colLast="0"/>
            <w:bookmarkEnd w:id="6"/>
            <w:r w:rsidRPr="00EF3F43">
              <w:rPr>
                <w:color w:val="000000"/>
                <w:lang w:val="fr-CH"/>
              </w:rPr>
              <w:t>améliorer la stabilité et la prévisibilité des bases financières de l'Union</w:t>
            </w:r>
            <w:bookmarkEnd w:id="7"/>
          </w:p>
        </w:tc>
      </w:tr>
      <w:bookmarkEnd w:id="8"/>
    </w:tbl>
    <w:p w:rsidR="00520F36" w:rsidRPr="00EF3F43"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EF3F43">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EF3F43" w:rsidRDefault="00520F36">
            <w:pPr>
              <w:pStyle w:val="Headingb"/>
              <w:rPr>
                <w:lang w:val="fr-CH"/>
              </w:rPr>
            </w:pPr>
            <w:r w:rsidRPr="00EF3F43">
              <w:rPr>
                <w:lang w:val="fr-CH"/>
              </w:rPr>
              <w:t>Résumé</w:t>
            </w:r>
          </w:p>
          <w:p w:rsidR="00520F36" w:rsidRPr="00EF3F43" w:rsidRDefault="0094675C">
            <w:pPr>
              <w:rPr>
                <w:lang w:val="fr-CH"/>
              </w:rPr>
            </w:pPr>
            <w:r w:rsidRPr="00EF3F43">
              <w:rPr>
                <w:color w:val="000000"/>
                <w:lang w:val="fr-CH"/>
              </w:rPr>
              <w:t>Dans le rapport relatif à l'UIT qu'il a établi en 2016, le Corps commun d'inspection (CCI) a noté ce qui suit (Recommandation 5) "le Secrétaire général devrait élaborer un plan global pour améliorer la stabilité et la prévisibilité de la base financière de l'Union en incluant des possibilités pour augmenter les produits et des propositions de mesures d'économies et le présenter au Conseil pour approbation à sa session de 2017".</w:t>
            </w:r>
          </w:p>
          <w:p w:rsidR="00520F36" w:rsidRPr="00EF3F43" w:rsidRDefault="00520F36">
            <w:pPr>
              <w:pStyle w:val="Headingb"/>
              <w:rPr>
                <w:lang w:val="fr-CH"/>
              </w:rPr>
            </w:pPr>
            <w:r w:rsidRPr="00EF3F43">
              <w:rPr>
                <w:lang w:val="fr-CH"/>
              </w:rPr>
              <w:t>Suite à donner</w:t>
            </w:r>
          </w:p>
          <w:p w:rsidR="00520F36" w:rsidRPr="00EF3F43" w:rsidRDefault="0094675C">
            <w:pPr>
              <w:rPr>
                <w:lang w:val="fr-CH"/>
              </w:rPr>
            </w:pPr>
            <w:bookmarkStart w:id="9" w:name="lt_pId017"/>
            <w:r w:rsidRPr="00EF3F43">
              <w:rPr>
                <w:color w:val="000000"/>
                <w:lang w:val="fr-CH"/>
              </w:rPr>
              <w:t xml:space="preserve">Le Conseil est invité à </w:t>
            </w:r>
            <w:r w:rsidRPr="00436FFE">
              <w:rPr>
                <w:b/>
                <w:bCs/>
                <w:color w:val="000000"/>
                <w:lang w:val="fr-CH"/>
              </w:rPr>
              <w:t>examiner</w:t>
            </w:r>
            <w:r w:rsidRPr="00EF3F43">
              <w:rPr>
                <w:color w:val="000000"/>
                <w:lang w:val="fr-CH"/>
              </w:rPr>
              <w:t xml:space="preserve"> et à </w:t>
            </w:r>
            <w:r w:rsidRPr="00436FFE">
              <w:rPr>
                <w:b/>
                <w:bCs/>
                <w:color w:val="000000"/>
                <w:lang w:val="fr-CH"/>
              </w:rPr>
              <w:t>approuver</w:t>
            </w:r>
            <w:r w:rsidRPr="00EF3F43">
              <w:rPr>
                <w:color w:val="000000"/>
                <w:lang w:val="fr-CH"/>
              </w:rPr>
              <w:t xml:space="preserve"> le plan, afin de s'en servir comme base pour améliorer la stabilité et la prévisibilité des bases financières de l'Union, en prévoyant des possibilités d'accroître les recettes et des propositions de mesures d'économies, et à tenir compte des principes énoncés dans l'Annexe 1</w:t>
            </w:r>
            <w:bookmarkEnd w:id="9"/>
            <w:r w:rsidRPr="00EF3F43">
              <w:rPr>
                <w:color w:val="000000"/>
                <w:lang w:val="fr-CH"/>
              </w:rPr>
              <w:t>.</w:t>
            </w:r>
          </w:p>
          <w:p w:rsidR="00520F36" w:rsidRPr="00EF3F43" w:rsidRDefault="00520F36">
            <w:pPr>
              <w:pStyle w:val="Table"/>
              <w:keepNext w:val="0"/>
              <w:spacing w:before="0" w:after="0"/>
              <w:rPr>
                <w:rFonts w:ascii="Calibri" w:hAnsi="Calibri"/>
                <w:caps w:val="0"/>
                <w:sz w:val="22"/>
                <w:lang w:val="fr-CH"/>
              </w:rPr>
            </w:pPr>
            <w:r w:rsidRPr="00EF3F43">
              <w:rPr>
                <w:rFonts w:ascii="Calibri" w:hAnsi="Calibri"/>
                <w:caps w:val="0"/>
                <w:sz w:val="22"/>
                <w:lang w:val="fr-CH"/>
              </w:rPr>
              <w:t>____________</w:t>
            </w:r>
          </w:p>
          <w:p w:rsidR="00520F36" w:rsidRPr="00EF3F43" w:rsidRDefault="00520F36">
            <w:pPr>
              <w:pStyle w:val="Headingb"/>
              <w:rPr>
                <w:lang w:val="fr-CH"/>
              </w:rPr>
            </w:pPr>
            <w:r w:rsidRPr="00EF3F43">
              <w:rPr>
                <w:lang w:val="fr-CH"/>
              </w:rPr>
              <w:t>Références</w:t>
            </w:r>
          </w:p>
          <w:p w:rsidR="00520F36" w:rsidRPr="00EF3F43" w:rsidRDefault="0094675C">
            <w:pPr>
              <w:spacing w:after="120"/>
              <w:rPr>
                <w:i/>
                <w:iCs/>
                <w:lang w:val="fr-CH"/>
              </w:rPr>
            </w:pPr>
            <w:bookmarkStart w:id="10" w:name="lt_pId021"/>
            <w:r w:rsidRPr="00436FFE">
              <w:rPr>
                <w:i/>
                <w:iCs/>
                <w:lang w:val="fr-CH"/>
              </w:rPr>
              <w:t>Documents</w:t>
            </w:r>
            <w:r w:rsidRPr="00EF3F43">
              <w:rPr>
                <w:lang w:val="fr-CH"/>
              </w:rPr>
              <w:t xml:space="preserve"> </w:t>
            </w:r>
            <w:hyperlink r:id="rId9" w:history="1">
              <w:r w:rsidRPr="00EF3F43">
                <w:rPr>
                  <w:rStyle w:val="Hyperlink"/>
                  <w:i/>
                  <w:iCs/>
                  <w:lang w:val="fr-CH"/>
                </w:rPr>
                <w:t>C16/49</w:t>
              </w:r>
            </w:hyperlink>
            <w:r w:rsidRPr="00EF3F43">
              <w:rPr>
                <w:i/>
                <w:iCs/>
                <w:lang w:val="fr-CH"/>
              </w:rPr>
              <w:t xml:space="preserve"> et </w:t>
            </w:r>
            <w:hyperlink r:id="rId10" w:history="1">
              <w:r w:rsidRPr="00EF3F43">
                <w:rPr>
                  <w:rStyle w:val="Hyperlink"/>
                  <w:i/>
                  <w:iCs/>
                  <w:lang w:val="fr-CH"/>
                </w:rPr>
                <w:t>C17/50</w:t>
              </w:r>
            </w:hyperlink>
            <w:bookmarkEnd w:id="10"/>
          </w:p>
        </w:tc>
      </w:tr>
    </w:tbl>
    <w:p w:rsidR="00571EEA" w:rsidRPr="00EF3F43" w:rsidRDefault="0094675C" w:rsidP="0094675C">
      <w:pPr>
        <w:pStyle w:val="Heading1"/>
        <w:rPr>
          <w:lang w:val="fr-CH"/>
        </w:rPr>
      </w:pPr>
      <w:r w:rsidRPr="00EF3F43">
        <w:rPr>
          <w:lang w:val="fr-CH"/>
        </w:rPr>
        <w:t>1</w:t>
      </w:r>
      <w:r w:rsidRPr="00EF3F43">
        <w:rPr>
          <w:lang w:val="fr-CH"/>
        </w:rPr>
        <w:tab/>
        <w:t>Introduction</w:t>
      </w:r>
    </w:p>
    <w:p w:rsidR="0094675C" w:rsidRPr="00EF3F43" w:rsidRDefault="0094675C" w:rsidP="0094675C">
      <w:pPr>
        <w:rPr>
          <w:lang w:val="fr-CH"/>
        </w:rPr>
      </w:pPr>
      <w:bookmarkStart w:id="11" w:name="lt_pId024"/>
      <w:r w:rsidRPr="00EF3F43">
        <w:rPr>
          <w:lang w:val="fr-CH"/>
        </w:rPr>
        <w:t xml:space="preserve">Dans le rapport relatif à l'UIT qu'il a établi en 2016, le Corps commun d'inspection (CCI) a noté ce qui suit (Recommandation 5) "le Secrétaire général devrait élaborer un plan global pour améliorer la stabilité et la prévisibilité de la base financière de l'Union en incluant des possibilités pour </w:t>
      </w:r>
      <w:proofErr w:type="gramStart"/>
      <w:r w:rsidRPr="00EF3F43">
        <w:rPr>
          <w:lang w:val="fr-CH"/>
        </w:rPr>
        <w:t>augmenter</w:t>
      </w:r>
      <w:proofErr w:type="gramEnd"/>
      <w:r w:rsidRPr="00EF3F43">
        <w:rPr>
          <w:lang w:val="fr-CH"/>
        </w:rPr>
        <w:t xml:space="preserve"> les produits et des propositions de mesures d'économies et le présenter au Conseil pour approbation à sa session de 2017."</w:t>
      </w:r>
      <w:bookmarkEnd w:id="11"/>
    </w:p>
    <w:p w:rsidR="0094675C" w:rsidRPr="00EF3F43" w:rsidRDefault="0094675C" w:rsidP="00436FFE">
      <w:pPr>
        <w:rPr>
          <w:lang w:val="fr-CH"/>
        </w:rPr>
      </w:pPr>
      <w:bookmarkStart w:id="12" w:name="lt_pId025"/>
      <w:r w:rsidRPr="00EF3F43">
        <w:rPr>
          <w:lang w:val="fr-CH"/>
        </w:rPr>
        <w:t>Le CCI a formulé plusieurs suggestions connexes</w:t>
      </w:r>
      <w:r w:rsidR="0007782B" w:rsidRPr="00EF3F43">
        <w:rPr>
          <w:lang w:val="fr-CH"/>
        </w:rPr>
        <w:t>,</w:t>
      </w:r>
      <w:r w:rsidRPr="00EF3F43">
        <w:rPr>
          <w:lang w:val="fr-CH"/>
        </w:rPr>
        <w:t xml:space="preserve"> en invitant notamment le </w:t>
      </w:r>
      <w:r w:rsidR="007F08A1" w:rsidRPr="00EF3F43">
        <w:rPr>
          <w:lang w:val="fr-CH"/>
        </w:rPr>
        <w:t>Secrétariat</w:t>
      </w:r>
      <w:r w:rsidRPr="00EF3F43">
        <w:rPr>
          <w:lang w:val="fr-CH"/>
        </w:rPr>
        <w:t xml:space="preserve"> à renforcer l'établissement de rapports et en notant qu</w:t>
      </w:r>
      <w:r w:rsidR="00FD2B72" w:rsidRPr="00EF3F43">
        <w:rPr>
          <w:lang w:val="fr-CH"/>
        </w:rPr>
        <w:t>'</w:t>
      </w:r>
      <w:r w:rsidRPr="00EF3F43">
        <w:rPr>
          <w:lang w:val="fr-CH"/>
        </w:rPr>
        <w:t>une stratégie de mobilisation des ressources de l'organisation serait utile à l'UIT.</w:t>
      </w:r>
      <w:r w:rsidR="007F08A1" w:rsidRPr="00EF3F43">
        <w:rPr>
          <w:lang w:val="fr-CH"/>
        </w:rPr>
        <w:t xml:space="preserve"> </w:t>
      </w:r>
      <w:r w:rsidRPr="00EF3F43">
        <w:rPr>
          <w:lang w:val="fr-CH"/>
        </w:rPr>
        <w:t xml:space="preserve">A cette fin, le </w:t>
      </w:r>
      <w:r w:rsidR="007F08A1" w:rsidRPr="00EF3F43">
        <w:rPr>
          <w:lang w:val="fr-CH"/>
        </w:rPr>
        <w:t>Secrétariat</w:t>
      </w:r>
      <w:r w:rsidRPr="00EF3F43">
        <w:rPr>
          <w:lang w:val="fr-CH"/>
        </w:rPr>
        <w:t xml:space="preserve"> examine actuellement les méthodes d'établissement de rapports en vigueur et leur apportera des améliorations, le cas échéant, pour </w:t>
      </w:r>
      <w:r w:rsidRPr="00EF3F43">
        <w:rPr>
          <w:lang w:val="fr-CH"/>
        </w:rPr>
        <w:lastRenderedPageBreak/>
        <w:t>veiller à ce que les Etats Membres disposent d'informations détaillées et facilement accessibles sur la situation de toutes les contributions financières</w:t>
      </w:r>
      <w:bookmarkEnd w:id="12"/>
      <w:r w:rsidRPr="00EF3F43">
        <w:rPr>
          <w:lang w:val="fr-CH"/>
        </w:rPr>
        <w:t>.</w:t>
      </w:r>
    </w:p>
    <w:p w:rsidR="0094675C" w:rsidRPr="00EF3F43" w:rsidRDefault="0094675C" w:rsidP="00F6361B">
      <w:pPr>
        <w:rPr>
          <w:lang w:val="fr-CH"/>
        </w:rPr>
      </w:pPr>
      <w:bookmarkStart w:id="13" w:name="lt_pId027"/>
      <w:r w:rsidRPr="00EF3F43">
        <w:rPr>
          <w:lang w:val="fr-CH"/>
        </w:rPr>
        <w:t>Dans son rapport, le CCI soulignait que "les charges de l'UIT ont augmenté de 7,2%, passant de 608,2 millions CHF (2004-2007) à 637 millions CHF (2012-2015, estimation), mais sont restées systématiquement plus bas</w:t>
      </w:r>
      <w:r w:rsidR="00436FFE">
        <w:rPr>
          <w:lang w:val="fr-CH"/>
        </w:rPr>
        <w:t>ses que les montants budgétisés</w:t>
      </w:r>
      <w:r w:rsidRPr="00EF3F43">
        <w:rPr>
          <w:lang w:val="fr-CH"/>
        </w:rPr>
        <w:t>"</w:t>
      </w:r>
      <w:bookmarkEnd w:id="13"/>
      <w:r w:rsidRPr="00EF3F43">
        <w:rPr>
          <w:lang w:val="fr-CH"/>
        </w:rPr>
        <w:t>, et ce malgré le fait que l</w:t>
      </w:r>
      <w:r w:rsidR="00FD2B72" w:rsidRPr="00EF3F43">
        <w:rPr>
          <w:lang w:val="fr-CH"/>
        </w:rPr>
        <w:t>'</w:t>
      </w:r>
      <w:r w:rsidRPr="00EF3F43">
        <w:rPr>
          <w:lang w:val="fr-CH"/>
        </w:rPr>
        <w:t>UIT est de plus en plus sollicitée pour mener à bien d</w:t>
      </w:r>
      <w:r w:rsidR="00FD2B72" w:rsidRPr="00EF3F43">
        <w:rPr>
          <w:lang w:val="fr-CH"/>
        </w:rPr>
        <w:t>'</w:t>
      </w:r>
      <w:r w:rsidRPr="00EF3F43">
        <w:rPr>
          <w:lang w:val="fr-CH"/>
        </w:rPr>
        <w:t xml:space="preserve">autres activités </w:t>
      </w:r>
      <w:bookmarkStart w:id="14" w:name="lt_pId028"/>
      <w:r w:rsidRPr="00EF3F43">
        <w:rPr>
          <w:lang w:val="fr-CH"/>
        </w:rPr>
        <w:t>de façon à apporter un appui aux Etats Membres</w:t>
      </w:r>
      <w:bookmarkEnd w:id="14"/>
      <w:r w:rsidRPr="00EF3F43">
        <w:rPr>
          <w:lang w:val="fr-CH"/>
        </w:rPr>
        <w:t>.</w:t>
      </w:r>
      <w:r w:rsidR="007F08A1" w:rsidRPr="00EF3F43">
        <w:rPr>
          <w:lang w:val="fr-CH"/>
        </w:rPr>
        <w:t xml:space="preserve"> </w:t>
      </w:r>
      <w:r w:rsidRPr="00EF3F43">
        <w:rPr>
          <w:lang w:val="fr-CH"/>
        </w:rPr>
        <w:t xml:space="preserve">Dans son rapport, le CCI notait également </w:t>
      </w:r>
      <w:bookmarkStart w:id="15" w:name="lt_pId029"/>
      <w:r w:rsidRPr="00EF3F43">
        <w:rPr>
          <w:lang w:val="fr-CH"/>
        </w:rPr>
        <w:t xml:space="preserve">ce qui </w:t>
      </w:r>
      <w:proofErr w:type="gramStart"/>
      <w:r w:rsidRPr="00EF3F43">
        <w:rPr>
          <w:lang w:val="fr-CH"/>
        </w:rPr>
        <w:t>suit</w:t>
      </w:r>
      <w:r w:rsidR="0007782B" w:rsidRPr="00EF3F43">
        <w:rPr>
          <w:lang w:val="fr-CH"/>
        </w:rPr>
        <w:t>:</w:t>
      </w:r>
      <w:proofErr w:type="gramEnd"/>
      <w:r w:rsidRPr="00EF3F43">
        <w:rPr>
          <w:lang w:val="fr-CH"/>
        </w:rPr>
        <w:t xml:space="preserve"> "Pendant de nombreuses années, la Conférence de plénipotentiaires a souligné le besoin d'accr</w:t>
      </w:r>
      <w:r w:rsidR="00F6361B" w:rsidRPr="00EF3F43">
        <w:rPr>
          <w:lang w:val="fr-CH"/>
        </w:rPr>
        <w:t>oître les ressources de l'Union</w:t>
      </w:r>
      <w:r w:rsidRPr="00EF3F43">
        <w:rPr>
          <w:lang w:val="fr-CH"/>
        </w:rPr>
        <w:t xml:space="preserve"> … Etant donné que les plans de création de produits n'ont pas engendré de résultats suffisants, les Etats Membres se sont prononcés en faveur d'une mise en </w:t>
      </w:r>
      <w:r w:rsidR="007F08A1" w:rsidRPr="00EF3F43">
        <w:rPr>
          <w:lang w:val="fr-CH"/>
        </w:rPr>
        <w:t>oe</w:t>
      </w:r>
      <w:r w:rsidRPr="00EF3F43">
        <w:rPr>
          <w:lang w:val="fr-CH"/>
        </w:rPr>
        <w:t>uvre active de mesures d'efficacité et d'économies pour améliorer les perspectives financières de l'UIT</w:t>
      </w:r>
      <w:r w:rsidR="0007782B" w:rsidRPr="00EF3F43">
        <w:rPr>
          <w:lang w:val="fr-CH"/>
        </w:rPr>
        <w:t>"</w:t>
      </w:r>
      <w:r w:rsidRPr="00EF3F43">
        <w:rPr>
          <w:lang w:val="fr-CH"/>
        </w:rPr>
        <w:t xml:space="preserve">. On constate une baisse de </w:t>
      </w:r>
      <w:r w:rsidR="00F6361B" w:rsidRPr="00EF3F43">
        <w:rPr>
          <w:lang w:val="fr-CH"/>
        </w:rPr>
        <w:t>38,</w:t>
      </w:r>
      <w:r w:rsidRPr="00EF3F43">
        <w:rPr>
          <w:lang w:val="fr-CH"/>
        </w:rPr>
        <w:t xml:space="preserve">9 millions </w:t>
      </w:r>
      <w:r w:rsidR="00F6361B" w:rsidRPr="00EF3F43">
        <w:rPr>
          <w:lang w:val="fr-CH"/>
        </w:rPr>
        <w:t xml:space="preserve">CHF </w:t>
      </w:r>
      <w:r w:rsidRPr="00EF3F43">
        <w:rPr>
          <w:lang w:val="fr-CH"/>
        </w:rPr>
        <w:t>(5,77%) si l'on compare le montant cumulé des budgets pour la période 200</w:t>
      </w:r>
      <w:r w:rsidR="00F6361B" w:rsidRPr="00EF3F43">
        <w:rPr>
          <w:lang w:val="fr-CH"/>
        </w:rPr>
        <w:t>0</w:t>
      </w:r>
      <w:r w:rsidR="00F6361B" w:rsidRPr="00EF3F43">
        <w:rPr>
          <w:lang w:val="fr-CH"/>
        </w:rPr>
        <w:noBreakHyphen/>
      </w:r>
      <w:r w:rsidRPr="00EF3F43">
        <w:rPr>
          <w:lang w:val="fr-CH"/>
        </w:rPr>
        <w:t>2003 (674,6 millions CHF) avec les prévisions pour la période 2016-2019 (635,7 millions CHF)</w:t>
      </w:r>
      <w:bookmarkEnd w:id="15"/>
      <w:r w:rsidR="00BC1FA8" w:rsidRPr="00EF3F43">
        <w:rPr>
          <w:lang w:val="fr-CH"/>
        </w:rPr>
        <w:t>.</w:t>
      </w:r>
      <w:r w:rsidRPr="00EF3F43">
        <w:rPr>
          <w:lang w:val="fr-CH"/>
        </w:rPr>
        <w:t xml:space="preserve"> </w:t>
      </w:r>
      <w:bookmarkStart w:id="16" w:name="lt_pId031"/>
      <w:r w:rsidRPr="00EF3F43">
        <w:rPr>
          <w:lang w:val="fr-CH"/>
        </w:rPr>
        <w:t>"Les projections utilisant le taux d'inflation de l'OCDE révèlent une diminution réelle de 20% du budget, une réduction des charges de 12% et une baisse des produits de 17% entre les exercices biennaux 2004-2005 et 2014-2015."</w:t>
      </w:r>
      <w:bookmarkEnd w:id="16"/>
    </w:p>
    <w:p w:rsidR="0094675C" w:rsidRPr="00EF3F43" w:rsidRDefault="00436FFE" w:rsidP="00436FFE">
      <w:pPr>
        <w:rPr>
          <w:lang w:val="fr-CH"/>
        </w:rPr>
      </w:pPr>
      <w:bookmarkStart w:id="17" w:name="lt_pId032"/>
      <w:r>
        <w:rPr>
          <w:lang w:val="fr-CH"/>
        </w:rPr>
        <w:t>L</w:t>
      </w:r>
      <w:r w:rsidR="0094675C" w:rsidRPr="00EF3F43">
        <w:rPr>
          <w:lang w:val="fr-CH"/>
        </w:rPr>
        <w:t>e document d</w:t>
      </w:r>
      <w:r w:rsidR="00FD2B72" w:rsidRPr="00EF3F43">
        <w:rPr>
          <w:lang w:val="fr-CH"/>
        </w:rPr>
        <w:t>'</w:t>
      </w:r>
      <w:r w:rsidR="0094675C" w:rsidRPr="00EF3F43">
        <w:rPr>
          <w:lang w:val="fr-CH"/>
        </w:rPr>
        <w:t xml:space="preserve">information </w:t>
      </w:r>
      <w:hyperlink r:id="rId11" w:history="1">
        <w:r w:rsidR="0094675C" w:rsidRPr="00EF3F43">
          <w:rPr>
            <w:rStyle w:val="Hyperlink"/>
            <w:lang w:val="fr-CH"/>
          </w:rPr>
          <w:t>CWG-FHR-INF 7/1</w:t>
        </w:r>
      </w:hyperlink>
      <w:r w:rsidR="007F08A1" w:rsidRPr="00EF3F43">
        <w:rPr>
          <w:lang w:val="fr-CH"/>
        </w:rPr>
        <w:t xml:space="preserve"> </w:t>
      </w:r>
      <w:r w:rsidR="0094675C" w:rsidRPr="00EF3F43">
        <w:rPr>
          <w:lang w:val="fr-CH"/>
        </w:rPr>
        <w:t>fait le point de la situation actuelle des recettes A</w:t>
      </w:r>
      <w:bookmarkEnd w:id="17"/>
      <w:r w:rsidR="0094675C" w:rsidRPr="00EF3F43">
        <w:rPr>
          <w:lang w:val="fr-CH"/>
        </w:rPr>
        <w:t>.</w:t>
      </w:r>
    </w:p>
    <w:p w:rsidR="0094675C" w:rsidRPr="00EF3F43" w:rsidRDefault="0094675C" w:rsidP="007F08A1">
      <w:pPr>
        <w:rPr>
          <w:lang w:val="fr-CH"/>
        </w:rPr>
      </w:pPr>
      <w:bookmarkStart w:id="18" w:name="lt_pId034"/>
      <w:r w:rsidRPr="00EF3F43">
        <w:rPr>
          <w:lang w:val="fr-CH"/>
        </w:rPr>
        <w:t>Le présent document fait suite à la Recommandation 5 du CCI. Le plan présenté ci-dessous tient compte des commentaires formulés par les délégués lors de la réunion de 2017 du GTC-</w:t>
      </w:r>
      <w:r w:rsidR="007F08A1" w:rsidRPr="00EF3F43">
        <w:rPr>
          <w:lang w:val="fr-CH"/>
        </w:rPr>
        <w:t>FHR</w:t>
      </w:r>
      <w:r w:rsidRPr="00EF3F43">
        <w:rPr>
          <w:lang w:val="fr-CH"/>
        </w:rPr>
        <w:t>.</w:t>
      </w:r>
      <w:r w:rsidR="00F6361B" w:rsidRPr="00EF3F43">
        <w:rPr>
          <w:lang w:val="fr-CH"/>
        </w:rPr>
        <w:t xml:space="preserve"> </w:t>
      </w:r>
      <w:r w:rsidRPr="00EF3F43">
        <w:rPr>
          <w:lang w:val="fr-CH"/>
        </w:rPr>
        <w:t>Ce plan sera défini plus en détail, mis à jour et amélioré compte tenu des données d'expérience et des commentaires communiqués par les Etats Membres.</w:t>
      </w:r>
      <w:bookmarkEnd w:id="18"/>
      <w:r w:rsidRPr="00EF3F43">
        <w:rPr>
          <w:lang w:val="fr-CH"/>
        </w:rPr>
        <w:t xml:space="preserve"> Les aspects suivants sont traités dans ce </w:t>
      </w:r>
      <w:proofErr w:type="gramStart"/>
      <w:r w:rsidRPr="00EF3F43">
        <w:rPr>
          <w:lang w:val="fr-CH"/>
        </w:rPr>
        <w:t>plan:</w:t>
      </w:r>
      <w:proofErr w:type="gramEnd"/>
      <w:r w:rsidRPr="00EF3F43">
        <w:rPr>
          <w:lang w:val="fr-CH"/>
        </w:rPr>
        <w:t xml:space="preserve"> stratégie de mobilisation de ressources, lignes directrices relatives au parrainage, création de recettes et économies et diversification de l'appui financier.</w:t>
      </w:r>
    </w:p>
    <w:p w:rsidR="0094675C" w:rsidRPr="00EF3F43" w:rsidRDefault="0094675C" w:rsidP="0094675C">
      <w:pPr>
        <w:pStyle w:val="Heading1"/>
        <w:rPr>
          <w:lang w:val="fr-CH"/>
        </w:rPr>
      </w:pPr>
      <w:r w:rsidRPr="00EF3F43">
        <w:rPr>
          <w:lang w:val="fr-CH"/>
        </w:rPr>
        <w:t>2</w:t>
      </w:r>
      <w:r w:rsidRPr="00EF3F43">
        <w:rPr>
          <w:lang w:val="fr-CH"/>
        </w:rPr>
        <w:tab/>
      </w:r>
      <w:r w:rsidRPr="00EF3F43">
        <w:rPr>
          <w:rFonts w:cs="Arial"/>
          <w:lang w:val="fr-CH"/>
        </w:rPr>
        <w:t>Stratégie de mobilisation des ressources</w:t>
      </w:r>
    </w:p>
    <w:p w:rsidR="0094675C" w:rsidRPr="00EF3F43" w:rsidRDefault="0094675C" w:rsidP="0007782B">
      <w:pPr>
        <w:rPr>
          <w:lang w:val="fr-CH"/>
        </w:rPr>
      </w:pPr>
      <w:r w:rsidRPr="00EF3F43">
        <w:rPr>
          <w:rFonts w:cs="Arial"/>
          <w:lang w:val="fr-CH"/>
        </w:rPr>
        <w:t>Afin de progresser dans la définition d</w:t>
      </w:r>
      <w:r w:rsidR="00FD2B72" w:rsidRPr="00EF3F43">
        <w:rPr>
          <w:rFonts w:cs="Arial"/>
          <w:lang w:val="fr-CH"/>
        </w:rPr>
        <w:t>'</w:t>
      </w:r>
      <w:r w:rsidRPr="00EF3F43">
        <w:rPr>
          <w:rFonts w:cs="Arial"/>
          <w:lang w:val="fr-CH"/>
        </w:rPr>
        <w:t>une stratégie de mobilisation des ressources de l</w:t>
      </w:r>
      <w:r w:rsidR="00FD2B72" w:rsidRPr="00EF3F43">
        <w:rPr>
          <w:rFonts w:cs="Arial"/>
          <w:lang w:val="fr-CH"/>
        </w:rPr>
        <w:t>'</w:t>
      </w:r>
      <w:r w:rsidRPr="00EF3F43">
        <w:rPr>
          <w:rFonts w:cs="Arial"/>
          <w:lang w:val="fr-CH"/>
        </w:rPr>
        <w:t>organisation, le Conseil est invité à examiner les principes énoncés dans l</w:t>
      </w:r>
      <w:r w:rsidR="00FD2B72" w:rsidRPr="00EF3F43">
        <w:rPr>
          <w:rFonts w:cs="Arial"/>
          <w:lang w:val="fr-CH"/>
        </w:rPr>
        <w:t>'</w:t>
      </w:r>
      <w:hyperlink w:anchor="Annex1" w:history="1">
        <w:r w:rsidR="0007782B" w:rsidRPr="00EF3F43">
          <w:rPr>
            <w:rStyle w:val="Hyperlink"/>
            <w:rFonts w:asciiTheme="minorHAnsi" w:hAnsiTheme="minorHAnsi" w:cstheme="majorBidi"/>
            <w:szCs w:val="24"/>
            <w:lang w:val="fr-CH"/>
          </w:rPr>
          <w:t>Annexe 1</w:t>
        </w:r>
      </w:hyperlink>
      <w:r w:rsidRPr="00EF3F43">
        <w:rPr>
          <w:rFonts w:cs="Arial"/>
          <w:lang w:val="fr-CH"/>
        </w:rPr>
        <w:t>.</w:t>
      </w:r>
    </w:p>
    <w:p w:rsidR="0094675C" w:rsidRPr="00EF3F43" w:rsidRDefault="0094675C" w:rsidP="0094675C">
      <w:pPr>
        <w:pStyle w:val="Heading1"/>
        <w:rPr>
          <w:lang w:val="fr-CH"/>
        </w:rPr>
      </w:pPr>
      <w:r w:rsidRPr="00EF3F43">
        <w:rPr>
          <w:lang w:val="fr-CH"/>
        </w:rPr>
        <w:t>3</w:t>
      </w:r>
      <w:r w:rsidRPr="00EF3F43">
        <w:rPr>
          <w:lang w:val="fr-CH"/>
        </w:rPr>
        <w:tab/>
      </w:r>
      <w:r w:rsidRPr="00EF3F43">
        <w:rPr>
          <w:rFonts w:cs="Arial"/>
          <w:lang w:val="fr-CH"/>
        </w:rPr>
        <w:t>Lignes directrices relatives au parrainage</w:t>
      </w:r>
    </w:p>
    <w:p w:rsidR="0094675C" w:rsidRPr="00EF3F43" w:rsidRDefault="0094675C" w:rsidP="0094675C">
      <w:pPr>
        <w:rPr>
          <w:lang w:val="fr-CH"/>
        </w:rPr>
      </w:pPr>
      <w:r w:rsidRPr="00EF3F43">
        <w:rPr>
          <w:rFonts w:cs="Arial"/>
          <w:lang w:val="fr-CH"/>
        </w:rPr>
        <w:t>En raison de la réduction des ressources au titre du budget ordinaire, l</w:t>
      </w:r>
      <w:r w:rsidR="00FD2B72" w:rsidRPr="00EF3F43">
        <w:rPr>
          <w:rFonts w:cs="Arial"/>
          <w:lang w:val="fr-CH"/>
        </w:rPr>
        <w:t>'</w:t>
      </w:r>
      <w:r w:rsidRPr="00EF3F43">
        <w:rPr>
          <w:rFonts w:cs="Arial"/>
          <w:lang w:val="fr-CH"/>
        </w:rPr>
        <w:t>UIT s</w:t>
      </w:r>
      <w:r w:rsidR="00FD2B72" w:rsidRPr="00EF3F43">
        <w:rPr>
          <w:rFonts w:cs="Arial"/>
          <w:lang w:val="fr-CH"/>
        </w:rPr>
        <w:t>'</w:t>
      </w:r>
      <w:r w:rsidRPr="00EF3F43">
        <w:rPr>
          <w:rFonts w:cs="Arial"/>
          <w:lang w:val="fr-CH"/>
        </w:rPr>
        <w:t>efforce de plus en plus de mobiliser des fonds pour les activités liées aux manifestations dans le cadre de parrainages</w:t>
      </w:r>
      <w:r w:rsidR="00F6361B" w:rsidRPr="00EF3F43">
        <w:rPr>
          <w:rFonts w:cs="Arial"/>
          <w:lang w:val="fr-CH"/>
        </w:rPr>
        <w:t>.</w:t>
      </w:r>
      <w:r w:rsidRPr="00EF3F43">
        <w:rPr>
          <w:rFonts w:cs="Arial"/>
          <w:lang w:val="fr-CH"/>
        </w:rPr>
        <w:t xml:space="preserve"> Si les parrainages permettent à l</w:t>
      </w:r>
      <w:r w:rsidR="00FD2B72" w:rsidRPr="00EF3F43">
        <w:rPr>
          <w:rFonts w:cs="Arial"/>
          <w:lang w:val="fr-CH"/>
        </w:rPr>
        <w:t>'</w:t>
      </w:r>
      <w:r w:rsidRPr="00EF3F43">
        <w:rPr>
          <w:rFonts w:cs="Arial"/>
          <w:lang w:val="fr-CH"/>
        </w:rPr>
        <w:t>UIT d</w:t>
      </w:r>
      <w:r w:rsidR="00FD2B72" w:rsidRPr="00EF3F43">
        <w:rPr>
          <w:rFonts w:cs="Arial"/>
          <w:lang w:val="fr-CH"/>
        </w:rPr>
        <w:t>'</w:t>
      </w:r>
      <w:r w:rsidRPr="00EF3F43">
        <w:rPr>
          <w:rFonts w:cs="Arial"/>
          <w:lang w:val="fr-CH"/>
        </w:rPr>
        <w:t>obtenir de ressources</w:t>
      </w:r>
      <w:r w:rsidR="0007782B" w:rsidRPr="00EF3F43">
        <w:rPr>
          <w:rFonts w:cs="Arial"/>
          <w:lang w:val="fr-CH"/>
        </w:rPr>
        <w:t>,</w:t>
      </w:r>
      <w:r w:rsidRPr="00EF3F43">
        <w:rPr>
          <w:rFonts w:cs="Arial"/>
          <w:lang w:val="fr-CH"/>
        </w:rPr>
        <w:t xml:space="preserve"> ils ne sont pas sans risques. On trouvera </w:t>
      </w:r>
      <w:hyperlink r:id="rId12" w:history="1">
        <w:r w:rsidRPr="00EF3F43">
          <w:rPr>
            <w:rStyle w:val="Hyperlink"/>
            <w:rFonts w:cs="Arial"/>
            <w:lang w:val="fr-CH"/>
          </w:rPr>
          <w:t>ici</w:t>
        </w:r>
      </w:hyperlink>
      <w:r w:rsidRPr="00EF3F43">
        <w:rPr>
          <w:rFonts w:cs="Arial"/>
          <w:lang w:val="fr-CH"/>
        </w:rPr>
        <w:t xml:space="preserve"> des lignes directrices relatives au parrainage pour remédier aux risques potentiels, tout en tirant le plus grand parti possible des avantages découlant de nouvelles possibilités de parrainage. Le Conseil est invité à prendre note de ces lignes directrices et à faire part de ses commentaires sur ce sujet</w:t>
      </w:r>
      <w:r w:rsidR="0007782B" w:rsidRPr="00EF3F43">
        <w:rPr>
          <w:rFonts w:cs="Arial"/>
          <w:lang w:val="fr-CH"/>
        </w:rPr>
        <w:t>.</w:t>
      </w:r>
    </w:p>
    <w:p w:rsidR="0094675C" w:rsidRPr="00EF3F43" w:rsidRDefault="0094675C" w:rsidP="0094675C">
      <w:pPr>
        <w:pStyle w:val="Heading1"/>
        <w:rPr>
          <w:lang w:val="fr-CH"/>
        </w:rPr>
      </w:pPr>
      <w:r w:rsidRPr="00EF3F43">
        <w:rPr>
          <w:lang w:val="fr-CH"/>
        </w:rPr>
        <w:t>4</w:t>
      </w:r>
      <w:r w:rsidRPr="00EF3F43">
        <w:rPr>
          <w:lang w:val="fr-CH"/>
        </w:rPr>
        <w:tab/>
      </w:r>
      <w:r w:rsidRPr="00EF3F43">
        <w:rPr>
          <w:rFonts w:cs="Arial"/>
          <w:lang w:val="fr-CH"/>
        </w:rPr>
        <w:t>Générer des recettes et réaliser des économies pour renforcer le budget ordinaire de l</w:t>
      </w:r>
      <w:r w:rsidR="00FD2B72" w:rsidRPr="00EF3F43">
        <w:rPr>
          <w:rFonts w:cs="Arial"/>
          <w:lang w:val="fr-CH"/>
        </w:rPr>
        <w:t>'</w:t>
      </w:r>
      <w:r w:rsidRPr="00EF3F43">
        <w:rPr>
          <w:rFonts w:cs="Arial"/>
          <w:lang w:val="fr-CH"/>
        </w:rPr>
        <w:t>UIT</w:t>
      </w:r>
    </w:p>
    <w:p w:rsidR="0094675C" w:rsidRPr="00EF3F43" w:rsidRDefault="0094675C" w:rsidP="00BC1FA8">
      <w:pPr>
        <w:rPr>
          <w:lang w:val="fr-CH"/>
        </w:rPr>
      </w:pPr>
      <w:bookmarkStart w:id="19" w:name="lt_pId053"/>
      <w:r w:rsidRPr="00EF3F43">
        <w:rPr>
          <w:color w:val="000000"/>
          <w:lang w:val="fr-CH"/>
        </w:rPr>
        <w:t>Le Secrétaire général a été chargé par la PP-14 (Résolution. 158 (Rév. Busan, 2014)) d'étudier et de recommander au Conseil, par l'intermédiaire du GTC-FHR, des options permettant de dégager des recettes</w:t>
      </w:r>
      <w:r w:rsidRPr="00EF3F43">
        <w:rPr>
          <w:iCs/>
          <w:lang w:val="fr-CH"/>
        </w:rPr>
        <w:t>.</w:t>
      </w:r>
      <w:bookmarkEnd w:id="19"/>
      <w:r w:rsidRPr="00EF3F43">
        <w:rPr>
          <w:iCs/>
          <w:lang w:val="fr-CH"/>
        </w:rPr>
        <w:t xml:space="preserve"> </w:t>
      </w:r>
      <w:bookmarkStart w:id="20" w:name="lt_pId054"/>
      <w:r w:rsidRPr="00EF3F43">
        <w:rPr>
          <w:iCs/>
          <w:lang w:val="fr-CH"/>
        </w:rPr>
        <w:t xml:space="preserve">La direction de l'UIT a créé un groupe interne, </w:t>
      </w:r>
      <w:r w:rsidRPr="00EF3F43">
        <w:rPr>
          <w:lang w:val="fr-CH"/>
        </w:rPr>
        <w:t xml:space="preserve">présidé par le Vice-Secrétaire général, et </w:t>
      </w:r>
      <w:r w:rsidRPr="00EF3F43">
        <w:rPr>
          <w:lang w:val="fr-CH"/>
        </w:rPr>
        <w:lastRenderedPageBreak/>
        <w:t>l</w:t>
      </w:r>
      <w:r w:rsidR="00FD2B72" w:rsidRPr="00EF3F43">
        <w:rPr>
          <w:lang w:val="fr-CH"/>
        </w:rPr>
        <w:t>'</w:t>
      </w:r>
      <w:r w:rsidRPr="00EF3F43">
        <w:rPr>
          <w:lang w:val="fr-CH"/>
        </w:rPr>
        <w:t xml:space="preserve">a chargé d'étudier cette question et de formuler des propositions. Ces propositions figurent </w:t>
      </w:r>
      <w:r w:rsidRPr="00EF3F43">
        <w:rPr>
          <w:color w:val="000000"/>
          <w:lang w:val="fr-CH"/>
        </w:rPr>
        <w:t>dans l'</w:t>
      </w:r>
      <w:hyperlink w:anchor="Annex2" w:history="1">
        <w:r w:rsidRPr="00EF3F43">
          <w:rPr>
            <w:rStyle w:val="Hyperlink"/>
            <w:lang w:val="fr-CH"/>
          </w:rPr>
          <w:t>Annexe 2</w:t>
        </w:r>
      </w:hyperlink>
      <w:r w:rsidRPr="00EF3F43">
        <w:rPr>
          <w:color w:val="000000"/>
          <w:lang w:val="fr-CH"/>
        </w:rPr>
        <w:t xml:space="preserve">. Ce groupe a également mis en évidence les économies qui pourraient être réalisées compte tenu de chacun des éléments énumérés dans l'Annexe 2 de la Décision 5 de la PP-14. </w:t>
      </w:r>
      <w:bookmarkStart w:id="21" w:name="lt_pId057"/>
      <w:bookmarkEnd w:id="20"/>
      <w:r w:rsidRPr="00EF3F43">
        <w:rPr>
          <w:color w:val="000000"/>
          <w:lang w:val="fr-CH"/>
        </w:rPr>
        <w:t>Grâce à ces efforts</w:t>
      </w:r>
      <w:r w:rsidR="0007782B" w:rsidRPr="00EF3F43">
        <w:rPr>
          <w:color w:val="000000"/>
          <w:lang w:val="fr-CH"/>
        </w:rPr>
        <w:t>,</w:t>
      </w:r>
      <w:r w:rsidRPr="00EF3F43">
        <w:rPr>
          <w:color w:val="000000"/>
          <w:lang w:val="fr-CH"/>
        </w:rPr>
        <w:t xml:space="preserve"> le budget pour l'exercice 2016-2017 est équilibré. Un document distinct </w:t>
      </w:r>
      <w:r w:rsidRPr="00EF3F43">
        <w:rPr>
          <w:rFonts w:asciiTheme="minorHAnsi" w:hAnsiTheme="minorHAnsi" w:cstheme="majorBidi"/>
          <w:szCs w:val="24"/>
          <w:lang w:val="fr-CH"/>
        </w:rPr>
        <w:t>[</w:t>
      </w:r>
      <w:hyperlink r:id="rId13" w:history="1">
        <w:r w:rsidR="00F6361B" w:rsidRPr="00EF3F43">
          <w:rPr>
            <w:rStyle w:val="Hyperlink"/>
            <w:rFonts w:asciiTheme="minorHAnsi" w:hAnsiTheme="minorHAnsi" w:cstheme="majorBidi"/>
            <w:szCs w:val="24"/>
            <w:lang w:val="fr-CH"/>
          </w:rPr>
          <w:t>CWG</w:t>
        </w:r>
        <w:r w:rsidR="00F6361B" w:rsidRPr="00EF3F43">
          <w:rPr>
            <w:rStyle w:val="Hyperlink"/>
            <w:rFonts w:asciiTheme="minorHAnsi" w:hAnsiTheme="minorHAnsi" w:cstheme="majorBidi"/>
            <w:szCs w:val="24"/>
            <w:lang w:val="fr-CH"/>
          </w:rPr>
          <w:noBreakHyphen/>
        </w:r>
        <w:r w:rsidRPr="00EF3F43">
          <w:rPr>
            <w:rStyle w:val="Hyperlink"/>
            <w:rFonts w:asciiTheme="minorHAnsi" w:hAnsiTheme="minorHAnsi" w:cstheme="majorBidi"/>
            <w:szCs w:val="24"/>
            <w:lang w:val="fr-CH"/>
          </w:rPr>
          <w:t>FHR 7/5</w:t>
        </w:r>
      </w:hyperlink>
      <w:r w:rsidRPr="00EF3F43">
        <w:rPr>
          <w:rFonts w:asciiTheme="minorHAnsi" w:hAnsiTheme="minorHAnsi" w:cstheme="majorBidi"/>
          <w:szCs w:val="24"/>
          <w:lang w:val="fr-CH"/>
        </w:rPr>
        <w:t xml:space="preserve">] </w:t>
      </w:r>
      <w:r w:rsidRPr="00EF3F43">
        <w:rPr>
          <w:color w:val="000000"/>
          <w:lang w:val="fr-CH"/>
        </w:rPr>
        <w:t>énumère les mesures d</w:t>
      </w:r>
      <w:r w:rsidR="00FD2B72" w:rsidRPr="00EF3F43">
        <w:rPr>
          <w:color w:val="000000"/>
          <w:lang w:val="fr-CH"/>
        </w:rPr>
        <w:t>'</w:t>
      </w:r>
      <w:r w:rsidRPr="00EF3F43">
        <w:rPr>
          <w:color w:val="000000"/>
          <w:lang w:val="fr-CH"/>
        </w:rPr>
        <w:t xml:space="preserve">économie </w:t>
      </w:r>
      <w:bookmarkEnd w:id="21"/>
      <w:r w:rsidR="00BC1FA8" w:rsidRPr="00EF3F43">
        <w:rPr>
          <w:color w:val="000000"/>
          <w:lang w:val="fr-CH"/>
        </w:rPr>
        <w:t xml:space="preserve">prises. </w:t>
      </w:r>
      <w:r w:rsidRPr="00EF3F43">
        <w:rPr>
          <w:rFonts w:asciiTheme="minorHAnsi" w:hAnsiTheme="minorHAnsi" w:cstheme="majorBidi"/>
          <w:szCs w:val="24"/>
          <w:lang w:val="fr-CH"/>
        </w:rPr>
        <w:t xml:space="preserve">Les principales </w:t>
      </w:r>
      <w:bookmarkStart w:id="22" w:name="lt_pId059"/>
      <w:r w:rsidRPr="00EF3F43">
        <w:rPr>
          <w:color w:val="000000"/>
          <w:lang w:val="fr-CH"/>
        </w:rPr>
        <w:t xml:space="preserve">sources d'économies potentielles sont les </w:t>
      </w:r>
      <w:proofErr w:type="gramStart"/>
      <w:r w:rsidRPr="00EF3F43">
        <w:rPr>
          <w:color w:val="000000"/>
          <w:lang w:val="fr-CH"/>
        </w:rPr>
        <w:t>suivantes</w:t>
      </w:r>
      <w:r w:rsidR="0007782B" w:rsidRPr="00EF3F43">
        <w:rPr>
          <w:color w:val="000000"/>
          <w:lang w:val="fr-CH"/>
        </w:rPr>
        <w:t>:</w:t>
      </w:r>
      <w:proofErr w:type="gramEnd"/>
      <w:r w:rsidRPr="00EF3F43">
        <w:rPr>
          <w:rFonts w:asciiTheme="minorHAnsi" w:hAnsiTheme="minorHAnsi" w:cstheme="majorBidi"/>
          <w:szCs w:val="24"/>
          <w:lang w:val="fr-CH"/>
        </w:rPr>
        <w:t xml:space="preserve"> </w:t>
      </w:r>
      <w:r w:rsidRPr="00EF3F43">
        <w:rPr>
          <w:color w:val="000000"/>
          <w:lang w:val="fr-CH"/>
        </w:rPr>
        <w:t>possibilité de centraliser les tâches administratives, c'est-à-dire finances, ressources humaines et enregistrement, tenue en parallèle de manifestations;</w:t>
      </w:r>
      <w:r w:rsidRPr="00EF3F43">
        <w:rPr>
          <w:rFonts w:asciiTheme="minorHAnsi" w:hAnsiTheme="minorHAnsi" w:cstheme="majorBidi"/>
          <w:szCs w:val="24"/>
          <w:lang w:val="fr-CH"/>
        </w:rPr>
        <w:t xml:space="preserve"> </w:t>
      </w:r>
      <w:r w:rsidRPr="00EF3F43">
        <w:rPr>
          <w:color w:val="000000"/>
          <w:lang w:val="fr-CH"/>
        </w:rPr>
        <w:t>environnement de travail sans papier à l'UIT</w:t>
      </w:r>
      <w:r w:rsidRPr="00EF3F43">
        <w:rPr>
          <w:rFonts w:asciiTheme="minorHAnsi" w:hAnsiTheme="minorHAnsi" w:cstheme="majorBidi"/>
          <w:szCs w:val="24"/>
          <w:lang w:val="fr-CH"/>
        </w:rPr>
        <w:t xml:space="preserve"> </w:t>
      </w:r>
      <w:r w:rsidRPr="00EF3F43">
        <w:rPr>
          <w:color w:val="000000"/>
          <w:lang w:val="fr-CH"/>
        </w:rPr>
        <w:t>et poursuite de la réduction du nombre d'emplois permanents.</w:t>
      </w:r>
      <w:bookmarkEnd w:id="22"/>
    </w:p>
    <w:p w:rsidR="0094675C" w:rsidRPr="00EF3F43" w:rsidRDefault="0094675C" w:rsidP="0094675C">
      <w:pPr>
        <w:pStyle w:val="Heading1"/>
        <w:rPr>
          <w:rFonts w:cs="Arial"/>
          <w:lang w:val="fr-CH"/>
        </w:rPr>
      </w:pPr>
      <w:r w:rsidRPr="00EF3F43">
        <w:rPr>
          <w:lang w:val="fr-CH"/>
        </w:rPr>
        <w:t>5</w:t>
      </w:r>
      <w:r w:rsidRPr="00EF3F43">
        <w:rPr>
          <w:lang w:val="fr-CH"/>
        </w:rPr>
        <w:tab/>
      </w:r>
      <w:r w:rsidRPr="00EF3F43">
        <w:rPr>
          <w:rFonts w:cs="Arial"/>
          <w:lang w:val="fr-CH"/>
        </w:rPr>
        <w:t>Diversification de l</w:t>
      </w:r>
      <w:r w:rsidR="00FD2B72" w:rsidRPr="00EF3F43">
        <w:rPr>
          <w:rFonts w:cs="Arial"/>
          <w:lang w:val="fr-CH"/>
        </w:rPr>
        <w:t>'</w:t>
      </w:r>
      <w:r w:rsidRPr="00EF3F43">
        <w:rPr>
          <w:rFonts w:cs="Arial"/>
          <w:lang w:val="fr-CH"/>
        </w:rPr>
        <w:t>appui financier</w:t>
      </w:r>
    </w:p>
    <w:p w:rsidR="0094675C" w:rsidRPr="00EF3F43" w:rsidRDefault="0094675C" w:rsidP="0007782B">
      <w:pPr>
        <w:rPr>
          <w:color w:val="000000"/>
          <w:lang w:val="fr-CH"/>
        </w:rPr>
      </w:pPr>
      <w:r w:rsidRPr="00EF3F43">
        <w:rPr>
          <w:rFonts w:cs="Arial"/>
          <w:lang w:val="fr-CH"/>
        </w:rPr>
        <w:t>Le rôle de plus en plus important que jouent les grandes fondations constitue l</w:t>
      </w:r>
      <w:r w:rsidR="00FD2B72" w:rsidRPr="00EF3F43">
        <w:rPr>
          <w:rFonts w:cs="Arial"/>
          <w:lang w:val="fr-CH"/>
        </w:rPr>
        <w:t>'</w:t>
      </w:r>
      <w:r w:rsidRPr="00EF3F43">
        <w:rPr>
          <w:rFonts w:cs="Arial"/>
          <w:lang w:val="fr-CH"/>
        </w:rPr>
        <w:t>une des évolutions majeures qu</w:t>
      </w:r>
      <w:r w:rsidR="00FD2B72" w:rsidRPr="00EF3F43">
        <w:rPr>
          <w:rFonts w:cs="Arial"/>
          <w:lang w:val="fr-CH"/>
        </w:rPr>
        <w:t>'</w:t>
      </w:r>
      <w:r w:rsidRPr="00EF3F43">
        <w:rPr>
          <w:rFonts w:cs="Arial"/>
          <w:lang w:val="fr-CH"/>
        </w:rPr>
        <w:t xml:space="preserve">a </w:t>
      </w:r>
      <w:r w:rsidR="00BC1FA8" w:rsidRPr="00EF3F43">
        <w:rPr>
          <w:rFonts w:cs="Arial"/>
          <w:lang w:val="fr-CH"/>
        </w:rPr>
        <w:t>connues</w:t>
      </w:r>
      <w:r w:rsidRPr="00EF3F43">
        <w:rPr>
          <w:rFonts w:cs="Arial"/>
          <w:lang w:val="fr-CH"/>
        </w:rPr>
        <w:t xml:space="preserve"> l</w:t>
      </w:r>
      <w:r w:rsidR="00FD2B72" w:rsidRPr="00EF3F43">
        <w:rPr>
          <w:rFonts w:cs="Arial"/>
          <w:lang w:val="fr-CH"/>
        </w:rPr>
        <w:t>'</w:t>
      </w:r>
      <w:r w:rsidRPr="00EF3F43">
        <w:rPr>
          <w:rFonts w:cs="Arial"/>
          <w:lang w:val="fr-CH"/>
        </w:rPr>
        <w:t>environnement international de la collecte de fonds ces dernières années. La contribution de 2 millions CHF apportée par la Fondation Gates pour soutenir les travaux de l</w:t>
      </w:r>
      <w:r w:rsidR="00FD2B72" w:rsidRPr="00EF3F43">
        <w:rPr>
          <w:rFonts w:cs="Arial"/>
          <w:lang w:val="fr-CH"/>
        </w:rPr>
        <w:t>'</w:t>
      </w:r>
      <w:r w:rsidRPr="00EF3F43">
        <w:rPr>
          <w:rFonts w:cs="Arial"/>
          <w:lang w:val="fr-CH"/>
        </w:rPr>
        <w:t>UIT sur les services financiers numériques est un succès qu</w:t>
      </w:r>
      <w:r w:rsidR="00FD2B72" w:rsidRPr="00EF3F43">
        <w:rPr>
          <w:rFonts w:cs="Arial"/>
          <w:lang w:val="fr-CH"/>
        </w:rPr>
        <w:t>'</w:t>
      </w:r>
      <w:r w:rsidRPr="00EF3F43">
        <w:rPr>
          <w:rFonts w:cs="Arial"/>
          <w:lang w:val="fr-CH"/>
        </w:rPr>
        <w:t xml:space="preserve">il faut mettre à profit. Bien souvent, les fondations </w:t>
      </w:r>
      <w:r w:rsidR="00BC1FA8" w:rsidRPr="00EF3F43">
        <w:rPr>
          <w:rFonts w:cs="Arial"/>
          <w:lang w:val="fr-CH"/>
        </w:rPr>
        <w:t>(et</w:t>
      </w:r>
      <w:r w:rsidRPr="00EF3F43">
        <w:rPr>
          <w:rFonts w:cs="Arial"/>
          <w:lang w:val="fr-CH"/>
        </w:rPr>
        <w:t xml:space="preserve"> les sociétés) préfèrent fournir leurs contributions à une entité ayant un statut d'organisme caritatif reconnu. Tel est le cas des Etats-Unis, qui comptent un très grand nombre de </w:t>
      </w:r>
      <w:bookmarkStart w:id="23" w:name="lt_pId069"/>
      <w:r w:rsidR="00BC1FA8" w:rsidRPr="00EF3F43">
        <w:rPr>
          <w:rFonts w:cs="Arial"/>
          <w:lang w:val="fr-CH"/>
        </w:rPr>
        <w:t>fondations</w:t>
      </w:r>
      <w:r w:rsidR="00BC1FA8" w:rsidRPr="00EF3F43">
        <w:rPr>
          <w:rFonts w:asciiTheme="minorHAnsi" w:hAnsiTheme="minorHAnsi" w:cstheme="majorBidi"/>
          <w:b/>
          <w:bCs/>
          <w:szCs w:val="24"/>
          <w:lang w:val="fr-CH"/>
        </w:rPr>
        <w:t xml:space="preserve">. </w:t>
      </w:r>
      <w:r w:rsidRPr="00EF3F43">
        <w:rPr>
          <w:color w:val="000000"/>
          <w:lang w:val="fr-CH"/>
        </w:rPr>
        <w:t xml:space="preserve">Afin de diversifier les sources de financement, le Secrétariat étudie la possibilité de nouer un partenariat avec une entité </w:t>
      </w:r>
      <w:r w:rsidRPr="00EF3F43">
        <w:rPr>
          <w:rFonts w:cs="Arial"/>
          <w:lang w:val="fr-CH"/>
        </w:rPr>
        <w:t xml:space="preserve">ayant déjà un statut d'organisme caritatif </w:t>
      </w:r>
      <w:r w:rsidRPr="00EF3F43">
        <w:rPr>
          <w:color w:val="000000"/>
          <w:lang w:val="fr-CH"/>
        </w:rPr>
        <w:t>aux Etats-Unis</w:t>
      </w:r>
      <w:r w:rsidR="0007782B" w:rsidRPr="00EF3F43">
        <w:rPr>
          <w:color w:val="000000"/>
          <w:lang w:val="fr-CH"/>
        </w:rPr>
        <w:t>,</w:t>
      </w:r>
      <w:r w:rsidRPr="00EF3F43">
        <w:rPr>
          <w:color w:val="000000"/>
          <w:lang w:val="fr-CH"/>
        </w:rPr>
        <w:t xml:space="preserve"> dans le but d'inciter des fondations et des sociétés établies aux Etats-Unis à soutenir des projets et initiatives de l'UIT.</w:t>
      </w:r>
      <w:r w:rsidRPr="00EF3F43">
        <w:rPr>
          <w:rFonts w:asciiTheme="minorHAnsi" w:hAnsiTheme="minorHAnsi" w:cstheme="majorBidi"/>
          <w:color w:val="000000" w:themeColor="text1"/>
          <w:szCs w:val="24"/>
          <w:lang w:val="fr-CH"/>
        </w:rPr>
        <w:t xml:space="preserve"> </w:t>
      </w:r>
      <w:bookmarkStart w:id="24" w:name="lt_pId070"/>
      <w:bookmarkEnd w:id="23"/>
      <w:r w:rsidRPr="00EF3F43">
        <w:rPr>
          <w:color w:val="000000"/>
          <w:lang w:val="fr-CH"/>
        </w:rPr>
        <w:t xml:space="preserve">Si ce projet aboutit, l'UIT pourrait éventuellement créer sa propre entité/son propre fonds spécial ayant </w:t>
      </w:r>
      <w:r w:rsidRPr="00EF3F43">
        <w:rPr>
          <w:rFonts w:cs="Arial"/>
          <w:lang w:val="fr-CH"/>
        </w:rPr>
        <w:t>un statut d'organisme caritatif</w:t>
      </w:r>
      <w:r w:rsidRPr="00EF3F43">
        <w:rPr>
          <w:color w:val="000000"/>
          <w:lang w:val="fr-CH"/>
        </w:rPr>
        <w:t xml:space="preserve"> aux Etats-Unis, comme l'ont déjà fait l'UNICEF et d</w:t>
      </w:r>
      <w:r w:rsidR="00FD2B72" w:rsidRPr="00EF3F43">
        <w:rPr>
          <w:color w:val="000000"/>
          <w:lang w:val="fr-CH"/>
        </w:rPr>
        <w:t>'</w:t>
      </w:r>
      <w:r w:rsidRPr="00EF3F43">
        <w:rPr>
          <w:color w:val="000000"/>
          <w:lang w:val="fr-CH"/>
        </w:rPr>
        <w:t>autres institutions du système des Nations Unies</w:t>
      </w:r>
      <w:r w:rsidR="00F6361B" w:rsidRPr="00EF3F43">
        <w:rPr>
          <w:color w:val="000000"/>
          <w:lang w:val="fr-CH"/>
        </w:rPr>
        <w:t>.</w:t>
      </w:r>
      <w:r w:rsidRPr="00EF3F43">
        <w:rPr>
          <w:color w:val="000000"/>
          <w:lang w:val="fr-CH"/>
        </w:rPr>
        <w:t xml:space="preserve"> Cette approche pourrait également être étudiée dans d</w:t>
      </w:r>
      <w:r w:rsidR="00FD2B72" w:rsidRPr="00EF3F43">
        <w:rPr>
          <w:color w:val="000000"/>
          <w:lang w:val="fr-CH"/>
        </w:rPr>
        <w:t>'</w:t>
      </w:r>
      <w:r w:rsidRPr="00EF3F43">
        <w:rPr>
          <w:color w:val="000000"/>
          <w:lang w:val="fr-CH"/>
        </w:rPr>
        <w:t>autres pays</w:t>
      </w:r>
      <w:bookmarkEnd w:id="24"/>
      <w:r w:rsidRPr="00EF3F43">
        <w:rPr>
          <w:color w:val="000000"/>
          <w:lang w:val="fr-CH"/>
        </w:rPr>
        <w:t>.</w:t>
      </w:r>
    </w:p>
    <w:p w:rsidR="0094675C" w:rsidRPr="00EF3F43" w:rsidRDefault="0094675C" w:rsidP="0094675C">
      <w:pPr>
        <w:pStyle w:val="Heading1"/>
        <w:rPr>
          <w:rFonts w:asciiTheme="minorHAnsi" w:hAnsiTheme="minorHAnsi" w:cstheme="majorBidi"/>
          <w:bCs/>
          <w:szCs w:val="24"/>
          <w:lang w:val="fr-CH"/>
        </w:rPr>
      </w:pPr>
      <w:r w:rsidRPr="00EF3F43">
        <w:rPr>
          <w:lang w:val="fr-CH"/>
        </w:rPr>
        <w:t>6</w:t>
      </w:r>
      <w:r w:rsidRPr="00EF3F43">
        <w:rPr>
          <w:lang w:val="fr-CH"/>
        </w:rPr>
        <w:tab/>
      </w:r>
      <w:bookmarkStart w:id="25" w:name="lt_pId073"/>
      <w:r w:rsidRPr="00EF3F43">
        <w:rPr>
          <w:rFonts w:asciiTheme="minorHAnsi" w:hAnsiTheme="minorHAnsi" w:cstheme="majorBidi"/>
          <w:bCs/>
          <w:szCs w:val="24"/>
          <w:lang w:val="fr-CH"/>
        </w:rPr>
        <w:t>Conclusions</w:t>
      </w:r>
      <w:bookmarkEnd w:id="25"/>
    </w:p>
    <w:p w:rsidR="0094675C" w:rsidRPr="00EF3F43" w:rsidRDefault="0094675C" w:rsidP="0094675C">
      <w:pPr>
        <w:rPr>
          <w:rFonts w:cs="Arial"/>
          <w:lang w:val="fr-CH"/>
        </w:rPr>
      </w:pPr>
      <w:r w:rsidRPr="00EF3F43">
        <w:rPr>
          <w:rFonts w:cs="Arial"/>
          <w:lang w:val="fr-CH"/>
        </w:rPr>
        <w:t>Sur la base des discussions du Conseil à sa session de 2017, le plan décrit ci-dessus sera amélioré et élaboré plus avant, afin de servir de base à l</w:t>
      </w:r>
      <w:r w:rsidR="00FD2B72" w:rsidRPr="00EF3F43">
        <w:rPr>
          <w:rFonts w:cs="Arial"/>
          <w:lang w:val="fr-CH"/>
        </w:rPr>
        <w:t>'</w:t>
      </w:r>
      <w:r w:rsidRPr="00EF3F43">
        <w:rPr>
          <w:rFonts w:cs="Arial"/>
          <w:lang w:val="fr-CH"/>
        </w:rPr>
        <w:t>amélioration de la stabilité et de la prévisibilité des bases financières de l</w:t>
      </w:r>
      <w:r w:rsidR="00FD2B72" w:rsidRPr="00EF3F43">
        <w:rPr>
          <w:rFonts w:cs="Arial"/>
          <w:lang w:val="fr-CH"/>
        </w:rPr>
        <w:t>'</w:t>
      </w:r>
      <w:r w:rsidRPr="00EF3F43">
        <w:rPr>
          <w:rFonts w:cs="Arial"/>
          <w:lang w:val="fr-CH"/>
        </w:rPr>
        <w:t>Union, et comprendra des options permettant d</w:t>
      </w:r>
      <w:r w:rsidR="00FD2B72" w:rsidRPr="00EF3F43">
        <w:rPr>
          <w:rFonts w:cs="Arial"/>
          <w:lang w:val="fr-CH"/>
        </w:rPr>
        <w:t>'</w:t>
      </w:r>
      <w:r w:rsidRPr="00EF3F43">
        <w:rPr>
          <w:rFonts w:cs="Arial"/>
          <w:lang w:val="fr-CH"/>
        </w:rPr>
        <w:t>accroître les recettes et de réduire les coûts.</w:t>
      </w:r>
    </w:p>
    <w:p w:rsidR="0094675C" w:rsidRPr="00EF3F43" w:rsidRDefault="0094675C" w:rsidP="0094675C">
      <w:pPr>
        <w:rPr>
          <w:rFonts w:cs="Arial"/>
          <w:lang w:val="fr-CH"/>
        </w:rPr>
      </w:pPr>
      <w:r w:rsidRPr="00EF3F43">
        <w:rPr>
          <w:rFonts w:cs="Arial"/>
          <w:lang w:val="fr-CH"/>
        </w:rPr>
        <w:br w:type="page"/>
      </w:r>
    </w:p>
    <w:p w:rsidR="0094675C" w:rsidRPr="00EF3F43" w:rsidRDefault="0094675C" w:rsidP="0094675C">
      <w:pPr>
        <w:pStyle w:val="AnnexNo"/>
        <w:rPr>
          <w:rFonts w:eastAsia="SimSun"/>
          <w:lang w:val="fr-CH"/>
        </w:rPr>
      </w:pPr>
      <w:bookmarkStart w:id="26" w:name="lt_pId075"/>
      <w:bookmarkStart w:id="27" w:name="Annex1"/>
      <w:r w:rsidRPr="00EF3F43">
        <w:rPr>
          <w:rFonts w:eastAsia="SimSun"/>
          <w:lang w:val="fr-CH"/>
        </w:rPr>
        <w:lastRenderedPageBreak/>
        <w:t>ANNEXE 1</w:t>
      </w:r>
      <w:bookmarkEnd w:id="26"/>
      <w:bookmarkEnd w:id="27"/>
    </w:p>
    <w:p w:rsidR="0094675C" w:rsidRPr="00EF3F43" w:rsidRDefault="0094675C" w:rsidP="0007782B">
      <w:pPr>
        <w:pStyle w:val="Annextitle"/>
        <w:rPr>
          <w:lang w:val="fr-CH"/>
        </w:rPr>
      </w:pPr>
      <w:bookmarkStart w:id="28" w:name="lt_pId076"/>
      <w:proofErr w:type="gramStart"/>
      <w:r w:rsidRPr="00EF3F43">
        <w:rPr>
          <w:lang w:val="fr-CH"/>
        </w:rPr>
        <w:t>Proposition</w:t>
      </w:r>
      <w:r w:rsidR="0007782B" w:rsidRPr="00EF3F43">
        <w:rPr>
          <w:lang w:val="fr-CH"/>
        </w:rPr>
        <w:t>:</w:t>
      </w:r>
      <w:proofErr w:type="gramEnd"/>
      <w:r w:rsidRPr="00EF3F43">
        <w:rPr>
          <w:lang w:val="fr-CH"/>
        </w:rPr>
        <w:t xml:space="preserve"> Principes régissant la mobilisation des ressources</w:t>
      </w:r>
    </w:p>
    <w:p w:rsidR="0094675C" w:rsidRPr="00EF3F43" w:rsidRDefault="0094675C" w:rsidP="0007782B">
      <w:pPr>
        <w:rPr>
          <w:rFonts w:cs="Arial"/>
          <w:lang w:val="fr-CH"/>
        </w:rPr>
      </w:pPr>
      <w:r w:rsidRPr="00EF3F43">
        <w:rPr>
          <w:rFonts w:cs="Arial"/>
          <w:lang w:val="fr-CH"/>
        </w:rPr>
        <w:t>1</w:t>
      </w:r>
      <w:r w:rsidR="0007782B" w:rsidRPr="00EF3F43">
        <w:rPr>
          <w:rFonts w:cs="Arial"/>
          <w:lang w:val="fr-CH"/>
        </w:rPr>
        <w:t>)</w:t>
      </w:r>
      <w:r w:rsidR="0007782B" w:rsidRPr="00EF3F43">
        <w:rPr>
          <w:rFonts w:cs="Arial"/>
          <w:lang w:val="fr-CH"/>
        </w:rPr>
        <w:tab/>
      </w:r>
      <w:r w:rsidRPr="00EF3F43">
        <w:rPr>
          <w:rFonts w:cs="Arial"/>
          <w:u w:val="single"/>
          <w:lang w:val="fr-CH"/>
        </w:rPr>
        <w:t xml:space="preserve">Définir la </w:t>
      </w:r>
      <w:proofErr w:type="gramStart"/>
      <w:r w:rsidRPr="00EF3F43">
        <w:rPr>
          <w:rFonts w:cs="Arial"/>
          <w:u w:val="single"/>
          <w:lang w:val="fr-CH"/>
        </w:rPr>
        <w:t>portée</w:t>
      </w:r>
      <w:r w:rsidR="0007782B" w:rsidRPr="00EF3F43">
        <w:rPr>
          <w:rFonts w:cs="Arial"/>
          <w:lang w:val="fr-CH"/>
        </w:rPr>
        <w:t>:</w:t>
      </w:r>
      <w:proofErr w:type="gramEnd"/>
      <w:r w:rsidRPr="00EF3F43">
        <w:rPr>
          <w:rFonts w:cs="Arial"/>
          <w:lang w:val="fr-CH"/>
        </w:rPr>
        <w:t xml:space="preserve"> dans le contexte de l</w:t>
      </w:r>
      <w:r w:rsidR="00FD2B72" w:rsidRPr="00EF3F43">
        <w:rPr>
          <w:rFonts w:cs="Arial"/>
          <w:lang w:val="fr-CH"/>
        </w:rPr>
        <w:t>'</w:t>
      </w:r>
      <w:r w:rsidRPr="00EF3F43">
        <w:rPr>
          <w:rFonts w:cs="Arial"/>
          <w:lang w:val="fr-CH"/>
        </w:rPr>
        <w:t>UIT</w:t>
      </w:r>
      <w:r w:rsidR="0007782B" w:rsidRPr="00EF3F43">
        <w:rPr>
          <w:rFonts w:cs="Arial"/>
          <w:lang w:val="fr-CH"/>
        </w:rPr>
        <w:t>,</w:t>
      </w:r>
      <w:r w:rsidRPr="00EF3F43">
        <w:rPr>
          <w:rFonts w:cs="Arial"/>
          <w:lang w:val="fr-CH"/>
        </w:rPr>
        <w:t xml:space="preserve"> la </w:t>
      </w:r>
      <w:r w:rsidR="0007782B" w:rsidRPr="00EF3F43">
        <w:rPr>
          <w:rFonts w:cs="Arial"/>
          <w:lang w:val="fr-CH"/>
        </w:rPr>
        <w:t>"</w:t>
      </w:r>
      <w:r w:rsidRPr="00EF3F43">
        <w:rPr>
          <w:rFonts w:cs="Arial"/>
          <w:lang w:val="fr-CH"/>
        </w:rPr>
        <w:t>mobilisation des ressources</w:t>
      </w:r>
      <w:r w:rsidR="0007782B" w:rsidRPr="00EF3F43">
        <w:rPr>
          <w:rFonts w:cs="Arial"/>
          <w:lang w:val="fr-CH"/>
        </w:rPr>
        <w:t>"</w:t>
      </w:r>
      <w:r w:rsidRPr="00EF3F43">
        <w:rPr>
          <w:rFonts w:cs="Arial"/>
          <w:lang w:val="fr-CH"/>
        </w:rPr>
        <w:t xml:space="preserve"> désigne les possibilités de dégager des recettes sous toutes leurs formes, y compris les recettes provenant du budget ordin</w:t>
      </w:r>
      <w:r w:rsidR="0007782B" w:rsidRPr="00EF3F43">
        <w:rPr>
          <w:rFonts w:cs="Arial"/>
          <w:lang w:val="fr-CH"/>
        </w:rPr>
        <w:t>aire et les contributions extra</w:t>
      </w:r>
      <w:r w:rsidRPr="00EF3F43">
        <w:rPr>
          <w:rFonts w:cs="Arial"/>
          <w:lang w:val="fr-CH"/>
        </w:rPr>
        <w:t>budgétaires</w:t>
      </w:r>
      <w:r w:rsidR="0007782B" w:rsidRPr="00EF3F43">
        <w:rPr>
          <w:rFonts w:cs="Arial"/>
          <w:lang w:val="fr-CH"/>
        </w:rPr>
        <w:t>.</w:t>
      </w:r>
    </w:p>
    <w:p w:rsidR="0094675C" w:rsidRPr="00EF3F43" w:rsidRDefault="0007782B" w:rsidP="0007782B">
      <w:pPr>
        <w:rPr>
          <w:rFonts w:cs="Arial"/>
          <w:lang w:val="fr-CH"/>
        </w:rPr>
      </w:pPr>
      <w:r w:rsidRPr="00EF3F43">
        <w:rPr>
          <w:rFonts w:cs="Arial"/>
          <w:lang w:val="fr-CH"/>
        </w:rPr>
        <w:t>2)</w:t>
      </w:r>
      <w:r w:rsidRPr="00EF3F43">
        <w:rPr>
          <w:rFonts w:cs="Arial"/>
          <w:lang w:val="fr-CH"/>
        </w:rPr>
        <w:tab/>
      </w:r>
      <w:r w:rsidR="0094675C" w:rsidRPr="00EF3F43">
        <w:rPr>
          <w:rFonts w:cs="Arial"/>
          <w:u w:val="single"/>
          <w:lang w:val="fr-CH"/>
        </w:rPr>
        <w:t xml:space="preserve">Fixer des </w:t>
      </w:r>
      <w:proofErr w:type="gramStart"/>
      <w:r w:rsidR="0094675C" w:rsidRPr="00EF3F43">
        <w:rPr>
          <w:rFonts w:cs="Arial"/>
          <w:u w:val="single"/>
          <w:lang w:val="fr-CH"/>
        </w:rPr>
        <w:t>priorités</w:t>
      </w:r>
      <w:r w:rsidRPr="00EF3F43">
        <w:rPr>
          <w:rFonts w:cs="Arial"/>
          <w:lang w:val="fr-CH"/>
        </w:rPr>
        <w:t>:</w:t>
      </w:r>
      <w:proofErr w:type="gramEnd"/>
      <w:r w:rsidR="0094675C" w:rsidRPr="00EF3F43">
        <w:rPr>
          <w:rFonts w:cs="Arial"/>
          <w:lang w:val="fr-CH"/>
        </w:rPr>
        <w:t xml:space="preserve"> les contributions mises en recouvrement provenant des Etats Membres de l</w:t>
      </w:r>
      <w:r w:rsidR="00FD2B72" w:rsidRPr="00EF3F43">
        <w:rPr>
          <w:rFonts w:cs="Arial"/>
          <w:lang w:val="fr-CH"/>
        </w:rPr>
        <w:t>'</w:t>
      </w:r>
      <w:r w:rsidR="0094675C" w:rsidRPr="00EF3F43">
        <w:rPr>
          <w:rFonts w:cs="Arial"/>
          <w:lang w:val="fr-CH"/>
        </w:rPr>
        <w:t>UIT</w:t>
      </w:r>
      <w:r w:rsidRPr="00EF3F43">
        <w:rPr>
          <w:rFonts w:cs="Arial"/>
          <w:lang w:val="fr-CH"/>
        </w:rPr>
        <w:t>,</w:t>
      </w:r>
      <w:r w:rsidR="0094675C" w:rsidRPr="00EF3F43">
        <w:rPr>
          <w:rFonts w:cs="Arial"/>
          <w:lang w:val="fr-CH"/>
        </w:rPr>
        <w:t xml:space="preserve"> qui constituent la principale source de recettes de l</w:t>
      </w:r>
      <w:r w:rsidR="00FD2B72" w:rsidRPr="00EF3F43">
        <w:rPr>
          <w:rFonts w:cs="Arial"/>
          <w:lang w:val="fr-CH"/>
        </w:rPr>
        <w:t>'</w:t>
      </w:r>
      <w:r w:rsidR="0094675C" w:rsidRPr="00EF3F43">
        <w:rPr>
          <w:rFonts w:cs="Arial"/>
          <w:lang w:val="fr-CH"/>
        </w:rPr>
        <w:t xml:space="preserve">UIT, devraient bénéficier de la priorité absolue pour la mobilisation des ressources. Ces contributions sont fournies en vue </w:t>
      </w:r>
      <w:r w:rsidR="00BC1FA8" w:rsidRPr="00EF3F43">
        <w:rPr>
          <w:rFonts w:cs="Arial"/>
          <w:lang w:val="fr-CH"/>
        </w:rPr>
        <w:t>d'appuyer</w:t>
      </w:r>
      <w:r w:rsidR="0094675C" w:rsidRPr="00EF3F43">
        <w:rPr>
          <w:rFonts w:cs="Arial"/>
          <w:lang w:val="fr-CH"/>
        </w:rPr>
        <w:t xml:space="preserve"> un Plan stratégique approuvé ainsi que sa mise en </w:t>
      </w:r>
      <w:r w:rsidR="007F08A1" w:rsidRPr="00EF3F43">
        <w:rPr>
          <w:rFonts w:cs="Arial"/>
          <w:lang w:val="fr-CH"/>
        </w:rPr>
        <w:t>oe</w:t>
      </w:r>
      <w:r w:rsidR="0094675C" w:rsidRPr="00EF3F43">
        <w:rPr>
          <w:rFonts w:cs="Arial"/>
          <w:lang w:val="fr-CH"/>
        </w:rPr>
        <w:t xml:space="preserve">uvre dans le cadre de Plans opérationnels, au moyen du budget ordinaire de </w:t>
      </w:r>
      <w:r w:rsidR="00BC1FA8" w:rsidRPr="00EF3F43">
        <w:rPr>
          <w:rFonts w:cs="Arial"/>
          <w:lang w:val="fr-CH"/>
        </w:rPr>
        <w:t xml:space="preserve">l'UIT. </w:t>
      </w:r>
      <w:r w:rsidR="0094675C" w:rsidRPr="00EF3F43">
        <w:rPr>
          <w:rFonts w:cs="Arial"/>
          <w:lang w:val="fr-CH"/>
        </w:rPr>
        <w:t>En conséquence, les Etats Membres sont encouragés à accorder la priorité à leurs contributions mises en recouvrement, pour qu</w:t>
      </w:r>
      <w:r w:rsidR="00FD2B72" w:rsidRPr="00EF3F43">
        <w:rPr>
          <w:rFonts w:cs="Arial"/>
          <w:lang w:val="fr-CH"/>
        </w:rPr>
        <w:t>'</w:t>
      </w:r>
      <w:r w:rsidR="0094675C" w:rsidRPr="00EF3F43">
        <w:rPr>
          <w:rFonts w:cs="Arial"/>
          <w:lang w:val="fr-CH"/>
        </w:rPr>
        <w:t>elles constituent la principale assistance financière fournie à l</w:t>
      </w:r>
      <w:r w:rsidR="00FD2B72" w:rsidRPr="00EF3F43">
        <w:rPr>
          <w:rFonts w:cs="Arial"/>
          <w:lang w:val="fr-CH"/>
        </w:rPr>
        <w:t>'</w:t>
      </w:r>
      <w:r w:rsidR="0094675C" w:rsidRPr="00EF3F43">
        <w:rPr>
          <w:rFonts w:cs="Arial"/>
          <w:lang w:val="fr-CH"/>
        </w:rPr>
        <w:t>UIT, en maintenant ces contributions ou</w:t>
      </w:r>
      <w:r w:rsidRPr="00EF3F43">
        <w:rPr>
          <w:rFonts w:cs="Arial"/>
          <w:lang w:val="fr-CH"/>
        </w:rPr>
        <w:t>,</w:t>
      </w:r>
      <w:r w:rsidR="0094675C" w:rsidRPr="00EF3F43">
        <w:rPr>
          <w:rFonts w:cs="Arial"/>
          <w:lang w:val="fr-CH"/>
        </w:rPr>
        <w:t xml:space="preserve"> lorsque cela est possible, en les augmentant avant d</w:t>
      </w:r>
      <w:r w:rsidR="00FD2B72" w:rsidRPr="00EF3F43">
        <w:rPr>
          <w:rFonts w:cs="Arial"/>
          <w:lang w:val="fr-CH"/>
        </w:rPr>
        <w:t>'</w:t>
      </w:r>
      <w:r w:rsidR="0094675C" w:rsidRPr="00EF3F43">
        <w:rPr>
          <w:rFonts w:cs="Arial"/>
          <w:lang w:val="fr-CH"/>
        </w:rPr>
        <w:t>envisager de mettre à disposition des ressources pour des activités n</w:t>
      </w:r>
      <w:r w:rsidR="00FD2B72" w:rsidRPr="00EF3F43">
        <w:rPr>
          <w:rFonts w:cs="Arial"/>
          <w:lang w:val="fr-CH"/>
        </w:rPr>
        <w:t>'</w:t>
      </w:r>
      <w:r w:rsidR="0094675C" w:rsidRPr="00EF3F43">
        <w:rPr>
          <w:rFonts w:cs="Arial"/>
          <w:lang w:val="fr-CH"/>
        </w:rPr>
        <w:t>entrant pas dans le cadre du budget ordinaire de l</w:t>
      </w:r>
      <w:r w:rsidR="00FD2B72" w:rsidRPr="00EF3F43">
        <w:rPr>
          <w:rFonts w:cs="Arial"/>
          <w:lang w:val="fr-CH"/>
        </w:rPr>
        <w:t>'</w:t>
      </w:r>
      <w:r w:rsidR="001F22BB" w:rsidRPr="00EF3F43">
        <w:rPr>
          <w:rFonts w:cs="Arial"/>
          <w:lang w:val="fr-CH"/>
        </w:rPr>
        <w:t>UIT</w:t>
      </w:r>
      <w:r w:rsidR="0094675C" w:rsidRPr="00EF3F43">
        <w:rPr>
          <w:rFonts w:cs="Arial"/>
          <w:lang w:val="fr-CH"/>
        </w:rPr>
        <w:t>.</w:t>
      </w:r>
      <w:r w:rsidR="001F22BB" w:rsidRPr="00EF3F43">
        <w:rPr>
          <w:rFonts w:cs="Arial"/>
          <w:lang w:val="fr-CH"/>
        </w:rPr>
        <w:t xml:space="preserve"> </w:t>
      </w:r>
      <w:r w:rsidR="0094675C" w:rsidRPr="00EF3F43">
        <w:rPr>
          <w:rFonts w:cs="Arial"/>
          <w:lang w:val="fr-CH"/>
        </w:rPr>
        <w:t xml:space="preserve">A cette fin, le </w:t>
      </w:r>
      <w:r w:rsidR="007F08A1" w:rsidRPr="00EF3F43">
        <w:rPr>
          <w:rFonts w:cs="Arial"/>
          <w:lang w:val="fr-CH"/>
        </w:rPr>
        <w:t>Secrétariat</w:t>
      </w:r>
      <w:r w:rsidR="0094675C" w:rsidRPr="00EF3F43">
        <w:rPr>
          <w:rFonts w:cs="Arial"/>
          <w:lang w:val="fr-CH"/>
        </w:rPr>
        <w:t xml:space="preserve"> encouragera, dans toute la mesure possible</w:t>
      </w:r>
      <w:r w:rsidRPr="00EF3F43">
        <w:rPr>
          <w:rFonts w:cs="Arial"/>
          <w:lang w:val="fr-CH"/>
        </w:rPr>
        <w:t>,</w:t>
      </w:r>
      <w:r w:rsidR="0094675C" w:rsidRPr="00EF3F43">
        <w:rPr>
          <w:rFonts w:cs="Arial"/>
          <w:lang w:val="fr-CH"/>
        </w:rPr>
        <w:t xml:space="preserve"> les entités extérieures autres que les membres de l</w:t>
      </w:r>
      <w:r w:rsidR="00FD2B72" w:rsidRPr="00EF3F43">
        <w:rPr>
          <w:rFonts w:cs="Arial"/>
          <w:lang w:val="fr-CH"/>
        </w:rPr>
        <w:t>'</w:t>
      </w:r>
      <w:r w:rsidR="0094675C" w:rsidRPr="00EF3F43">
        <w:rPr>
          <w:rFonts w:cs="Arial"/>
          <w:lang w:val="fr-CH"/>
        </w:rPr>
        <w:t xml:space="preserve">UIT à apporter un appui sous </w:t>
      </w:r>
      <w:r w:rsidRPr="00EF3F43">
        <w:rPr>
          <w:rFonts w:cs="Arial"/>
          <w:lang w:val="fr-CH"/>
        </w:rPr>
        <w:t>la forme de contributions extra</w:t>
      </w:r>
      <w:r w:rsidR="0094675C" w:rsidRPr="00EF3F43">
        <w:rPr>
          <w:rFonts w:cs="Arial"/>
          <w:lang w:val="fr-CH"/>
        </w:rPr>
        <w:t>budgétaires et de contributions volontaires, pour compléter les ressources fournies par les membres</w:t>
      </w:r>
      <w:bookmarkEnd w:id="28"/>
      <w:r w:rsidRPr="00EF3F43">
        <w:rPr>
          <w:rFonts w:cs="Arial"/>
          <w:lang w:val="fr-CH"/>
        </w:rPr>
        <w:t>.</w:t>
      </w:r>
    </w:p>
    <w:p w:rsidR="0007782B" w:rsidRPr="00EF3F43" w:rsidRDefault="0094675C" w:rsidP="0007782B">
      <w:pPr>
        <w:rPr>
          <w:rFonts w:cs="Arial"/>
          <w:lang w:val="fr-CH"/>
        </w:rPr>
      </w:pPr>
      <w:bookmarkStart w:id="29" w:name="lt_pId085"/>
      <w:r w:rsidRPr="00EF3F43">
        <w:rPr>
          <w:rFonts w:cs="Arial"/>
          <w:lang w:val="fr-CH"/>
        </w:rPr>
        <w:t>3</w:t>
      </w:r>
      <w:r w:rsidR="0007782B" w:rsidRPr="00EF3F43">
        <w:rPr>
          <w:rFonts w:cs="Arial"/>
          <w:lang w:val="fr-CH"/>
        </w:rPr>
        <w:t>)</w:t>
      </w:r>
      <w:r w:rsidR="0007782B" w:rsidRPr="00EF3F43">
        <w:rPr>
          <w:rFonts w:cs="Arial"/>
          <w:lang w:val="fr-CH"/>
        </w:rPr>
        <w:tab/>
      </w:r>
      <w:r w:rsidRPr="00EF3F43">
        <w:rPr>
          <w:rFonts w:cs="Arial"/>
          <w:u w:val="single"/>
          <w:lang w:val="fr-CH"/>
        </w:rPr>
        <w:t xml:space="preserve">Garantir la </w:t>
      </w:r>
      <w:proofErr w:type="gramStart"/>
      <w:r w:rsidRPr="00EF3F43">
        <w:rPr>
          <w:rFonts w:cs="Arial"/>
          <w:u w:val="single"/>
          <w:lang w:val="fr-CH"/>
        </w:rPr>
        <w:t>transparence</w:t>
      </w:r>
      <w:r w:rsidR="0007782B" w:rsidRPr="00EF3F43">
        <w:rPr>
          <w:rFonts w:cs="Arial"/>
          <w:lang w:val="fr-CH"/>
        </w:rPr>
        <w:t>:</w:t>
      </w:r>
      <w:proofErr w:type="gramEnd"/>
      <w:r w:rsidRPr="00EF3F43">
        <w:rPr>
          <w:rFonts w:cs="Arial"/>
          <w:lang w:val="fr-CH"/>
        </w:rPr>
        <w:t xml:space="preserve"> tous les membres devraient être informés des possibilités qui s</w:t>
      </w:r>
      <w:r w:rsidR="00FD2B72" w:rsidRPr="00EF3F43">
        <w:rPr>
          <w:rFonts w:cs="Arial"/>
          <w:lang w:val="fr-CH"/>
        </w:rPr>
        <w:t>'</w:t>
      </w:r>
      <w:r w:rsidRPr="00EF3F43">
        <w:rPr>
          <w:rFonts w:cs="Arial"/>
          <w:lang w:val="fr-CH"/>
        </w:rPr>
        <w:t>offrent aux membres de l</w:t>
      </w:r>
      <w:r w:rsidR="00FD2B72" w:rsidRPr="00EF3F43">
        <w:rPr>
          <w:rFonts w:cs="Arial"/>
          <w:lang w:val="fr-CH"/>
        </w:rPr>
        <w:t>'</w:t>
      </w:r>
      <w:r w:rsidRPr="00EF3F43">
        <w:rPr>
          <w:rFonts w:cs="Arial"/>
          <w:lang w:val="fr-CH"/>
        </w:rPr>
        <w:t>UIT et aux autres entités d</w:t>
      </w:r>
      <w:r w:rsidR="00FD2B72" w:rsidRPr="00EF3F43">
        <w:rPr>
          <w:rFonts w:cs="Arial"/>
          <w:lang w:val="fr-CH"/>
        </w:rPr>
        <w:t>'</w:t>
      </w:r>
      <w:r w:rsidRPr="00EF3F43">
        <w:rPr>
          <w:rFonts w:cs="Arial"/>
          <w:lang w:val="fr-CH"/>
        </w:rPr>
        <w:t>appuyer des activités additionnelles, dans le cadre de campagnes de mobilisation des ressources, et les avantages qu</w:t>
      </w:r>
      <w:r w:rsidR="00FD2B72" w:rsidRPr="00EF3F43">
        <w:rPr>
          <w:rFonts w:cs="Arial"/>
          <w:lang w:val="fr-CH"/>
        </w:rPr>
        <w:t>'</w:t>
      </w:r>
      <w:r w:rsidRPr="00EF3F43">
        <w:rPr>
          <w:rFonts w:cs="Arial"/>
          <w:lang w:val="fr-CH"/>
        </w:rPr>
        <w:t>en retirent le partenaire/bailleur de fonds devraient être limités et conformes aux règles et procédures de l</w:t>
      </w:r>
      <w:r w:rsidR="00FD2B72" w:rsidRPr="00EF3F43">
        <w:rPr>
          <w:rFonts w:cs="Arial"/>
          <w:lang w:val="fr-CH"/>
        </w:rPr>
        <w:t>'</w:t>
      </w:r>
      <w:r w:rsidRPr="00EF3F43">
        <w:rPr>
          <w:rFonts w:cs="Arial"/>
          <w:lang w:val="fr-CH"/>
        </w:rPr>
        <w:t>UIT</w:t>
      </w:r>
      <w:r w:rsidR="0007782B" w:rsidRPr="00EF3F43">
        <w:rPr>
          <w:rFonts w:cs="Arial"/>
          <w:lang w:val="fr-CH"/>
        </w:rPr>
        <w:t>,</w:t>
      </w:r>
      <w:r w:rsidRPr="00EF3F43">
        <w:rPr>
          <w:rFonts w:cs="Arial"/>
          <w:lang w:val="fr-CH"/>
        </w:rPr>
        <w:t xml:space="preserve"> y compris en ce qui concerne le protocole et la pratique courante suivie à l</w:t>
      </w:r>
      <w:r w:rsidR="00FD2B72" w:rsidRPr="00EF3F43">
        <w:rPr>
          <w:rFonts w:cs="Arial"/>
          <w:lang w:val="fr-CH"/>
        </w:rPr>
        <w:t>'</w:t>
      </w:r>
      <w:r w:rsidRPr="00EF3F43">
        <w:rPr>
          <w:rFonts w:cs="Arial"/>
          <w:lang w:val="fr-CH"/>
        </w:rPr>
        <w:t>UIT</w:t>
      </w:r>
      <w:r w:rsidR="0007782B" w:rsidRPr="00EF3F43">
        <w:rPr>
          <w:rFonts w:cs="Arial"/>
          <w:lang w:val="fr-CH"/>
        </w:rPr>
        <w:t>.</w:t>
      </w:r>
      <w:bookmarkStart w:id="30" w:name="lt_pId087"/>
      <w:bookmarkEnd w:id="29"/>
    </w:p>
    <w:p w:rsidR="0007782B" w:rsidRPr="00EF3F43" w:rsidRDefault="0007782B" w:rsidP="0007782B">
      <w:pPr>
        <w:rPr>
          <w:rFonts w:cs="Arial"/>
          <w:lang w:val="fr-CH"/>
        </w:rPr>
      </w:pPr>
      <w:r w:rsidRPr="00EF3F43">
        <w:rPr>
          <w:rFonts w:cs="Arial"/>
          <w:lang w:val="fr-CH"/>
        </w:rPr>
        <w:t>4)</w:t>
      </w:r>
      <w:r w:rsidRPr="00EF3F43">
        <w:rPr>
          <w:rFonts w:cs="Arial"/>
          <w:lang w:val="fr-CH"/>
        </w:rPr>
        <w:tab/>
      </w:r>
      <w:r w:rsidR="0094675C" w:rsidRPr="00EF3F43">
        <w:rPr>
          <w:color w:val="000000"/>
          <w:u w:val="single"/>
          <w:lang w:val="fr-CH"/>
        </w:rPr>
        <w:t xml:space="preserve">Respect des </w:t>
      </w:r>
      <w:r w:rsidR="0094675C" w:rsidRPr="00EF3F43">
        <w:rPr>
          <w:rFonts w:cs="Arial"/>
          <w:u w:val="single"/>
          <w:lang w:val="fr-CH"/>
        </w:rPr>
        <w:t xml:space="preserve">principes de </w:t>
      </w:r>
      <w:proofErr w:type="gramStart"/>
      <w:r w:rsidR="0094675C" w:rsidRPr="00EF3F43">
        <w:rPr>
          <w:rFonts w:cs="Arial"/>
          <w:u w:val="single"/>
          <w:lang w:val="fr-CH"/>
        </w:rPr>
        <w:t>l'ONU</w:t>
      </w:r>
      <w:r w:rsidR="0094675C" w:rsidRPr="00EF3F43">
        <w:rPr>
          <w:rFonts w:cs="Arial"/>
          <w:lang w:val="fr-CH"/>
        </w:rPr>
        <w:t>:</w:t>
      </w:r>
      <w:bookmarkEnd w:id="30"/>
      <w:proofErr w:type="gramEnd"/>
      <w:r w:rsidR="0094675C" w:rsidRPr="00EF3F43">
        <w:rPr>
          <w:rFonts w:cs="Arial"/>
          <w:lang w:val="fr-CH"/>
        </w:rPr>
        <w:t xml:space="preserve"> </w:t>
      </w:r>
      <w:bookmarkStart w:id="31" w:name="lt_pId088"/>
      <w:r w:rsidRPr="00EF3F43">
        <w:rPr>
          <w:rFonts w:cs="Arial"/>
          <w:lang w:val="fr-CH"/>
        </w:rPr>
        <w:t>p</w:t>
      </w:r>
      <w:r w:rsidR="0094675C" w:rsidRPr="00EF3F43">
        <w:rPr>
          <w:rFonts w:cs="Arial"/>
          <w:lang w:val="fr-CH"/>
        </w:rPr>
        <w:t>our compléter l</w:t>
      </w:r>
      <w:r w:rsidR="00FD2B72" w:rsidRPr="00EF3F43">
        <w:rPr>
          <w:rFonts w:cs="Arial"/>
          <w:lang w:val="fr-CH"/>
        </w:rPr>
        <w:t>'</w:t>
      </w:r>
      <w:r w:rsidR="0094675C" w:rsidRPr="00EF3F43">
        <w:rPr>
          <w:rFonts w:cs="Arial"/>
          <w:lang w:val="fr-CH"/>
        </w:rPr>
        <w:t>appui apporté par ses membres, l</w:t>
      </w:r>
      <w:r w:rsidR="00FD2B72" w:rsidRPr="00EF3F43">
        <w:rPr>
          <w:rFonts w:cs="Arial"/>
          <w:lang w:val="fr-CH"/>
        </w:rPr>
        <w:t>'</w:t>
      </w:r>
      <w:r w:rsidR="0094675C" w:rsidRPr="00EF3F43">
        <w:rPr>
          <w:rFonts w:cs="Arial"/>
          <w:lang w:val="fr-CH"/>
        </w:rPr>
        <w:t xml:space="preserve">UIT acceptera les financements provenant </w:t>
      </w:r>
      <w:r w:rsidR="00BC1FA8" w:rsidRPr="00EF3F43">
        <w:rPr>
          <w:rFonts w:cs="Arial"/>
          <w:lang w:val="fr-CH"/>
        </w:rPr>
        <w:t>d'entités</w:t>
      </w:r>
      <w:r w:rsidR="0094675C" w:rsidRPr="00EF3F43">
        <w:rPr>
          <w:rFonts w:cs="Arial"/>
          <w:lang w:val="fr-CH"/>
        </w:rPr>
        <w:t xml:space="preserve"> dont le comportement est conforme aux </w:t>
      </w:r>
      <w:hyperlink r:id="rId14" w:history="1">
        <w:r w:rsidR="0094675C" w:rsidRPr="008379CB">
          <w:rPr>
            <w:rStyle w:val="Hyperlink"/>
            <w:rFonts w:cs="Arial"/>
            <w:lang w:val="fr-CH"/>
          </w:rPr>
          <w:t>principes de l'ONU</w:t>
        </w:r>
      </w:hyperlink>
      <w:r w:rsidR="0094675C" w:rsidRPr="00EF3F43">
        <w:rPr>
          <w:rFonts w:cs="Arial"/>
          <w:lang w:val="fr-CH"/>
        </w:rPr>
        <w:t>, notamment dans les domaines des droits de l'homme, des normes de travail et de l'environnement et de la lutte contre la corruption, ou de nouer des partenariats avec de telles entités.</w:t>
      </w:r>
      <w:bookmarkEnd w:id="31"/>
      <w:r w:rsidR="0094675C" w:rsidRPr="00EF3F43">
        <w:rPr>
          <w:rFonts w:cs="Arial"/>
          <w:lang w:val="fr-CH"/>
        </w:rPr>
        <w:t xml:space="preserve"> </w:t>
      </w:r>
      <w:bookmarkStart w:id="32" w:name="lt_pId089"/>
      <w:r w:rsidR="0094675C" w:rsidRPr="00EF3F43">
        <w:rPr>
          <w:rFonts w:cs="Arial"/>
          <w:lang w:val="fr-CH"/>
        </w:rPr>
        <w:t>L</w:t>
      </w:r>
      <w:r w:rsidR="00FD2B72" w:rsidRPr="00EF3F43">
        <w:rPr>
          <w:rFonts w:cs="Arial"/>
          <w:lang w:val="fr-CH"/>
        </w:rPr>
        <w:t>'</w:t>
      </w:r>
      <w:r w:rsidR="0094675C" w:rsidRPr="00EF3F43">
        <w:rPr>
          <w:rFonts w:cs="Arial"/>
          <w:lang w:val="fr-CH"/>
        </w:rPr>
        <w:t xml:space="preserve">UIT appliquera un processus de sélection fondé sur la diligence due, conformément aux lignes directrices et aux </w:t>
      </w:r>
      <w:hyperlink r:id="rId15" w:history="1">
        <w:r w:rsidR="0094675C" w:rsidRPr="008379CB">
          <w:rPr>
            <w:rStyle w:val="Hyperlink"/>
            <w:rFonts w:cs="Arial"/>
            <w:lang w:val="fr-CH"/>
          </w:rPr>
          <w:t>bonnes pratiques de l</w:t>
        </w:r>
        <w:r w:rsidR="00FD2B72" w:rsidRPr="008379CB">
          <w:rPr>
            <w:rStyle w:val="Hyperlink"/>
            <w:rFonts w:cs="Arial"/>
            <w:lang w:val="fr-CH"/>
          </w:rPr>
          <w:t>'</w:t>
        </w:r>
        <w:r w:rsidR="0094675C" w:rsidRPr="008379CB">
          <w:rPr>
            <w:rStyle w:val="Hyperlink"/>
            <w:rFonts w:cs="Arial"/>
            <w:lang w:val="fr-CH"/>
          </w:rPr>
          <w:t>ONU</w:t>
        </w:r>
      </w:hyperlink>
      <w:r w:rsidR="0094675C" w:rsidRPr="00EF3F43">
        <w:rPr>
          <w:rFonts w:cs="Arial"/>
          <w:lang w:val="fr-CH"/>
        </w:rPr>
        <w:t>, pour déterminer s</w:t>
      </w:r>
      <w:r w:rsidR="00FD2B72" w:rsidRPr="00EF3F43">
        <w:rPr>
          <w:rFonts w:cs="Arial"/>
          <w:lang w:val="fr-CH"/>
        </w:rPr>
        <w:t>'</w:t>
      </w:r>
      <w:r w:rsidR="0094675C" w:rsidRPr="00EF3F43">
        <w:rPr>
          <w:rFonts w:cs="Arial"/>
          <w:lang w:val="fr-CH"/>
        </w:rPr>
        <w:t>il y a lieu d</w:t>
      </w:r>
      <w:r w:rsidR="00FD2B72" w:rsidRPr="00EF3F43">
        <w:rPr>
          <w:rFonts w:cs="Arial"/>
          <w:lang w:val="fr-CH"/>
        </w:rPr>
        <w:t>'</w:t>
      </w:r>
      <w:r w:rsidR="0094675C" w:rsidRPr="00EF3F43">
        <w:rPr>
          <w:rFonts w:cs="Arial"/>
          <w:lang w:val="fr-CH"/>
        </w:rPr>
        <w:t>accepter ou non un financement d</w:t>
      </w:r>
      <w:r w:rsidR="00FD2B72" w:rsidRPr="00EF3F43">
        <w:rPr>
          <w:rFonts w:cs="Arial"/>
          <w:lang w:val="fr-CH"/>
        </w:rPr>
        <w:t>'</w:t>
      </w:r>
      <w:r w:rsidR="0094675C" w:rsidRPr="00EF3F43">
        <w:rPr>
          <w:rFonts w:cs="Arial"/>
          <w:lang w:val="fr-CH"/>
        </w:rPr>
        <w:t>une entité non membre de l</w:t>
      </w:r>
      <w:r w:rsidR="00FD2B72" w:rsidRPr="00EF3F43">
        <w:rPr>
          <w:rFonts w:cs="Arial"/>
          <w:lang w:val="fr-CH"/>
        </w:rPr>
        <w:t>'</w:t>
      </w:r>
      <w:r w:rsidR="0094675C" w:rsidRPr="00EF3F43">
        <w:rPr>
          <w:rFonts w:cs="Arial"/>
          <w:lang w:val="fr-CH"/>
        </w:rPr>
        <w:t>UIT ou d</w:t>
      </w:r>
      <w:r w:rsidR="00FD2B72" w:rsidRPr="00EF3F43">
        <w:rPr>
          <w:rFonts w:cs="Arial"/>
          <w:lang w:val="fr-CH"/>
        </w:rPr>
        <w:t>'</w:t>
      </w:r>
      <w:r w:rsidR="0094675C" w:rsidRPr="00EF3F43">
        <w:rPr>
          <w:rFonts w:cs="Arial"/>
          <w:lang w:val="fr-CH"/>
        </w:rPr>
        <w:t>établir un partenariat avec une telle entité</w:t>
      </w:r>
      <w:bookmarkStart w:id="33" w:name="lt_pId090"/>
      <w:bookmarkEnd w:id="32"/>
      <w:r w:rsidRPr="00EF3F43">
        <w:rPr>
          <w:rFonts w:cs="Arial"/>
          <w:lang w:val="fr-CH"/>
        </w:rPr>
        <w:t>.</w:t>
      </w:r>
    </w:p>
    <w:p w:rsidR="0007782B" w:rsidRPr="00EF3F43" w:rsidRDefault="0007782B" w:rsidP="0007782B">
      <w:pPr>
        <w:rPr>
          <w:rFonts w:cs="Arial"/>
          <w:lang w:val="fr-CH"/>
        </w:rPr>
      </w:pPr>
      <w:r w:rsidRPr="00EF3F43">
        <w:rPr>
          <w:rFonts w:cs="Arial"/>
          <w:lang w:val="fr-CH"/>
        </w:rPr>
        <w:t>5)</w:t>
      </w:r>
      <w:r w:rsidRPr="00EF3F43">
        <w:rPr>
          <w:rFonts w:cs="Arial"/>
          <w:lang w:val="fr-CH"/>
        </w:rPr>
        <w:tab/>
      </w:r>
      <w:r w:rsidR="0094675C" w:rsidRPr="00EF3F43">
        <w:rPr>
          <w:rFonts w:cs="Arial"/>
          <w:u w:val="single"/>
          <w:lang w:val="fr-CH"/>
        </w:rPr>
        <w:t xml:space="preserve">Atteindre les objectifs de </w:t>
      </w:r>
      <w:proofErr w:type="gramStart"/>
      <w:r w:rsidR="0094675C" w:rsidRPr="00EF3F43">
        <w:rPr>
          <w:rFonts w:cs="Arial"/>
          <w:u w:val="single"/>
          <w:lang w:val="fr-CH"/>
        </w:rPr>
        <w:t>l'UIT</w:t>
      </w:r>
      <w:r w:rsidR="0094675C" w:rsidRPr="00EF3F43">
        <w:rPr>
          <w:rFonts w:cs="Arial"/>
          <w:lang w:val="fr-CH"/>
        </w:rPr>
        <w:t>:</w:t>
      </w:r>
      <w:bookmarkEnd w:id="33"/>
      <w:proofErr w:type="gramEnd"/>
      <w:r w:rsidR="0094675C" w:rsidRPr="00EF3F43">
        <w:rPr>
          <w:rFonts w:cs="Arial"/>
          <w:lang w:val="fr-CH"/>
        </w:rPr>
        <w:t xml:space="preserve"> </w:t>
      </w:r>
      <w:bookmarkStart w:id="34" w:name="lt_pId091"/>
      <w:r w:rsidRPr="00EF3F43">
        <w:rPr>
          <w:rFonts w:cs="Arial"/>
          <w:lang w:val="fr-CH"/>
        </w:rPr>
        <w:t>l</w:t>
      </w:r>
      <w:r w:rsidR="0094675C" w:rsidRPr="00EF3F43">
        <w:rPr>
          <w:rFonts w:cs="Arial"/>
          <w:lang w:val="fr-CH"/>
        </w:rPr>
        <w:t>'objectif des accords de financement (ou de la contribution en nature/du partenariat) doit être conforme aux objectifs généraux de l'UIT, tels qu'ils sont énoncés dans la Constitution et la Convention de l'UIT ainsi que dans le Plan stratégique de l'Union.</w:t>
      </w:r>
      <w:bookmarkStart w:id="35" w:name="lt_pId092"/>
      <w:bookmarkEnd w:id="34"/>
    </w:p>
    <w:p w:rsidR="0007782B" w:rsidRPr="00EF3F43" w:rsidRDefault="0007782B" w:rsidP="0007782B">
      <w:pPr>
        <w:rPr>
          <w:rFonts w:cs="Arial"/>
          <w:lang w:val="fr-CH"/>
        </w:rPr>
      </w:pPr>
      <w:r w:rsidRPr="00EF3F43">
        <w:rPr>
          <w:rFonts w:cs="Arial"/>
          <w:lang w:val="fr-CH"/>
        </w:rPr>
        <w:t>6)</w:t>
      </w:r>
      <w:r w:rsidRPr="00EF3F43">
        <w:rPr>
          <w:rFonts w:cs="Arial"/>
          <w:lang w:val="fr-CH"/>
        </w:rPr>
        <w:tab/>
      </w:r>
      <w:r w:rsidR="0094675C" w:rsidRPr="00EF3F43">
        <w:rPr>
          <w:rFonts w:cs="Arial"/>
          <w:u w:val="single"/>
          <w:lang w:val="fr-CH"/>
        </w:rPr>
        <w:t xml:space="preserve">Clarifier les rôles et </w:t>
      </w:r>
      <w:proofErr w:type="gramStart"/>
      <w:r w:rsidR="0094675C" w:rsidRPr="00EF3F43">
        <w:rPr>
          <w:rFonts w:cs="Arial"/>
          <w:u w:val="single"/>
          <w:lang w:val="fr-CH"/>
        </w:rPr>
        <w:t>responsabilités</w:t>
      </w:r>
      <w:bookmarkEnd w:id="35"/>
      <w:r w:rsidRPr="00EF3F43">
        <w:rPr>
          <w:rFonts w:cs="Arial"/>
          <w:lang w:val="fr-CH"/>
        </w:rPr>
        <w:t>:</w:t>
      </w:r>
      <w:proofErr w:type="gramEnd"/>
      <w:r w:rsidR="0094675C" w:rsidRPr="00EF3F43">
        <w:rPr>
          <w:rFonts w:cs="Arial"/>
          <w:lang w:val="fr-CH"/>
        </w:rPr>
        <w:t xml:space="preserve"> </w:t>
      </w:r>
      <w:bookmarkStart w:id="36" w:name="lt_pId093"/>
      <w:r w:rsidRPr="00EF3F43">
        <w:rPr>
          <w:rFonts w:cs="Arial"/>
          <w:lang w:val="fr-CH"/>
        </w:rPr>
        <w:t>l</w:t>
      </w:r>
      <w:r w:rsidR="0094675C" w:rsidRPr="00EF3F43">
        <w:rPr>
          <w:rFonts w:cs="Arial"/>
          <w:lang w:val="fr-CH"/>
        </w:rPr>
        <w:t>'accord de financement/partenariat doit être fondé sur une compréhension claire des rôles et attentes respectifs, assortie d'une obligation de rendre des comptes et d'une répartition claire des responsabilités entre l'UIT et le bailleur de fonds</w:t>
      </w:r>
      <w:r w:rsidR="00FD2B72" w:rsidRPr="00EF3F43">
        <w:rPr>
          <w:rFonts w:cs="Arial"/>
          <w:lang w:val="fr-CH"/>
        </w:rPr>
        <w:t>/</w:t>
      </w:r>
      <w:r w:rsidR="0094675C" w:rsidRPr="00EF3F43">
        <w:rPr>
          <w:rFonts w:cs="Arial"/>
          <w:lang w:val="fr-CH"/>
        </w:rPr>
        <w:t>partenaire</w:t>
      </w:r>
      <w:bookmarkEnd w:id="36"/>
      <w:r w:rsidRPr="00EF3F43">
        <w:rPr>
          <w:rFonts w:cs="Arial"/>
          <w:lang w:val="fr-CH"/>
        </w:rPr>
        <w:t>.</w:t>
      </w:r>
    </w:p>
    <w:p w:rsidR="0094675C" w:rsidRPr="00EF3F43" w:rsidRDefault="0094675C" w:rsidP="00436FFE">
      <w:pPr>
        <w:rPr>
          <w:rFonts w:asciiTheme="minorHAnsi" w:hAnsiTheme="minorHAnsi" w:cstheme="majorBidi"/>
          <w:b/>
          <w:bCs/>
          <w:lang w:val="fr-CH"/>
        </w:rPr>
      </w:pPr>
      <w:r w:rsidRPr="00EF3F43">
        <w:rPr>
          <w:rFonts w:cs="Arial"/>
          <w:lang w:val="fr-CH"/>
        </w:rPr>
        <w:t>7</w:t>
      </w:r>
      <w:r w:rsidR="0007782B" w:rsidRPr="00EF3F43">
        <w:rPr>
          <w:rFonts w:cs="Arial"/>
          <w:lang w:val="fr-CH"/>
        </w:rPr>
        <w:t>)</w:t>
      </w:r>
      <w:r w:rsidRPr="00EF3F43">
        <w:rPr>
          <w:rFonts w:cs="Arial"/>
          <w:lang w:val="fr-CH"/>
        </w:rPr>
        <w:tab/>
      </w:r>
      <w:bookmarkStart w:id="37" w:name="lt_pId095"/>
      <w:r w:rsidRPr="00EF3F43">
        <w:rPr>
          <w:rFonts w:cs="Arial"/>
          <w:u w:val="single"/>
          <w:lang w:val="fr-CH"/>
        </w:rPr>
        <w:t xml:space="preserve">Protection de la </w:t>
      </w:r>
      <w:r w:rsidR="00BC1FA8" w:rsidRPr="00EF3F43">
        <w:rPr>
          <w:rFonts w:cs="Arial"/>
          <w:u w:val="single"/>
          <w:lang w:val="fr-CH"/>
        </w:rPr>
        <w:t>réputation</w:t>
      </w:r>
      <w:r w:rsidRPr="00EF3F43">
        <w:rPr>
          <w:rFonts w:cs="Arial"/>
          <w:u w:val="single"/>
          <w:lang w:val="fr-CH"/>
        </w:rPr>
        <w:t xml:space="preserve"> de </w:t>
      </w:r>
      <w:proofErr w:type="gramStart"/>
      <w:r w:rsidRPr="00EF3F43">
        <w:rPr>
          <w:rFonts w:cs="Arial"/>
          <w:u w:val="single"/>
          <w:lang w:val="fr-CH"/>
        </w:rPr>
        <w:t>l</w:t>
      </w:r>
      <w:r w:rsidR="00FD2B72" w:rsidRPr="00EF3F43">
        <w:rPr>
          <w:rFonts w:cs="Arial"/>
          <w:u w:val="single"/>
          <w:lang w:val="fr-CH"/>
        </w:rPr>
        <w:t>'</w:t>
      </w:r>
      <w:r w:rsidRPr="00EF3F43">
        <w:rPr>
          <w:rFonts w:cs="Arial"/>
          <w:u w:val="single"/>
          <w:lang w:val="fr-CH"/>
        </w:rPr>
        <w:t>UIT</w:t>
      </w:r>
      <w:r w:rsidRPr="00EF3F43">
        <w:rPr>
          <w:rFonts w:cs="Arial"/>
          <w:lang w:val="fr-CH"/>
        </w:rPr>
        <w:t>:</w:t>
      </w:r>
      <w:bookmarkEnd w:id="37"/>
      <w:proofErr w:type="gramEnd"/>
      <w:r w:rsidRPr="00EF3F43">
        <w:rPr>
          <w:rFonts w:cs="Arial"/>
          <w:lang w:val="fr-CH"/>
        </w:rPr>
        <w:t xml:space="preserve"> </w:t>
      </w:r>
      <w:bookmarkStart w:id="38" w:name="lt_pId096"/>
      <w:r w:rsidR="0007782B" w:rsidRPr="00EF3F43">
        <w:rPr>
          <w:rFonts w:cs="Arial"/>
          <w:lang w:val="fr-CH"/>
        </w:rPr>
        <w:t>l</w:t>
      </w:r>
      <w:r w:rsidRPr="00EF3F43">
        <w:rPr>
          <w:rFonts w:cs="Arial"/>
          <w:lang w:val="fr-CH"/>
        </w:rPr>
        <w:t>es accords de financement</w:t>
      </w:r>
      <w:r w:rsidRPr="00EF3F43">
        <w:rPr>
          <w:lang w:val="fr-CH"/>
        </w:rPr>
        <w:t>/partenariat ne doivent pas porter atteinte à l'intégrité, à l'indépendance et à l'impartialité de l'UIT, ni conférer un avantage indu. En particulier, ces accords ne doivent pas indiquer ou laisser entendre qu'un bailleur de fonds/partenaire</w:t>
      </w:r>
      <w:r w:rsidR="0007782B" w:rsidRPr="00EF3F43">
        <w:rPr>
          <w:lang w:val="fr-CH"/>
        </w:rPr>
        <w:t>,</w:t>
      </w:r>
      <w:r w:rsidRPr="00EF3F43">
        <w:rPr>
          <w:lang w:val="fr-CH"/>
        </w:rPr>
        <w:t xml:space="preserve"> ses politiques, ses produits ou ses services sont directement ou indirectement </w:t>
      </w:r>
      <w:r w:rsidR="00BC1FA8" w:rsidRPr="00EF3F43">
        <w:rPr>
          <w:lang w:val="fr-CH"/>
        </w:rPr>
        <w:t>cautionnés. En</w:t>
      </w:r>
      <w:r w:rsidRPr="00EF3F43">
        <w:rPr>
          <w:lang w:val="fr-CH"/>
        </w:rPr>
        <w:t xml:space="preserve"> outre, une distinction claire doit être établie entre la mobilisation des ressources/le partenariat et la passation de marchés</w:t>
      </w:r>
      <w:bookmarkEnd w:id="38"/>
      <w:r w:rsidR="00FD2B72" w:rsidRPr="00EF3F43">
        <w:rPr>
          <w:lang w:val="fr-CH"/>
        </w:rPr>
        <w:t>.</w:t>
      </w:r>
    </w:p>
    <w:p w:rsidR="0094675C" w:rsidRPr="00EF3F43" w:rsidRDefault="0094675C" w:rsidP="0094675C">
      <w:pPr>
        <w:pStyle w:val="AnnexNo"/>
        <w:rPr>
          <w:sz w:val="22"/>
          <w:szCs w:val="22"/>
          <w:lang w:val="fr-CH"/>
        </w:rPr>
      </w:pPr>
      <w:bookmarkStart w:id="39" w:name="lt_pId099"/>
      <w:bookmarkStart w:id="40" w:name="Annex2"/>
      <w:r w:rsidRPr="00EF3F43">
        <w:rPr>
          <w:lang w:val="fr-CH"/>
        </w:rPr>
        <w:lastRenderedPageBreak/>
        <w:t>ANNEXE 2</w:t>
      </w:r>
      <w:bookmarkEnd w:id="39"/>
    </w:p>
    <w:bookmarkEnd w:id="40"/>
    <w:p w:rsidR="0094675C" w:rsidRPr="00EF3F43" w:rsidRDefault="0094675C" w:rsidP="0094675C">
      <w:pPr>
        <w:pStyle w:val="Annextitle"/>
        <w:rPr>
          <w:lang w:val="fr-CH"/>
        </w:rPr>
      </w:pPr>
      <w:r w:rsidRPr="00EF3F43">
        <w:rPr>
          <w:lang w:val="fr-CH"/>
        </w:rPr>
        <w:t>Domaines dans lesquels des recettes pourraient être dégagées</w:t>
      </w:r>
    </w:p>
    <w:tbl>
      <w:tblPr>
        <w:tblStyle w:val="TableGrid"/>
        <w:tblW w:w="9634" w:type="dxa"/>
        <w:tblLayout w:type="fixed"/>
        <w:tblLook w:val="04A0" w:firstRow="1" w:lastRow="0" w:firstColumn="1" w:lastColumn="0" w:noHBand="0" w:noVBand="1"/>
      </w:tblPr>
      <w:tblGrid>
        <w:gridCol w:w="2830"/>
        <w:gridCol w:w="6804"/>
      </w:tblGrid>
      <w:tr w:rsidR="0094675C" w:rsidRPr="00EF3F43" w:rsidTr="00E9380E">
        <w:tc>
          <w:tcPr>
            <w:tcW w:w="2830" w:type="dxa"/>
            <w:shd w:val="clear" w:color="auto" w:fill="auto"/>
          </w:tcPr>
          <w:p w:rsidR="0094675C" w:rsidRPr="00EF3F43" w:rsidRDefault="0094675C" w:rsidP="006C1831">
            <w:pPr>
              <w:pStyle w:val="Tablehead"/>
              <w:jc w:val="left"/>
              <w:rPr>
                <w:lang w:val="fr-CH"/>
              </w:rPr>
            </w:pPr>
            <w:r w:rsidRPr="00EF3F43">
              <w:rPr>
                <w:lang w:val="fr-CH"/>
              </w:rPr>
              <w:t>Domaine privilégié</w:t>
            </w:r>
          </w:p>
        </w:tc>
        <w:tc>
          <w:tcPr>
            <w:tcW w:w="6804" w:type="dxa"/>
          </w:tcPr>
          <w:p w:rsidR="0094675C" w:rsidRPr="00EF3F43" w:rsidRDefault="0094675C" w:rsidP="006C1831">
            <w:pPr>
              <w:pStyle w:val="Tablehead"/>
              <w:jc w:val="left"/>
              <w:rPr>
                <w:rFonts w:asciiTheme="minorHAnsi" w:hAnsiTheme="minorHAnsi"/>
                <w:bCs/>
                <w:lang w:val="fr-CH"/>
              </w:rPr>
            </w:pPr>
            <w:r w:rsidRPr="00EF3F43">
              <w:rPr>
                <w:lang w:val="fr-CH"/>
              </w:rPr>
              <w:t>Mesures à prendre</w:t>
            </w:r>
          </w:p>
        </w:tc>
      </w:tr>
      <w:tr w:rsidR="0094675C" w:rsidRPr="00EF3F43" w:rsidTr="00E9380E">
        <w:tc>
          <w:tcPr>
            <w:tcW w:w="2830" w:type="dxa"/>
            <w:shd w:val="clear" w:color="auto" w:fill="auto"/>
          </w:tcPr>
          <w:p w:rsidR="0094675C" w:rsidRPr="00EF3F43" w:rsidRDefault="0094675C" w:rsidP="006C1831">
            <w:pPr>
              <w:pStyle w:val="Tabletext"/>
              <w:rPr>
                <w:b/>
                <w:bCs/>
                <w:lang w:val="fr-CH"/>
              </w:rPr>
            </w:pPr>
            <w:r w:rsidRPr="00EF3F43">
              <w:rPr>
                <w:b/>
                <w:bCs/>
                <w:lang w:val="fr-CH"/>
              </w:rPr>
              <w:t>Prix du marché pour certains numéros + droit de gestion annuel</w:t>
            </w:r>
          </w:p>
        </w:tc>
        <w:tc>
          <w:tcPr>
            <w:tcW w:w="6804" w:type="dxa"/>
          </w:tcPr>
          <w:p w:rsidR="0094675C" w:rsidRPr="00EF3F43" w:rsidRDefault="0094675C" w:rsidP="004B22EC">
            <w:pPr>
              <w:pStyle w:val="Tabletext"/>
              <w:rPr>
                <w:vertAlign w:val="superscript"/>
                <w:lang w:val="fr-CH"/>
              </w:rPr>
            </w:pPr>
            <w:bookmarkStart w:id="41" w:name="lt_pId104"/>
            <w:r w:rsidRPr="00EF3F43">
              <w:rPr>
                <w:lang w:val="fr-CH"/>
              </w:rPr>
              <w:t xml:space="preserve">Analyse de marché complète des ressources de </w:t>
            </w:r>
            <w:proofErr w:type="gramStart"/>
            <w:r w:rsidRPr="00EF3F43">
              <w:rPr>
                <w:lang w:val="fr-CH"/>
              </w:rPr>
              <w:t>numérotage</w:t>
            </w:r>
            <w:r w:rsidR="0007782B" w:rsidRPr="00EF3F43">
              <w:rPr>
                <w:lang w:val="fr-CH"/>
              </w:rPr>
              <w:t>:</w:t>
            </w:r>
            <w:proofErr w:type="gramEnd"/>
            <w:r w:rsidRPr="00EF3F43">
              <w:rPr>
                <w:lang w:val="fr-CH"/>
              </w:rPr>
              <w:t xml:space="preserve"> ressources de numérotage internationales (par exemple</w:t>
            </w:r>
            <w:r w:rsidR="007C7A1D" w:rsidRPr="00EF3F43">
              <w:rPr>
                <w:lang w:val="fr-CH"/>
              </w:rPr>
              <w:t xml:space="preserve"> indicatifs de pays E.164, SANC</w:t>
            </w:r>
            <w:r w:rsidR="007C7A1D" w:rsidRPr="00EF3F43">
              <w:rPr>
                <w:rStyle w:val="FootnoteReference"/>
                <w:lang w:val="fr-CH"/>
              </w:rPr>
              <w:footnoteReference w:id="1"/>
            </w:r>
            <w:r w:rsidR="0007782B" w:rsidRPr="00EF3F43">
              <w:rPr>
                <w:rStyle w:val="FootnoteReference"/>
                <w:lang w:val="fr-CH"/>
              </w:rPr>
              <w:t>,</w:t>
            </w:r>
            <w:r w:rsidRPr="00EF3F43">
              <w:rPr>
                <w:lang w:val="fr-CH"/>
              </w:rPr>
              <w:t xml:space="preserve"> environ dix types de numéros). Ressources de numérotage universelles (par exemple numéros UIFN</w:t>
            </w:r>
            <w:r w:rsidR="00BC1FA8" w:rsidRPr="00EF3F43">
              <w:rPr>
                <w:rStyle w:val="FootnoteReference"/>
                <w:lang w:val="fr-CH"/>
              </w:rPr>
              <w:footnoteReference w:id="2"/>
            </w:r>
            <w:r w:rsidR="00BC1FA8" w:rsidRPr="00EF3F43">
              <w:rPr>
                <w:rStyle w:val="FootnoteReference"/>
                <w:lang w:val="fr-CH"/>
              </w:rPr>
              <w:t>,</w:t>
            </w:r>
            <w:r w:rsidR="00BC1FA8" w:rsidRPr="00EF3F43">
              <w:rPr>
                <w:lang w:val="fr-CH"/>
              </w:rPr>
              <w:t xml:space="preserve"> </w:t>
            </w:r>
            <w:r w:rsidRPr="00EF3F43">
              <w:rPr>
                <w:lang w:val="fr-CH"/>
              </w:rPr>
              <w:t>environ six types de numéros).</w:t>
            </w:r>
            <w:r w:rsidR="006C1831" w:rsidRPr="00EF3F43">
              <w:rPr>
                <w:lang w:val="fr-CH"/>
              </w:rPr>
              <w:t xml:space="preserve"> </w:t>
            </w:r>
            <w:r w:rsidRPr="00EF3F43">
              <w:rPr>
                <w:lang w:val="fr-CH"/>
              </w:rPr>
              <w:t>Etudier les services à valeur ajoutée que l</w:t>
            </w:r>
            <w:r w:rsidR="00FD2B72" w:rsidRPr="00EF3F43">
              <w:rPr>
                <w:lang w:val="fr-CH"/>
              </w:rPr>
              <w:t>'</w:t>
            </w:r>
            <w:r w:rsidRPr="00EF3F43">
              <w:rPr>
                <w:lang w:val="fr-CH"/>
              </w:rPr>
              <w:t>UIT pourrait fournir</w:t>
            </w:r>
            <w:bookmarkEnd w:id="41"/>
            <w:r w:rsidR="006C1831" w:rsidRPr="00EF3F43">
              <w:rPr>
                <w:lang w:val="fr-CH"/>
              </w:rPr>
              <w:t>.</w:t>
            </w:r>
          </w:p>
        </w:tc>
      </w:tr>
      <w:tr w:rsidR="0094675C" w:rsidRPr="00EF3F43" w:rsidTr="00E9380E">
        <w:tc>
          <w:tcPr>
            <w:tcW w:w="2830" w:type="dxa"/>
            <w:shd w:val="clear" w:color="auto" w:fill="auto"/>
          </w:tcPr>
          <w:p w:rsidR="0094675C" w:rsidRPr="00EF3F43" w:rsidRDefault="00014DCF" w:rsidP="006C1831">
            <w:pPr>
              <w:pStyle w:val="Tabletext"/>
              <w:rPr>
                <w:b/>
                <w:bCs/>
                <w:lang w:val="fr-CH"/>
              </w:rPr>
            </w:pPr>
            <w:hyperlink r:id="rId16" w:history="1">
              <w:r w:rsidR="0094675C" w:rsidRPr="00EF3F43">
                <w:rPr>
                  <w:rStyle w:val="Hyperlink"/>
                  <w:b/>
                  <w:bCs/>
                  <w:lang w:val="fr-CH"/>
                </w:rPr>
                <w:t>Lutte contre la c</w:t>
              </w:r>
              <w:r w:rsidR="0094675C" w:rsidRPr="00EF3F43">
                <w:rPr>
                  <w:rStyle w:val="Hyperlink"/>
                  <w:b/>
                  <w:bCs/>
                  <w:lang w:val="fr-CH"/>
                </w:rPr>
                <w:t>o</w:t>
              </w:r>
              <w:r w:rsidR="0094675C" w:rsidRPr="00EF3F43">
                <w:rPr>
                  <w:rStyle w:val="Hyperlink"/>
                  <w:b/>
                  <w:bCs/>
                  <w:lang w:val="fr-CH"/>
                </w:rPr>
                <w:t>ntrefaçon des publicatio</w:t>
              </w:r>
              <w:bookmarkStart w:id="42" w:name="_GoBack"/>
              <w:bookmarkEnd w:id="42"/>
              <w:r w:rsidR="0094675C" w:rsidRPr="00EF3F43">
                <w:rPr>
                  <w:rStyle w:val="Hyperlink"/>
                  <w:b/>
                  <w:bCs/>
                  <w:lang w:val="fr-CH"/>
                </w:rPr>
                <w:t>n</w:t>
              </w:r>
              <w:r w:rsidR="0094675C" w:rsidRPr="00EF3F43">
                <w:rPr>
                  <w:rStyle w:val="Hyperlink"/>
                  <w:b/>
                  <w:bCs/>
                  <w:lang w:val="fr-CH"/>
                </w:rPr>
                <w:t>s</w:t>
              </w:r>
              <w:r w:rsidR="0094675C" w:rsidRPr="00EF3F43">
                <w:rPr>
                  <w:rStyle w:val="Hyperlink"/>
                  <w:b/>
                  <w:bCs/>
                  <w:lang w:val="fr-CH"/>
                </w:rPr>
                <w:t xml:space="preserve"> maritimes</w:t>
              </w:r>
            </w:hyperlink>
            <w:r w:rsidR="0094675C" w:rsidRPr="00EF3F43">
              <w:rPr>
                <w:b/>
                <w:bCs/>
                <w:lang w:val="fr-CH"/>
              </w:rPr>
              <w:t xml:space="preserve"> </w:t>
            </w:r>
          </w:p>
        </w:tc>
        <w:tc>
          <w:tcPr>
            <w:tcW w:w="6804" w:type="dxa"/>
          </w:tcPr>
          <w:p w:rsidR="0094675C" w:rsidRPr="00EF3F43" w:rsidRDefault="0094675C" w:rsidP="006C1831">
            <w:pPr>
              <w:pStyle w:val="Tabletext"/>
              <w:rPr>
                <w:lang w:val="fr-CH"/>
              </w:rPr>
            </w:pPr>
            <w:bookmarkStart w:id="43" w:name="lt_pId110"/>
            <w:r w:rsidRPr="00EF3F43">
              <w:rPr>
                <w:lang w:val="fr-CH"/>
              </w:rPr>
              <w:t>Elaborer un projet pilote. Convenir de la question à examiner, des objectifs, de la portée et du calendrier du projet pilote</w:t>
            </w:r>
            <w:r w:rsidR="0007782B" w:rsidRPr="00EF3F43">
              <w:rPr>
                <w:lang w:val="fr-CH"/>
              </w:rPr>
              <w:t>,</w:t>
            </w:r>
            <w:r w:rsidRPr="00EF3F43">
              <w:rPr>
                <w:lang w:val="fr-CH"/>
              </w:rPr>
              <w:t xml:space="preserve"> par exemple lutte contre la contrefaçon des publications</w:t>
            </w:r>
            <w:r w:rsidR="0007782B" w:rsidRPr="00EF3F43">
              <w:rPr>
                <w:lang w:val="fr-CH"/>
              </w:rPr>
              <w:t>,</w:t>
            </w:r>
            <w:r w:rsidRPr="00EF3F43">
              <w:rPr>
                <w:lang w:val="fr-CH"/>
              </w:rPr>
              <w:t xml:space="preserve"> à commencer par les publications maritimes</w:t>
            </w:r>
            <w:bookmarkStart w:id="44" w:name="lt_pId111"/>
            <w:bookmarkEnd w:id="43"/>
            <w:r w:rsidRPr="00EF3F43">
              <w:rPr>
                <w:rFonts w:asciiTheme="minorHAnsi" w:hAnsiTheme="minorHAnsi"/>
                <w:lang w:val="fr-CH"/>
              </w:rPr>
              <w:t>.</w:t>
            </w:r>
            <w:bookmarkEnd w:id="44"/>
          </w:p>
        </w:tc>
      </w:tr>
      <w:tr w:rsidR="0094675C" w:rsidRPr="00EF3F43" w:rsidTr="00E9380E">
        <w:tc>
          <w:tcPr>
            <w:tcW w:w="2830" w:type="dxa"/>
            <w:shd w:val="clear" w:color="auto" w:fill="auto"/>
          </w:tcPr>
          <w:p w:rsidR="0094675C" w:rsidRPr="00EF3F43" w:rsidRDefault="0094675C" w:rsidP="006C1831">
            <w:pPr>
              <w:pStyle w:val="Tabletext"/>
              <w:rPr>
                <w:b/>
                <w:bCs/>
                <w:lang w:val="fr-CH"/>
              </w:rPr>
            </w:pPr>
            <w:r w:rsidRPr="00EF3F43">
              <w:rPr>
                <w:b/>
                <w:bCs/>
                <w:lang w:val="fr-CH"/>
              </w:rPr>
              <w:t>Recettes pour des projets</w:t>
            </w:r>
          </w:p>
        </w:tc>
        <w:tc>
          <w:tcPr>
            <w:tcW w:w="6804" w:type="dxa"/>
          </w:tcPr>
          <w:p w:rsidR="0094675C" w:rsidRPr="00EF3F43" w:rsidRDefault="0094675C" w:rsidP="006C1831">
            <w:pPr>
              <w:pStyle w:val="Tabletext"/>
              <w:rPr>
                <w:rFonts w:eastAsia="Calibri" w:cs="Calibri"/>
                <w:color w:val="000000"/>
                <w:lang w:val="fr-CH"/>
              </w:rPr>
            </w:pPr>
            <w:bookmarkStart w:id="45" w:name="lt_pId113"/>
            <w:r w:rsidRPr="00EF3F43">
              <w:rPr>
                <w:lang w:val="fr-CH"/>
              </w:rPr>
              <w:t>Analyser l</w:t>
            </w:r>
            <w:r w:rsidR="00FD2B72" w:rsidRPr="00EF3F43">
              <w:rPr>
                <w:lang w:val="fr-CH"/>
              </w:rPr>
              <w:t>'</w:t>
            </w:r>
            <w:r w:rsidRPr="00EF3F43">
              <w:rPr>
                <w:lang w:val="fr-CH"/>
              </w:rPr>
              <w:t>évolution de l</w:t>
            </w:r>
            <w:r w:rsidR="00FD2B72" w:rsidRPr="00EF3F43">
              <w:rPr>
                <w:lang w:val="fr-CH"/>
              </w:rPr>
              <w:t>'</w:t>
            </w:r>
            <w:r w:rsidRPr="00EF3F43">
              <w:rPr>
                <w:lang w:val="fr-CH"/>
              </w:rPr>
              <w:t>environnement du financement et renforcer les efforts de mobilisation des ressources de l</w:t>
            </w:r>
            <w:r w:rsidR="00FD2B72" w:rsidRPr="00EF3F43">
              <w:rPr>
                <w:lang w:val="fr-CH"/>
              </w:rPr>
              <w:t>'</w:t>
            </w:r>
            <w:r w:rsidRPr="00EF3F43">
              <w:rPr>
                <w:lang w:val="fr-CH"/>
              </w:rPr>
              <w:t>UIT pour les projets dans le cadre des travaux préparatoires en vue de la CMDT-17</w:t>
            </w:r>
            <w:bookmarkEnd w:id="45"/>
            <w:r w:rsidR="0007782B" w:rsidRPr="00EF3F43">
              <w:rPr>
                <w:lang w:val="fr-CH"/>
              </w:rPr>
              <w:t>.</w:t>
            </w:r>
          </w:p>
        </w:tc>
      </w:tr>
      <w:tr w:rsidR="0094675C" w:rsidRPr="00EF3F43" w:rsidTr="00E9380E">
        <w:tc>
          <w:tcPr>
            <w:tcW w:w="2830" w:type="dxa"/>
            <w:shd w:val="clear" w:color="auto" w:fill="auto"/>
          </w:tcPr>
          <w:p w:rsidR="0094675C" w:rsidRPr="00EF3F43" w:rsidRDefault="0094675C" w:rsidP="006C1831">
            <w:pPr>
              <w:pStyle w:val="Tabletext"/>
              <w:rPr>
                <w:b/>
                <w:bCs/>
                <w:lang w:val="fr-CH"/>
              </w:rPr>
            </w:pPr>
            <w:bookmarkStart w:id="46" w:name="lt_pId114"/>
            <w:r w:rsidRPr="00EF3F43">
              <w:rPr>
                <w:b/>
                <w:bCs/>
                <w:lang w:val="fr-CH"/>
              </w:rPr>
              <w:t xml:space="preserve">Accroître le nombre de Membres de Secteur contribuant à taux plein </w:t>
            </w:r>
            <w:bookmarkEnd w:id="46"/>
          </w:p>
        </w:tc>
        <w:tc>
          <w:tcPr>
            <w:tcW w:w="6804" w:type="dxa"/>
          </w:tcPr>
          <w:p w:rsidR="0094675C" w:rsidRPr="00EF3F43" w:rsidRDefault="0094675C" w:rsidP="00BC1FA8">
            <w:pPr>
              <w:pStyle w:val="Tabletext"/>
              <w:rPr>
                <w:rFonts w:asciiTheme="minorHAnsi" w:hAnsiTheme="minorHAnsi"/>
                <w:lang w:val="fr-CH"/>
              </w:rPr>
            </w:pPr>
            <w:bookmarkStart w:id="47" w:name="lt_pId115"/>
            <w:r w:rsidRPr="00EF3F43">
              <w:rPr>
                <w:lang w:val="fr-CH"/>
              </w:rPr>
              <w:t xml:space="preserve">Dresser une liste des principales entreprises potentielles et mettre en </w:t>
            </w:r>
            <w:r w:rsidR="007F08A1" w:rsidRPr="00EF3F43">
              <w:rPr>
                <w:lang w:val="fr-CH"/>
              </w:rPr>
              <w:t>oe</w:t>
            </w:r>
            <w:r w:rsidRPr="00EF3F43">
              <w:rPr>
                <w:lang w:val="fr-CH"/>
              </w:rPr>
              <w:t xml:space="preserve">uvre une stratégie de communication en coordination </w:t>
            </w:r>
            <w:r w:rsidR="00BC1FA8" w:rsidRPr="00EF3F43">
              <w:rPr>
                <w:lang w:val="fr-CH"/>
              </w:rPr>
              <w:t xml:space="preserve">avec les Etats </w:t>
            </w:r>
            <w:r w:rsidRPr="00EF3F43">
              <w:rPr>
                <w:lang w:val="fr-CH"/>
              </w:rPr>
              <w:t>M</w:t>
            </w:r>
            <w:r w:rsidR="00BC1FA8" w:rsidRPr="00EF3F43">
              <w:rPr>
                <w:lang w:val="fr-CH"/>
              </w:rPr>
              <w:t>e</w:t>
            </w:r>
            <w:r w:rsidRPr="00EF3F43">
              <w:rPr>
                <w:lang w:val="fr-CH"/>
              </w:rPr>
              <w:t>mbres, l</w:t>
            </w:r>
            <w:r w:rsidR="00FD2B72" w:rsidRPr="00EF3F43">
              <w:rPr>
                <w:lang w:val="fr-CH"/>
              </w:rPr>
              <w:t>'</w:t>
            </w:r>
            <w:r w:rsidRPr="00EF3F43">
              <w:rPr>
                <w:lang w:val="fr-CH"/>
              </w:rPr>
              <w:t>accent étant mis non seulement sur le secteur des TIC, mais aussi sur les secteurs de l</w:t>
            </w:r>
            <w:r w:rsidR="00FD2B72" w:rsidRPr="00EF3F43">
              <w:rPr>
                <w:lang w:val="fr-CH"/>
              </w:rPr>
              <w:t>'</w:t>
            </w:r>
            <w:r w:rsidRPr="00EF3F43">
              <w:rPr>
                <w:lang w:val="fr-CH"/>
              </w:rPr>
              <w:t>automobile, de la santé et des finances</w:t>
            </w:r>
            <w:r w:rsidRPr="00EF3F43">
              <w:rPr>
                <w:rFonts w:asciiTheme="minorHAnsi" w:hAnsiTheme="minorHAnsi"/>
                <w:szCs w:val="20"/>
                <w:lang w:val="fr-CH"/>
              </w:rPr>
              <w:t>.</w:t>
            </w:r>
            <w:bookmarkEnd w:id="47"/>
          </w:p>
        </w:tc>
      </w:tr>
      <w:tr w:rsidR="0094675C" w:rsidRPr="00EF3F43" w:rsidTr="00E9380E">
        <w:tc>
          <w:tcPr>
            <w:tcW w:w="2830" w:type="dxa"/>
            <w:shd w:val="clear" w:color="auto" w:fill="auto"/>
          </w:tcPr>
          <w:p w:rsidR="0094675C" w:rsidRPr="00EF3F43" w:rsidRDefault="0094675C" w:rsidP="006C1831">
            <w:pPr>
              <w:pStyle w:val="Tabletext"/>
              <w:rPr>
                <w:b/>
                <w:bCs/>
                <w:lang w:val="fr-CH"/>
              </w:rPr>
            </w:pPr>
            <w:r w:rsidRPr="00EF3F43">
              <w:rPr>
                <w:b/>
                <w:bCs/>
                <w:lang w:val="fr-CH"/>
              </w:rPr>
              <w:t>Forums et manifestations</w:t>
            </w:r>
          </w:p>
        </w:tc>
        <w:tc>
          <w:tcPr>
            <w:tcW w:w="6804" w:type="dxa"/>
          </w:tcPr>
          <w:p w:rsidR="0094675C" w:rsidRPr="00EF3F43" w:rsidRDefault="0094675C" w:rsidP="006C1831">
            <w:pPr>
              <w:pStyle w:val="Tabletext"/>
              <w:rPr>
                <w:lang w:val="fr-CH"/>
              </w:rPr>
            </w:pPr>
            <w:bookmarkStart w:id="48" w:name="lt_pId117"/>
            <w:r w:rsidRPr="00EF3F43">
              <w:rPr>
                <w:lang w:val="fr-CH"/>
              </w:rPr>
              <w:t>Analyser les manifestations actuelles de l</w:t>
            </w:r>
            <w:r w:rsidR="00FD2B72" w:rsidRPr="00EF3F43">
              <w:rPr>
                <w:lang w:val="fr-CH"/>
              </w:rPr>
              <w:t>'</w:t>
            </w:r>
            <w:r w:rsidRPr="00EF3F43">
              <w:rPr>
                <w:lang w:val="fr-CH"/>
              </w:rPr>
              <w:t>UIT suscitant un grand</w:t>
            </w:r>
            <w:r w:rsidR="001F22BB" w:rsidRPr="00EF3F43">
              <w:rPr>
                <w:lang w:val="fr-CH"/>
              </w:rPr>
              <w:t xml:space="preserve"> intérêt auprès des entreprises</w:t>
            </w:r>
            <w:r w:rsidRPr="00EF3F43">
              <w:rPr>
                <w:lang w:val="fr-CH"/>
              </w:rPr>
              <w:t>.</w:t>
            </w:r>
            <w:r w:rsidR="001F22BB" w:rsidRPr="00EF3F43">
              <w:rPr>
                <w:lang w:val="fr-CH"/>
              </w:rPr>
              <w:t xml:space="preserve"> </w:t>
            </w:r>
            <w:r w:rsidRPr="00EF3F43">
              <w:rPr>
                <w:lang w:val="fr-CH"/>
              </w:rPr>
              <w:t>Procéder également à des études de marché et à des analyses, y compris à des analyses comparatives avec les concurrents potentiels</w:t>
            </w:r>
            <w:bookmarkEnd w:id="48"/>
            <w:r w:rsidR="0007782B" w:rsidRPr="00EF3F43">
              <w:rPr>
                <w:lang w:val="fr-CH"/>
              </w:rPr>
              <w:t>.</w:t>
            </w:r>
          </w:p>
        </w:tc>
      </w:tr>
      <w:tr w:rsidR="0094675C" w:rsidRPr="00EF3F43" w:rsidTr="00E9380E">
        <w:tc>
          <w:tcPr>
            <w:tcW w:w="2830" w:type="dxa"/>
            <w:shd w:val="clear" w:color="auto" w:fill="auto"/>
          </w:tcPr>
          <w:p w:rsidR="0094675C" w:rsidRPr="00EF3F43" w:rsidRDefault="0094675C" w:rsidP="006C1831">
            <w:pPr>
              <w:pStyle w:val="Tabletext"/>
              <w:rPr>
                <w:rFonts w:asciiTheme="minorHAnsi" w:hAnsiTheme="minorHAnsi"/>
                <w:b/>
                <w:bCs/>
                <w:lang w:val="fr-CH"/>
              </w:rPr>
            </w:pPr>
            <w:r w:rsidRPr="00EF3F43">
              <w:rPr>
                <w:b/>
                <w:bCs/>
                <w:lang w:val="fr-CH"/>
              </w:rPr>
              <w:t>Conformité</w:t>
            </w:r>
          </w:p>
        </w:tc>
        <w:tc>
          <w:tcPr>
            <w:tcW w:w="6804" w:type="dxa"/>
          </w:tcPr>
          <w:p w:rsidR="0094675C" w:rsidRPr="00EF3F43" w:rsidRDefault="0094675C" w:rsidP="006C1831">
            <w:pPr>
              <w:pStyle w:val="Tabletext"/>
              <w:rPr>
                <w:lang w:val="fr-CH"/>
              </w:rPr>
            </w:pPr>
            <w:bookmarkStart w:id="49" w:name="lt_pId120"/>
            <w:r w:rsidRPr="00EF3F43">
              <w:rPr>
                <w:lang w:val="fr-CH"/>
              </w:rPr>
              <w:t>Mener des analyses et des travaux de recherche pour identifier les mesures permettant de générer des recettes</w:t>
            </w:r>
            <w:bookmarkEnd w:id="49"/>
            <w:r w:rsidR="0007782B" w:rsidRPr="00EF3F43">
              <w:rPr>
                <w:lang w:val="fr-CH"/>
              </w:rPr>
              <w:t>.</w:t>
            </w:r>
          </w:p>
        </w:tc>
      </w:tr>
    </w:tbl>
    <w:p w:rsidR="0094675C" w:rsidRPr="00EF3F43" w:rsidRDefault="0094675C" w:rsidP="0094675C">
      <w:pPr>
        <w:rPr>
          <w:lang w:val="fr-CH"/>
        </w:rPr>
      </w:pPr>
    </w:p>
    <w:p w:rsidR="00BC1FA8" w:rsidRPr="00EF3F43" w:rsidRDefault="00BC1FA8" w:rsidP="0032202E">
      <w:pPr>
        <w:pStyle w:val="Reasons"/>
        <w:rPr>
          <w:lang w:val="fr-CH"/>
        </w:rPr>
      </w:pPr>
    </w:p>
    <w:p w:rsidR="00BC1FA8" w:rsidRPr="00EF3F43" w:rsidRDefault="00BC1FA8">
      <w:pPr>
        <w:jc w:val="center"/>
        <w:rPr>
          <w:lang w:val="fr-CH"/>
        </w:rPr>
      </w:pPr>
      <w:r w:rsidRPr="00EF3F43">
        <w:rPr>
          <w:lang w:val="fr-CH"/>
        </w:rPr>
        <w:t>______________</w:t>
      </w:r>
    </w:p>
    <w:p w:rsidR="00BC1FA8" w:rsidRPr="00EF3F43" w:rsidRDefault="00BC1FA8" w:rsidP="0094675C">
      <w:pPr>
        <w:rPr>
          <w:lang w:val="fr-CH"/>
        </w:rPr>
      </w:pPr>
    </w:p>
    <w:sectPr w:rsidR="00BC1FA8" w:rsidRPr="00EF3F43"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D3" w:rsidRDefault="005B12D3">
      <w:r>
        <w:separator/>
      </w:r>
    </w:p>
  </w:endnote>
  <w:endnote w:type="continuationSeparator" w:id="0">
    <w:p w:rsidR="005B12D3" w:rsidRDefault="005B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14DCF">
    <w:pPr>
      <w:pStyle w:val="Footer"/>
    </w:pPr>
    <w:r>
      <w:fldChar w:fldCharType="begin"/>
    </w:r>
    <w:r>
      <w:instrText xml:space="preserve"> FILENAME \p \* MERGEFORMAT </w:instrText>
    </w:r>
    <w:r>
      <w:fldChar w:fldCharType="separate"/>
    </w:r>
    <w:r w:rsidR="00EF3F43">
      <w:t>P:\FRA\SG\CONSEIL\C17\000\067F.docx</w:t>
    </w:r>
    <w:r>
      <w:fldChar w:fldCharType="end"/>
    </w:r>
    <w:r w:rsidR="00732045">
      <w:tab/>
    </w:r>
    <w:r w:rsidR="002F1B76">
      <w:fldChar w:fldCharType="begin"/>
    </w:r>
    <w:r w:rsidR="00732045">
      <w:instrText xml:space="preserve"> savedate \@ dd.MM.yy </w:instrText>
    </w:r>
    <w:r w:rsidR="002F1B76">
      <w:fldChar w:fldCharType="separate"/>
    </w:r>
    <w:r>
      <w:t>20.04.17</w:t>
    </w:r>
    <w:r w:rsidR="002F1B76">
      <w:fldChar w:fldCharType="end"/>
    </w:r>
    <w:r w:rsidR="00732045">
      <w:tab/>
    </w:r>
    <w:r w:rsidR="002F1B76">
      <w:fldChar w:fldCharType="begin"/>
    </w:r>
    <w:r w:rsidR="00732045">
      <w:instrText xml:space="preserve"> printdate \@ dd.MM.yy </w:instrText>
    </w:r>
    <w:r w:rsidR="002F1B76">
      <w:fldChar w:fldCharType="separate"/>
    </w:r>
    <w:r w:rsidR="00EF3F43">
      <w:t>20.04.17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014DCF" w:rsidRDefault="00014DCF">
    <w:pPr>
      <w:pStyle w:val="Footer"/>
      <w:rPr>
        <w:color w:val="D9D9D9" w:themeColor="background1" w:themeShade="D9"/>
      </w:rPr>
    </w:pPr>
    <w:r w:rsidRPr="00014DCF">
      <w:rPr>
        <w:color w:val="D9D9D9" w:themeColor="background1" w:themeShade="D9"/>
      </w:rPr>
      <w:fldChar w:fldCharType="begin"/>
    </w:r>
    <w:r w:rsidRPr="00014DCF">
      <w:rPr>
        <w:color w:val="D9D9D9" w:themeColor="background1" w:themeShade="D9"/>
      </w:rPr>
      <w:instrText xml:space="preserve"> FILENAME \p \* MERGEFORMAT </w:instrText>
    </w:r>
    <w:r w:rsidRPr="00014DCF">
      <w:rPr>
        <w:color w:val="D9D9D9" w:themeColor="background1" w:themeShade="D9"/>
      </w:rPr>
      <w:fldChar w:fldCharType="separate"/>
    </w:r>
    <w:r w:rsidR="00EF3F43" w:rsidRPr="00014DCF">
      <w:rPr>
        <w:color w:val="D9D9D9" w:themeColor="background1" w:themeShade="D9"/>
      </w:rPr>
      <w:t>P:\FRA\SG\CONSEIL\C17\000\067F.docx</w:t>
    </w:r>
    <w:r w:rsidRPr="00014DCF">
      <w:rPr>
        <w:color w:val="D9D9D9" w:themeColor="background1" w:themeShade="D9"/>
      </w:rPr>
      <w:fldChar w:fldCharType="end"/>
    </w:r>
    <w:r w:rsidR="00FD2B72" w:rsidRPr="00014DCF">
      <w:rPr>
        <w:color w:val="D9D9D9" w:themeColor="background1" w:themeShade="D9"/>
      </w:rPr>
      <w:t xml:space="preserve"> (413899)</w:t>
    </w:r>
    <w:r w:rsidR="00732045" w:rsidRPr="00014DCF">
      <w:rPr>
        <w:color w:val="D9D9D9" w:themeColor="background1" w:themeShade="D9"/>
      </w:rPr>
      <w:tab/>
    </w:r>
    <w:r w:rsidR="002F1B76" w:rsidRPr="00014DCF">
      <w:rPr>
        <w:color w:val="D9D9D9" w:themeColor="background1" w:themeShade="D9"/>
      </w:rPr>
      <w:fldChar w:fldCharType="begin"/>
    </w:r>
    <w:r w:rsidR="00732045" w:rsidRPr="00014DCF">
      <w:rPr>
        <w:color w:val="D9D9D9" w:themeColor="background1" w:themeShade="D9"/>
      </w:rPr>
      <w:instrText xml:space="preserve"> savedate \@ dd.MM.yy </w:instrText>
    </w:r>
    <w:r w:rsidR="002F1B76" w:rsidRPr="00014DCF">
      <w:rPr>
        <w:color w:val="D9D9D9" w:themeColor="background1" w:themeShade="D9"/>
      </w:rPr>
      <w:fldChar w:fldCharType="separate"/>
    </w:r>
    <w:r w:rsidRPr="00014DCF">
      <w:rPr>
        <w:color w:val="D9D9D9" w:themeColor="background1" w:themeShade="D9"/>
      </w:rPr>
      <w:t>20.04.17</w:t>
    </w:r>
    <w:r w:rsidR="002F1B76" w:rsidRPr="00014DCF">
      <w:rPr>
        <w:color w:val="D9D9D9" w:themeColor="background1" w:themeShade="D9"/>
      </w:rPr>
      <w:fldChar w:fldCharType="end"/>
    </w:r>
    <w:r w:rsidR="00732045" w:rsidRPr="00014DCF">
      <w:rPr>
        <w:color w:val="D9D9D9" w:themeColor="background1" w:themeShade="D9"/>
      </w:rPr>
      <w:tab/>
    </w:r>
    <w:r w:rsidR="002F1B76" w:rsidRPr="00014DCF">
      <w:rPr>
        <w:color w:val="D9D9D9" w:themeColor="background1" w:themeShade="D9"/>
      </w:rPr>
      <w:fldChar w:fldCharType="begin"/>
    </w:r>
    <w:r w:rsidR="00732045" w:rsidRPr="00014DCF">
      <w:rPr>
        <w:color w:val="D9D9D9" w:themeColor="background1" w:themeShade="D9"/>
      </w:rPr>
      <w:instrText xml:space="preserve"> printdate \@ dd.MM.yy </w:instrText>
    </w:r>
    <w:r w:rsidR="002F1B76" w:rsidRPr="00014DCF">
      <w:rPr>
        <w:color w:val="D9D9D9" w:themeColor="background1" w:themeShade="D9"/>
      </w:rPr>
      <w:fldChar w:fldCharType="separate"/>
    </w:r>
    <w:r w:rsidR="00EF3F43" w:rsidRPr="00014DCF">
      <w:rPr>
        <w:color w:val="D9D9D9" w:themeColor="background1" w:themeShade="D9"/>
      </w:rPr>
      <w:t>20.04.17</w:t>
    </w:r>
    <w:r w:rsidR="002F1B76" w:rsidRPr="00014DCF">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014DCF" w:rsidRDefault="00436FFE" w:rsidP="00FD2B72">
    <w:pPr>
      <w:pStyle w:val="Footer"/>
      <w:rPr>
        <w:color w:val="D9D9D9" w:themeColor="background1" w:themeShade="D9"/>
      </w:rPr>
    </w:pPr>
    <w:r w:rsidRPr="00014DCF">
      <w:rPr>
        <w:color w:val="D9D9D9" w:themeColor="background1" w:themeShade="D9"/>
      </w:rPr>
      <w:fldChar w:fldCharType="begin"/>
    </w:r>
    <w:r w:rsidRPr="00014DCF">
      <w:rPr>
        <w:color w:val="D9D9D9" w:themeColor="background1" w:themeShade="D9"/>
      </w:rPr>
      <w:instrText xml:space="preserve"> FILENAME \p \* MERGEFORMAT </w:instrText>
    </w:r>
    <w:r w:rsidRPr="00014DCF">
      <w:rPr>
        <w:color w:val="D9D9D9" w:themeColor="background1" w:themeShade="D9"/>
      </w:rPr>
      <w:fldChar w:fldCharType="separate"/>
    </w:r>
    <w:r w:rsidR="00EF3F43" w:rsidRPr="00014DCF">
      <w:rPr>
        <w:color w:val="D9D9D9" w:themeColor="background1" w:themeShade="D9"/>
      </w:rPr>
      <w:t>P:\FRA\SG\CONSEIL\C17\000\067F.docx</w:t>
    </w:r>
    <w:r w:rsidRPr="00014DCF">
      <w:rPr>
        <w:color w:val="D9D9D9" w:themeColor="background1" w:themeShade="D9"/>
      </w:rPr>
      <w:fldChar w:fldCharType="end"/>
    </w:r>
    <w:r w:rsidR="00FD2B72" w:rsidRPr="00014DCF">
      <w:rPr>
        <w:color w:val="D9D9D9" w:themeColor="background1" w:themeShade="D9"/>
      </w:rPr>
      <w:t xml:space="preserve"> (413899)</w:t>
    </w:r>
    <w:r w:rsidR="00FD2B72" w:rsidRPr="00014DCF">
      <w:rPr>
        <w:color w:val="D9D9D9" w:themeColor="background1" w:themeShade="D9"/>
      </w:rPr>
      <w:tab/>
    </w:r>
    <w:r w:rsidR="00FD2B72" w:rsidRPr="00014DCF">
      <w:rPr>
        <w:color w:val="D9D9D9" w:themeColor="background1" w:themeShade="D9"/>
      </w:rPr>
      <w:fldChar w:fldCharType="begin"/>
    </w:r>
    <w:r w:rsidR="00FD2B72" w:rsidRPr="00014DCF">
      <w:rPr>
        <w:color w:val="D9D9D9" w:themeColor="background1" w:themeShade="D9"/>
      </w:rPr>
      <w:instrText xml:space="preserve"> savedate \@ dd.MM.yy </w:instrText>
    </w:r>
    <w:r w:rsidR="00FD2B72" w:rsidRPr="00014DCF">
      <w:rPr>
        <w:color w:val="D9D9D9" w:themeColor="background1" w:themeShade="D9"/>
      </w:rPr>
      <w:fldChar w:fldCharType="separate"/>
    </w:r>
    <w:r w:rsidR="00014DCF" w:rsidRPr="00014DCF">
      <w:rPr>
        <w:color w:val="D9D9D9" w:themeColor="background1" w:themeShade="D9"/>
      </w:rPr>
      <w:t>20.04.17</w:t>
    </w:r>
    <w:r w:rsidR="00FD2B72" w:rsidRPr="00014DCF">
      <w:rPr>
        <w:color w:val="D9D9D9" w:themeColor="background1" w:themeShade="D9"/>
      </w:rPr>
      <w:fldChar w:fldCharType="end"/>
    </w:r>
    <w:r w:rsidR="00FD2B72" w:rsidRPr="00014DCF">
      <w:rPr>
        <w:color w:val="D9D9D9" w:themeColor="background1" w:themeShade="D9"/>
      </w:rPr>
      <w:tab/>
    </w:r>
    <w:r w:rsidR="00FD2B72" w:rsidRPr="00014DCF">
      <w:rPr>
        <w:color w:val="D9D9D9" w:themeColor="background1" w:themeShade="D9"/>
      </w:rPr>
      <w:fldChar w:fldCharType="begin"/>
    </w:r>
    <w:r w:rsidR="00FD2B72" w:rsidRPr="00014DCF">
      <w:rPr>
        <w:color w:val="D9D9D9" w:themeColor="background1" w:themeShade="D9"/>
      </w:rPr>
      <w:instrText xml:space="preserve"> printdate \@ dd.MM.yy </w:instrText>
    </w:r>
    <w:r w:rsidR="00FD2B72" w:rsidRPr="00014DCF">
      <w:rPr>
        <w:color w:val="D9D9D9" w:themeColor="background1" w:themeShade="D9"/>
      </w:rPr>
      <w:fldChar w:fldCharType="separate"/>
    </w:r>
    <w:r w:rsidR="00EF3F43" w:rsidRPr="00014DCF">
      <w:rPr>
        <w:color w:val="D9D9D9" w:themeColor="background1" w:themeShade="D9"/>
      </w:rPr>
      <w:t>20.04.17</w:t>
    </w:r>
    <w:r w:rsidR="00FD2B72" w:rsidRPr="00014DC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D3" w:rsidRDefault="005B12D3">
      <w:r>
        <w:t>____________________</w:t>
      </w:r>
    </w:p>
  </w:footnote>
  <w:footnote w:type="continuationSeparator" w:id="0">
    <w:p w:rsidR="005B12D3" w:rsidRDefault="005B12D3">
      <w:r>
        <w:continuationSeparator/>
      </w:r>
    </w:p>
  </w:footnote>
  <w:footnote w:id="1">
    <w:p w:rsidR="007C7A1D" w:rsidRPr="0091259E" w:rsidRDefault="007C7A1D" w:rsidP="0091259E">
      <w:pPr>
        <w:pStyle w:val="FootnoteText"/>
        <w:snapToGrid w:val="0"/>
        <w:spacing w:before="0"/>
        <w:rPr>
          <w:rFonts w:asciiTheme="minorHAnsi" w:hAnsiTheme="minorHAnsi"/>
          <w:szCs w:val="24"/>
          <w:lang w:val="fr-CH"/>
        </w:rPr>
      </w:pPr>
      <w:r w:rsidRPr="002E2B4B">
        <w:rPr>
          <w:rStyle w:val="FootnoteReference"/>
          <w:rFonts w:asciiTheme="minorHAnsi" w:hAnsiTheme="minorHAnsi"/>
          <w:sz w:val="20"/>
        </w:rPr>
        <w:footnoteRef/>
      </w:r>
      <w:r>
        <w:rPr>
          <w:rFonts w:asciiTheme="minorHAnsi" w:hAnsiTheme="minorHAnsi"/>
          <w:sz w:val="20"/>
        </w:rPr>
        <w:tab/>
      </w:r>
      <w:proofErr w:type="gramStart"/>
      <w:r w:rsidRPr="0091259E">
        <w:rPr>
          <w:rFonts w:asciiTheme="minorHAnsi" w:hAnsiTheme="minorHAnsi"/>
          <w:szCs w:val="24"/>
          <w:lang w:val="fr-CH"/>
        </w:rPr>
        <w:t>SANC:</w:t>
      </w:r>
      <w:proofErr w:type="gramEnd"/>
      <w:r w:rsidRPr="0091259E">
        <w:rPr>
          <w:rFonts w:asciiTheme="minorHAnsi" w:hAnsiTheme="minorHAnsi"/>
          <w:szCs w:val="24"/>
          <w:lang w:val="fr-CH"/>
        </w:rPr>
        <w:t xml:space="preserve"> </w:t>
      </w:r>
      <w:r w:rsidR="0091259E" w:rsidRPr="0091259E">
        <w:rPr>
          <w:rFonts w:asciiTheme="minorHAnsi" w:hAnsiTheme="minorHAnsi"/>
          <w:szCs w:val="24"/>
          <w:lang w:val="fr-CH"/>
        </w:rPr>
        <w:t>code de réseau pour l'accès au service</w:t>
      </w:r>
      <w:r w:rsidRPr="0091259E">
        <w:rPr>
          <w:rFonts w:asciiTheme="minorHAnsi" w:hAnsiTheme="minorHAnsi"/>
          <w:szCs w:val="24"/>
          <w:lang w:val="fr-CH"/>
        </w:rPr>
        <w:t>.</w:t>
      </w:r>
    </w:p>
  </w:footnote>
  <w:footnote w:id="2">
    <w:p w:rsidR="00BC1FA8" w:rsidRPr="0091259E" w:rsidRDefault="00BC1FA8" w:rsidP="0091259E">
      <w:pPr>
        <w:pStyle w:val="FootnoteText"/>
        <w:snapToGrid w:val="0"/>
        <w:spacing w:before="0"/>
        <w:rPr>
          <w:sz w:val="20"/>
          <w:lang w:val="fr-CH"/>
        </w:rPr>
      </w:pPr>
      <w:r w:rsidRPr="002E2B4B">
        <w:rPr>
          <w:rStyle w:val="FootnoteReference"/>
          <w:rFonts w:asciiTheme="minorHAnsi" w:hAnsiTheme="minorHAnsi"/>
          <w:sz w:val="20"/>
        </w:rPr>
        <w:footnoteRef/>
      </w:r>
      <w:r w:rsidRPr="0091259E">
        <w:rPr>
          <w:rFonts w:asciiTheme="minorHAnsi" w:hAnsiTheme="minorHAnsi"/>
          <w:sz w:val="20"/>
          <w:lang w:val="fr-CH"/>
        </w:rPr>
        <w:tab/>
      </w:r>
      <w:proofErr w:type="gramStart"/>
      <w:r w:rsidRPr="0091259E">
        <w:rPr>
          <w:rFonts w:asciiTheme="minorHAnsi" w:hAnsiTheme="minorHAnsi"/>
          <w:szCs w:val="24"/>
          <w:lang w:val="fr-CH"/>
        </w:rPr>
        <w:t>UIFN:</w:t>
      </w:r>
      <w:proofErr w:type="gramEnd"/>
      <w:r w:rsidRPr="0091259E">
        <w:rPr>
          <w:rFonts w:asciiTheme="minorHAnsi" w:hAnsiTheme="minorHAnsi"/>
          <w:szCs w:val="24"/>
          <w:lang w:val="fr-CH"/>
        </w:rPr>
        <w:t xml:space="preserve"> </w:t>
      </w:r>
      <w:r w:rsidR="0091259E" w:rsidRPr="0091259E">
        <w:rPr>
          <w:rFonts w:asciiTheme="minorHAnsi" w:hAnsiTheme="minorHAnsi"/>
          <w:szCs w:val="24"/>
          <w:lang w:val="fr-CH"/>
        </w:rPr>
        <w:t>numéro universel du service de libre appel international</w:t>
      </w:r>
      <w:r w:rsidRPr="0091259E">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014DCF">
      <w:rPr>
        <w:noProof/>
      </w:rPr>
      <w:t>2</w:t>
    </w:r>
    <w:r>
      <w:rPr>
        <w:noProof/>
      </w:rPr>
      <w:fldChar w:fldCharType="end"/>
    </w:r>
  </w:p>
  <w:p w:rsidR="00732045" w:rsidRDefault="00732045" w:rsidP="0093234A">
    <w:pPr>
      <w:pStyle w:val="Header"/>
    </w:pPr>
    <w:r>
      <w:t>C1</w:t>
    </w:r>
    <w:r w:rsidR="0093234A">
      <w:t>7</w:t>
    </w:r>
    <w:r w:rsidR="00FD2B72">
      <w:t>/67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948ED"/>
    <w:multiLevelType w:val="hybridMultilevel"/>
    <w:tmpl w:val="61C65506"/>
    <w:lvl w:ilvl="0" w:tplc="1F066E84">
      <w:start w:val="4"/>
      <w:numFmt w:val="decimal"/>
      <w:lvlText w:val="%1"/>
      <w:lvlJc w:val="left"/>
      <w:pPr>
        <w:ind w:left="720" w:hanging="360"/>
      </w:pPr>
      <w:rPr>
        <w:rFonts w:ascii="Calibri" w:hAnsi="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D3"/>
    <w:rsid w:val="00014DCF"/>
    <w:rsid w:val="0007782B"/>
    <w:rsid w:val="000D0D0A"/>
    <w:rsid w:val="00103163"/>
    <w:rsid w:val="00115D93"/>
    <w:rsid w:val="001247A8"/>
    <w:rsid w:val="001378C0"/>
    <w:rsid w:val="0018694A"/>
    <w:rsid w:val="001A3287"/>
    <w:rsid w:val="001A6508"/>
    <w:rsid w:val="001D4C31"/>
    <w:rsid w:val="001E4D21"/>
    <w:rsid w:val="001F22BB"/>
    <w:rsid w:val="00207CD1"/>
    <w:rsid w:val="002477A2"/>
    <w:rsid w:val="00263A51"/>
    <w:rsid w:val="00267E02"/>
    <w:rsid w:val="002A5D44"/>
    <w:rsid w:val="002E0BC4"/>
    <w:rsid w:val="002F1B76"/>
    <w:rsid w:val="00355FF5"/>
    <w:rsid w:val="00361350"/>
    <w:rsid w:val="004038CB"/>
    <w:rsid w:val="0040546F"/>
    <w:rsid w:val="0042404A"/>
    <w:rsid w:val="00436FFE"/>
    <w:rsid w:val="0044618F"/>
    <w:rsid w:val="0046769A"/>
    <w:rsid w:val="00475FB3"/>
    <w:rsid w:val="004B22EC"/>
    <w:rsid w:val="004C37A9"/>
    <w:rsid w:val="004F259E"/>
    <w:rsid w:val="00511F1D"/>
    <w:rsid w:val="00520F36"/>
    <w:rsid w:val="00540615"/>
    <w:rsid w:val="00540A6D"/>
    <w:rsid w:val="00571EEA"/>
    <w:rsid w:val="00575417"/>
    <w:rsid w:val="005768E1"/>
    <w:rsid w:val="005B12D3"/>
    <w:rsid w:val="005C3890"/>
    <w:rsid w:val="005F7BFE"/>
    <w:rsid w:val="00600017"/>
    <w:rsid w:val="006235CA"/>
    <w:rsid w:val="006643AB"/>
    <w:rsid w:val="006C1831"/>
    <w:rsid w:val="007210CD"/>
    <w:rsid w:val="00732045"/>
    <w:rsid w:val="007369DB"/>
    <w:rsid w:val="007956C2"/>
    <w:rsid w:val="007A187E"/>
    <w:rsid w:val="007C72C2"/>
    <w:rsid w:val="007C7A1D"/>
    <w:rsid w:val="007D4436"/>
    <w:rsid w:val="007F08A1"/>
    <w:rsid w:val="007F257A"/>
    <w:rsid w:val="007F3665"/>
    <w:rsid w:val="00800037"/>
    <w:rsid w:val="008379CB"/>
    <w:rsid w:val="00861D73"/>
    <w:rsid w:val="008A4E87"/>
    <w:rsid w:val="008D76E6"/>
    <w:rsid w:val="0091259E"/>
    <w:rsid w:val="0092392D"/>
    <w:rsid w:val="0093234A"/>
    <w:rsid w:val="0094675C"/>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C1FA8"/>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F3F43"/>
    <w:rsid w:val="00F15B57"/>
    <w:rsid w:val="00F427DB"/>
    <w:rsid w:val="00F6361B"/>
    <w:rsid w:val="00FA5EB1"/>
    <w:rsid w:val="00FA7439"/>
    <w:rsid w:val="00FC4EC0"/>
    <w:rsid w:val="00FD2B7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9F9F8BC-2385-44A3-826C-083ECC15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aliases w:val="Char"/>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94675C"/>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character" w:customStyle="1" w:styleId="ListParagraphChar">
    <w:name w:val="List Paragraph Char"/>
    <w:basedOn w:val="DefaultParagraphFont"/>
    <w:link w:val="ListParagraph"/>
    <w:uiPriority w:val="34"/>
    <w:locked/>
    <w:rsid w:val="0094675C"/>
    <w:rPr>
      <w:rFonts w:ascii="Times New Roman" w:hAnsi="Times New Roman"/>
      <w:sz w:val="24"/>
      <w:lang w:val="en-GB" w:eastAsia="en-US"/>
    </w:rPr>
  </w:style>
  <w:style w:type="paragraph" w:customStyle="1" w:styleId="Default">
    <w:name w:val="Default"/>
    <w:rsid w:val="0094675C"/>
    <w:pPr>
      <w:autoSpaceDE w:val="0"/>
      <w:autoSpaceDN w:val="0"/>
      <w:adjustRightInd w:val="0"/>
      <w:spacing w:before="180"/>
      <w:jc w:val="both"/>
    </w:pPr>
    <w:rPr>
      <w:rFonts w:ascii="Calibri" w:eastAsia="Batang" w:hAnsi="Calibri" w:cs="Calibri"/>
      <w:color w:val="000000"/>
      <w:sz w:val="24"/>
      <w:szCs w:val="24"/>
      <w:lang w:eastAsia="ko-KR"/>
    </w:rPr>
  </w:style>
  <w:style w:type="table" w:styleId="TableGrid">
    <w:name w:val="Table Grid"/>
    <w:basedOn w:val="TableNormal"/>
    <w:uiPriority w:val="59"/>
    <w:rsid w:val="0094675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har Char"/>
    <w:basedOn w:val="DefaultParagraphFont"/>
    <w:link w:val="FootnoteText"/>
    <w:uiPriority w:val="99"/>
    <w:qFormat/>
    <w:rsid w:val="007C7A1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FHRM7-C-0005/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council/Documents/2017/ITUSponsorshipguidelin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TnDEMP36in4&amp;t=105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WGFHRM7-INF-0001/en" TargetMode="External"/><Relationship Id="rId5" Type="http://schemas.openxmlformats.org/officeDocument/2006/relationships/webSettings" Target="webSettings.xml"/><Relationship Id="rId15" Type="http://schemas.openxmlformats.org/officeDocument/2006/relationships/hyperlink" Target="https://business.un.org/en/documents/guidelines" TargetMode="External"/><Relationship Id="rId23" Type="http://schemas.openxmlformats.org/officeDocument/2006/relationships/theme" Target="theme/theme1.xml"/><Relationship Id="rId10" Type="http://schemas.openxmlformats.org/officeDocument/2006/relationships/hyperlink" Target="http://www.itu.int/md/S17-CL-C-005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S16-CL-C-0049/en" TargetMode="External"/><Relationship Id="rId14" Type="http://schemas.openxmlformats.org/officeDocument/2006/relationships/hyperlink" Target="https://www.unglobalcompact.org/what-is-gc/mission/principle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3725-EE85-44C7-9E67-6FEF1CAA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0</TotalTime>
  <Pages>5</Pages>
  <Words>1972</Words>
  <Characters>11660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13605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Améliorer la stabilité et la prévisibilité des bases financières de l'Union</dc:title>
  <dc:subject>Conseil 2017</dc:subject>
  <dc:creator>Alidra, Patricia</dc:creator>
  <cp:keywords>C2017, C17</cp:keywords>
  <dc:description>Document C17/-F  Pour: _x000d_Date du document: janvier 2017_x000d_Enregistré par ITU51009317 à 15:30:24 le 06/04/2017</dc:description>
  <cp:lastModifiedBy>Brouard, Ricarda</cp:lastModifiedBy>
  <cp:revision>2</cp:revision>
  <cp:lastPrinted>2017-04-20T13:17:00Z</cp:lastPrinted>
  <dcterms:created xsi:type="dcterms:W3CDTF">2017-04-21T08:19:00Z</dcterms:created>
  <dcterms:modified xsi:type="dcterms:W3CDTF">2017-04-21T08:19:00Z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