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E2B4B" w:rsidRPr="00813E5E" w14:paraId="4793C755" w14:textId="77777777">
        <w:trPr>
          <w:cantSplit/>
        </w:trPr>
        <w:tc>
          <w:tcPr>
            <w:tcW w:w="6911" w:type="dxa"/>
          </w:tcPr>
          <w:p w14:paraId="658B7435" w14:textId="77777777" w:rsidR="002E2B4B" w:rsidRPr="00813E5E" w:rsidRDefault="002E2B4B" w:rsidP="002E2B4B">
            <w:pPr>
              <w:spacing w:before="360" w:after="48" w:line="240" w:lineRule="atLeast"/>
              <w:rPr>
                <w:position w:val="6"/>
              </w:rPr>
            </w:pPr>
            <w:bookmarkStart w:id="0" w:name="dc06"/>
            <w:bookmarkStart w:id="1" w:name="_GoBack"/>
            <w:bookmarkEnd w:id="0"/>
            <w:bookmarkEnd w:id="1"/>
            <w:r w:rsidRPr="002E2B4B">
              <w:rPr>
                <w:b/>
                <w:bCs/>
                <w:position w:val="6"/>
                <w:sz w:val="30"/>
                <w:szCs w:val="30"/>
                <w:lang w:val="fr-CH"/>
              </w:rPr>
              <w:t>Council 2017</w:t>
            </w:r>
            <w:r w:rsidRPr="002E2B4B">
              <w:rPr>
                <w:rFonts w:cs="Times"/>
                <w:b/>
                <w:position w:val="6"/>
                <w:sz w:val="26"/>
                <w:szCs w:val="26"/>
                <w:lang w:val="en-US"/>
              </w:rPr>
              <w:br/>
            </w:r>
            <w:r w:rsidRPr="002E2B4B">
              <w:rPr>
                <w:b/>
                <w:bCs/>
                <w:position w:val="6"/>
                <w:szCs w:val="24"/>
                <w:lang w:val="fr-CH"/>
              </w:rPr>
              <w:t>Geneva, 15-25 May 2017</w:t>
            </w:r>
          </w:p>
        </w:tc>
        <w:tc>
          <w:tcPr>
            <w:tcW w:w="3120" w:type="dxa"/>
          </w:tcPr>
          <w:p w14:paraId="31F60E6A" w14:textId="77777777" w:rsidR="002E2B4B" w:rsidRPr="00813E5E" w:rsidRDefault="002E2B4B" w:rsidP="002E2B4B">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14:anchorId="12F549EB" wp14:editId="67216C9F">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E2B4B" w:rsidRPr="00813E5E" w14:paraId="5EEED188" w14:textId="77777777">
        <w:trPr>
          <w:cantSplit/>
        </w:trPr>
        <w:tc>
          <w:tcPr>
            <w:tcW w:w="6911" w:type="dxa"/>
            <w:tcBorders>
              <w:bottom w:val="single" w:sz="12" w:space="0" w:color="auto"/>
            </w:tcBorders>
          </w:tcPr>
          <w:p w14:paraId="0B52E505" w14:textId="77777777" w:rsidR="002E2B4B" w:rsidRPr="00813E5E" w:rsidRDefault="002E2B4B">
            <w:pPr>
              <w:spacing w:before="0" w:after="48" w:line="240" w:lineRule="atLeast"/>
              <w:rPr>
                <w:b/>
                <w:smallCaps/>
                <w:szCs w:val="24"/>
              </w:rPr>
            </w:pPr>
          </w:p>
        </w:tc>
        <w:tc>
          <w:tcPr>
            <w:tcW w:w="3120" w:type="dxa"/>
            <w:tcBorders>
              <w:bottom w:val="single" w:sz="12" w:space="0" w:color="auto"/>
            </w:tcBorders>
          </w:tcPr>
          <w:p w14:paraId="06289BD4" w14:textId="77777777" w:rsidR="002E2B4B" w:rsidRPr="00813E5E" w:rsidRDefault="002E2B4B">
            <w:pPr>
              <w:spacing w:before="0" w:line="240" w:lineRule="atLeast"/>
              <w:rPr>
                <w:szCs w:val="24"/>
              </w:rPr>
            </w:pPr>
          </w:p>
        </w:tc>
      </w:tr>
      <w:tr w:rsidR="002E2B4B" w:rsidRPr="00813E5E" w14:paraId="4B7D8C3B" w14:textId="77777777">
        <w:trPr>
          <w:cantSplit/>
        </w:trPr>
        <w:tc>
          <w:tcPr>
            <w:tcW w:w="6911" w:type="dxa"/>
            <w:tcBorders>
              <w:top w:val="single" w:sz="12" w:space="0" w:color="auto"/>
            </w:tcBorders>
          </w:tcPr>
          <w:p w14:paraId="0AE92D1F" w14:textId="77777777" w:rsidR="002E2B4B" w:rsidRPr="00813E5E" w:rsidRDefault="002E2B4B" w:rsidP="002E2B4B">
            <w:pPr>
              <w:spacing w:before="0" w:line="240" w:lineRule="atLeast"/>
              <w:rPr>
                <w:b/>
                <w:smallCaps/>
                <w:szCs w:val="24"/>
              </w:rPr>
            </w:pPr>
          </w:p>
        </w:tc>
        <w:tc>
          <w:tcPr>
            <w:tcW w:w="3120" w:type="dxa"/>
            <w:tcBorders>
              <w:top w:val="single" w:sz="12" w:space="0" w:color="auto"/>
            </w:tcBorders>
          </w:tcPr>
          <w:p w14:paraId="2E74A227" w14:textId="77777777" w:rsidR="002E2B4B" w:rsidRPr="00813E5E" w:rsidRDefault="002E2B4B" w:rsidP="002E2B4B">
            <w:pPr>
              <w:spacing w:before="0" w:line="240" w:lineRule="atLeast"/>
              <w:rPr>
                <w:szCs w:val="24"/>
              </w:rPr>
            </w:pPr>
          </w:p>
        </w:tc>
      </w:tr>
      <w:tr w:rsidR="002E2B4B" w:rsidRPr="00813E5E" w14:paraId="6C8D783F" w14:textId="77777777">
        <w:trPr>
          <w:cantSplit/>
          <w:trHeight w:val="23"/>
        </w:trPr>
        <w:tc>
          <w:tcPr>
            <w:tcW w:w="6911" w:type="dxa"/>
            <w:vMerge w:val="restart"/>
          </w:tcPr>
          <w:p w14:paraId="2A799A03" w14:textId="77777777" w:rsidR="002E2B4B" w:rsidRPr="002E2B4B" w:rsidRDefault="002E2B4B" w:rsidP="002E2B4B">
            <w:pPr>
              <w:tabs>
                <w:tab w:val="left" w:pos="851"/>
              </w:tabs>
              <w:spacing w:before="0" w:line="240" w:lineRule="atLeast"/>
              <w:rPr>
                <w:b/>
              </w:rPr>
            </w:pPr>
            <w:bookmarkStart w:id="3" w:name="dmeeting" w:colFirst="0" w:colLast="0"/>
            <w:bookmarkStart w:id="4" w:name="dnum" w:colFirst="1" w:colLast="1"/>
            <w:r>
              <w:rPr>
                <w:b/>
              </w:rPr>
              <w:t>Agenda item: ADM 9</w:t>
            </w:r>
          </w:p>
        </w:tc>
        <w:tc>
          <w:tcPr>
            <w:tcW w:w="3120" w:type="dxa"/>
          </w:tcPr>
          <w:p w14:paraId="1616321E" w14:textId="77777777" w:rsidR="002E2B4B" w:rsidRPr="002E2B4B" w:rsidRDefault="002E2B4B" w:rsidP="002E2B4B">
            <w:pPr>
              <w:tabs>
                <w:tab w:val="left" w:pos="851"/>
              </w:tabs>
              <w:spacing w:before="0" w:line="240" w:lineRule="atLeast"/>
              <w:rPr>
                <w:b/>
              </w:rPr>
            </w:pPr>
            <w:r>
              <w:rPr>
                <w:b/>
              </w:rPr>
              <w:t>Document C17/67-E</w:t>
            </w:r>
          </w:p>
        </w:tc>
      </w:tr>
      <w:tr w:rsidR="002E2B4B" w:rsidRPr="00813E5E" w14:paraId="532554A5" w14:textId="77777777">
        <w:trPr>
          <w:cantSplit/>
          <w:trHeight w:val="23"/>
        </w:trPr>
        <w:tc>
          <w:tcPr>
            <w:tcW w:w="6911" w:type="dxa"/>
            <w:vMerge/>
          </w:tcPr>
          <w:p w14:paraId="0A4AF071" w14:textId="77777777" w:rsidR="002E2B4B" w:rsidRPr="00813E5E" w:rsidRDefault="002E2B4B">
            <w:pPr>
              <w:tabs>
                <w:tab w:val="left" w:pos="851"/>
              </w:tabs>
              <w:spacing w:line="240" w:lineRule="atLeast"/>
              <w:rPr>
                <w:b/>
              </w:rPr>
            </w:pPr>
            <w:bookmarkStart w:id="5" w:name="ddate" w:colFirst="1" w:colLast="1"/>
            <w:bookmarkEnd w:id="3"/>
            <w:bookmarkEnd w:id="4"/>
          </w:p>
        </w:tc>
        <w:tc>
          <w:tcPr>
            <w:tcW w:w="3120" w:type="dxa"/>
          </w:tcPr>
          <w:p w14:paraId="77F6D3B9" w14:textId="77777777" w:rsidR="002E2B4B" w:rsidRPr="002E2B4B" w:rsidRDefault="002E2B4B" w:rsidP="002E2B4B">
            <w:pPr>
              <w:tabs>
                <w:tab w:val="left" w:pos="993"/>
              </w:tabs>
              <w:spacing w:before="0"/>
              <w:rPr>
                <w:b/>
              </w:rPr>
            </w:pPr>
            <w:r>
              <w:rPr>
                <w:b/>
              </w:rPr>
              <w:t>14 March 2017</w:t>
            </w:r>
          </w:p>
        </w:tc>
      </w:tr>
      <w:tr w:rsidR="002E2B4B" w:rsidRPr="00813E5E" w14:paraId="6284C999" w14:textId="77777777">
        <w:trPr>
          <w:cantSplit/>
          <w:trHeight w:val="23"/>
        </w:trPr>
        <w:tc>
          <w:tcPr>
            <w:tcW w:w="6911" w:type="dxa"/>
            <w:vMerge/>
          </w:tcPr>
          <w:p w14:paraId="5A2D2245" w14:textId="77777777" w:rsidR="002E2B4B" w:rsidRPr="00813E5E" w:rsidRDefault="002E2B4B">
            <w:pPr>
              <w:tabs>
                <w:tab w:val="left" w:pos="851"/>
              </w:tabs>
              <w:spacing w:line="240" w:lineRule="atLeast"/>
              <w:rPr>
                <w:b/>
              </w:rPr>
            </w:pPr>
            <w:bookmarkStart w:id="6" w:name="dorlang" w:colFirst="1" w:colLast="1"/>
            <w:bookmarkEnd w:id="5"/>
          </w:p>
        </w:tc>
        <w:tc>
          <w:tcPr>
            <w:tcW w:w="3120" w:type="dxa"/>
          </w:tcPr>
          <w:p w14:paraId="1088933A" w14:textId="77777777" w:rsidR="002E2B4B" w:rsidRPr="002E2B4B" w:rsidRDefault="002E2B4B" w:rsidP="002E2B4B">
            <w:pPr>
              <w:tabs>
                <w:tab w:val="left" w:pos="993"/>
              </w:tabs>
              <w:spacing w:before="0"/>
              <w:rPr>
                <w:b/>
              </w:rPr>
            </w:pPr>
            <w:r>
              <w:rPr>
                <w:b/>
              </w:rPr>
              <w:t>Original: English</w:t>
            </w:r>
          </w:p>
        </w:tc>
      </w:tr>
      <w:tr w:rsidR="002E2B4B" w:rsidRPr="00813E5E" w14:paraId="20ABF8A4" w14:textId="77777777">
        <w:trPr>
          <w:cantSplit/>
        </w:trPr>
        <w:tc>
          <w:tcPr>
            <w:tcW w:w="10031" w:type="dxa"/>
            <w:gridSpan w:val="2"/>
          </w:tcPr>
          <w:p w14:paraId="1B36CEE5" w14:textId="77777777" w:rsidR="002E2B4B" w:rsidRPr="00813E5E" w:rsidRDefault="002E2B4B">
            <w:pPr>
              <w:pStyle w:val="Source"/>
            </w:pPr>
            <w:bookmarkStart w:id="7" w:name="dsource" w:colFirst="0" w:colLast="0"/>
            <w:bookmarkEnd w:id="6"/>
            <w:r>
              <w:t>Report by the Secretary-General</w:t>
            </w:r>
          </w:p>
        </w:tc>
      </w:tr>
      <w:tr w:rsidR="002E2B4B" w:rsidRPr="00813E5E" w14:paraId="27CDF067" w14:textId="77777777">
        <w:trPr>
          <w:cantSplit/>
        </w:trPr>
        <w:tc>
          <w:tcPr>
            <w:tcW w:w="10031" w:type="dxa"/>
            <w:gridSpan w:val="2"/>
          </w:tcPr>
          <w:p w14:paraId="006E7011" w14:textId="77777777" w:rsidR="002E2B4B" w:rsidRPr="00813E5E" w:rsidRDefault="002E2B4B">
            <w:pPr>
              <w:pStyle w:val="Title1"/>
            </w:pPr>
            <w:bookmarkStart w:id="8" w:name="dtitle1" w:colFirst="0" w:colLast="0"/>
            <w:bookmarkEnd w:id="7"/>
            <w:r w:rsidRPr="002E2B4B">
              <w:t xml:space="preserve">Improving the stability and predictability of the </w:t>
            </w:r>
            <w:r>
              <w:br/>
            </w:r>
            <w:r w:rsidRPr="002E2B4B">
              <w:t>financial base of the Union</w:t>
            </w:r>
          </w:p>
        </w:tc>
      </w:tr>
      <w:bookmarkEnd w:id="8"/>
    </w:tbl>
    <w:p w14:paraId="228C6A0D" w14:textId="77777777" w:rsidR="002E2B4B" w:rsidRPr="00813E5E" w:rsidRDefault="002E2B4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E2B4B" w:rsidRPr="00813E5E" w14:paraId="6FB7865C"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FCD3066" w14:textId="77777777" w:rsidR="002E2B4B" w:rsidRPr="00813E5E" w:rsidRDefault="002E2B4B" w:rsidP="005918D2">
            <w:pPr>
              <w:pStyle w:val="Headingb"/>
              <w:jc w:val="both"/>
            </w:pPr>
            <w:r w:rsidRPr="00813E5E">
              <w:t>Summary</w:t>
            </w:r>
          </w:p>
          <w:p w14:paraId="7DC6C009" w14:textId="77777777" w:rsidR="002E2B4B" w:rsidRPr="00813E5E" w:rsidRDefault="002E2B4B" w:rsidP="005918D2">
            <w:pPr>
              <w:jc w:val="both"/>
            </w:pPr>
            <w:r w:rsidRPr="002E2B4B">
              <w:t>In its 2016 report on ITU, the Joint Inspection Unit (JIU) recommended (Recommendation 5) that “the Secretary-General should develop a comprehensive plan to improve the stability and the predictability of the financial base of the Union, integrating options for increasing revenues and cost-saving proposals, and present it to the Council for en</w:t>
            </w:r>
            <w:r>
              <w:t>dorsement at its 2017 session.”</w:t>
            </w:r>
          </w:p>
          <w:p w14:paraId="4CC20EFB" w14:textId="77777777" w:rsidR="002E2B4B" w:rsidRPr="00813E5E" w:rsidRDefault="002E2B4B" w:rsidP="005918D2">
            <w:pPr>
              <w:pStyle w:val="Headingb"/>
              <w:jc w:val="both"/>
            </w:pPr>
            <w:r w:rsidRPr="00813E5E">
              <w:t>Action required</w:t>
            </w:r>
          </w:p>
          <w:p w14:paraId="4BC59ACF" w14:textId="6DC49925" w:rsidR="002E2B4B" w:rsidRPr="00813E5E" w:rsidRDefault="002E2B4B" w:rsidP="001012AB">
            <w:pPr>
              <w:jc w:val="both"/>
            </w:pPr>
            <w:r w:rsidRPr="002E2B4B">
              <w:t xml:space="preserve">The Council </w:t>
            </w:r>
            <w:proofErr w:type="gramStart"/>
            <w:r w:rsidRPr="002E2B4B">
              <w:t>is invited</w:t>
            </w:r>
            <w:proofErr w:type="gramEnd"/>
            <w:r w:rsidRPr="002E2B4B">
              <w:t xml:space="preserve"> </w:t>
            </w:r>
            <w:r w:rsidRPr="002E2B4B">
              <w:rPr>
                <w:b/>
                <w:bCs/>
              </w:rPr>
              <w:t>to</w:t>
            </w:r>
            <w:r w:rsidRPr="002E2B4B">
              <w:t xml:space="preserve"> </w:t>
            </w:r>
            <w:r w:rsidRPr="002E2B4B">
              <w:rPr>
                <w:b/>
                <w:bCs/>
              </w:rPr>
              <w:t>consider</w:t>
            </w:r>
            <w:r w:rsidRPr="002E2B4B">
              <w:t xml:space="preserve"> and </w:t>
            </w:r>
            <w:r w:rsidRPr="002E2B4B">
              <w:rPr>
                <w:b/>
                <w:bCs/>
              </w:rPr>
              <w:t>endorse</w:t>
            </w:r>
            <w:r w:rsidRPr="002E2B4B">
              <w:t xml:space="preserve"> the plan as the basis for improving the stability and the predictability of the financial base of the Union, integrating options for increasing revenues and cost-saving proposals; and to consider the principles outlined in Annex 1.</w:t>
            </w:r>
          </w:p>
          <w:p w14:paraId="76D0D90D" w14:textId="77777777" w:rsidR="002E2B4B" w:rsidRPr="00813E5E" w:rsidRDefault="002E2B4B">
            <w:pPr>
              <w:pStyle w:val="Table"/>
              <w:keepNext w:val="0"/>
              <w:spacing w:before="0" w:after="0"/>
              <w:rPr>
                <w:rFonts w:ascii="Calibri" w:hAnsi="Calibri"/>
                <w:caps w:val="0"/>
                <w:sz w:val="22"/>
              </w:rPr>
            </w:pPr>
            <w:r w:rsidRPr="00813E5E">
              <w:rPr>
                <w:rFonts w:ascii="Calibri" w:hAnsi="Calibri"/>
                <w:caps w:val="0"/>
                <w:sz w:val="22"/>
              </w:rPr>
              <w:t>____________</w:t>
            </w:r>
          </w:p>
          <w:p w14:paraId="4523D078" w14:textId="77777777" w:rsidR="002E2B4B" w:rsidRPr="00813E5E" w:rsidRDefault="002E2B4B">
            <w:pPr>
              <w:pStyle w:val="Headingb"/>
            </w:pPr>
            <w:r w:rsidRPr="00813E5E">
              <w:t>References</w:t>
            </w:r>
          </w:p>
          <w:p w14:paraId="0A01521B" w14:textId="77777777" w:rsidR="002E2B4B" w:rsidRPr="00813E5E" w:rsidRDefault="00C27ED5" w:rsidP="002E2B4B">
            <w:pPr>
              <w:spacing w:after="120"/>
              <w:rPr>
                <w:i/>
                <w:iCs/>
              </w:rPr>
            </w:pPr>
            <w:hyperlink r:id="rId12" w:history="1">
              <w:r w:rsidR="002E2B4B" w:rsidRPr="0029368D">
                <w:rPr>
                  <w:rStyle w:val="Hyperlink"/>
                  <w:i/>
                  <w:iCs/>
                </w:rPr>
                <w:t>C16/49</w:t>
              </w:r>
            </w:hyperlink>
            <w:r w:rsidR="002E2B4B" w:rsidRPr="0029368D">
              <w:rPr>
                <w:i/>
                <w:iCs/>
              </w:rPr>
              <w:t xml:space="preserve"> and </w:t>
            </w:r>
            <w:hyperlink r:id="rId13" w:history="1">
              <w:r w:rsidR="002E2B4B" w:rsidRPr="0029368D">
                <w:rPr>
                  <w:rStyle w:val="Hyperlink"/>
                  <w:i/>
                  <w:iCs/>
                </w:rPr>
                <w:t>C17/50</w:t>
              </w:r>
            </w:hyperlink>
          </w:p>
        </w:tc>
      </w:tr>
    </w:tbl>
    <w:p w14:paraId="7A919A0F" w14:textId="77777777" w:rsidR="002E2B4B" w:rsidRPr="002E2B4B" w:rsidRDefault="002E2B4B" w:rsidP="00DD0958">
      <w:pPr>
        <w:tabs>
          <w:tab w:val="clear" w:pos="567"/>
          <w:tab w:val="clear" w:pos="1134"/>
          <w:tab w:val="clear" w:pos="1701"/>
          <w:tab w:val="clear" w:pos="2268"/>
          <w:tab w:val="clear" w:pos="2835"/>
        </w:tabs>
        <w:snapToGrid w:val="0"/>
        <w:spacing w:before="600" w:after="120"/>
        <w:jc w:val="both"/>
        <w:rPr>
          <w:rFonts w:asciiTheme="minorHAnsi" w:hAnsiTheme="minorHAnsi" w:cstheme="majorBidi"/>
          <w:b/>
          <w:bCs/>
          <w:szCs w:val="24"/>
        </w:rPr>
      </w:pPr>
      <w:bookmarkStart w:id="9" w:name="dstart"/>
      <w:bookmarkStart w:id="10" w:name="dbreak"/>
      <w:bookmarkEnd w:id="9"/>
      <w:bookmarkEnd w:id="10"/>
      <w:r w:rsidRPr="002E2B4B">
        <w:rPr>
          <w:rStyle w:val="hps"/>
          <w:rFonts w:asciiTheme="minorHAnsi" w:hAnsiTheme="minorHAnsi"/>
          <w:b/>
          <w:bCs/>
          <w:szCs w:val="24"/>
        </w:rPr>
        <w:t>1</w:t>
      </w:r>
      <w:r w:rsidRPr="002E2B4B">
        <w:rPr>
          <w:rFonts w:asciiTheme="minorHAnsi" w:hAnsiTheme="minorHAnsi" w:cstheme="majorBidi"/>
          <w:b/>
          <w:bCs/>
          <w:szCs w:val="24"/>
        </w:rPr>
        <w:tab/>
        <w:t>Introduction</w:t>
      </w:r>
    </w:p>
    <w:p w14:paraId="3ED03CAB" w14:textId="77777777" w:rsidR="002E2B4B" w:rsidRPr="002E2B4B" w:rsidRDefault="002E2B4B" w:rsidP="005918D2">
      <w:pPr>
        <w:tabs>
          <w:tab w:val="clear" w:pos="567"/>
          <w:tab w:val="clear" w:pos="1134"/>
          <w:tab w:val="clear" w:pos="1701"/>
          <w:tab w:val="clear" w:pos="2268"/>
          <w:tab w:val="clear" w:pos="2835"/>
        </w:tabs>
        <w:snapToGrid w:val="0"/>
        <w:spacing w:after="120"/>
        <w:jc w:val="both"/>
        <w:rPr>
          <w:rFonts w:asciiTheme="minorHAnsi" w:hAnsiTheme="minorHAnsi" w:cstheme="majorBidi"/>
          <w:szCs w:val="24"/>
        </w:rPr>
      </w:pPr>
      <w:r w:rsidRPr="002E2B4B">
        <w:rPr>
          <w:rFonts w:asciiTheme="minorHAnsi" w:hAnsiTheme="minorHAnsi" w:cstheme="majorBidi"/>
          <w:szCs w:val="24"/>
        </w:rPr>
        <w:t>In its 2016 report on ITU, the Joint Inspection Unit (JIU) recommended (Recommendation 5) that “the Secretary-General should develop a comprehensive plan to improve the stability and the predictability of the financial base of the Union, integrating options for increasing revenues and cost-saving proposals, and present it to the Council for en</w:t>
      </w:r>
      <w:r w:rsidR="00F85D28">
        <w:rPr>
          <w:rFonts w:asciiTheme="minorHAnsi" w:hAnsiTheme="minorHAnsi" w:cstheme="majorBidi"/>
          <w:szCs w:val="24"/>
        </w:rPr>
        <w:t>dorsement at its 2017 session.”</w:t>
      </w:r>
    </w:p>
    <w:p w14:paraId="55B4327A" w14:textId="29149665" w:rsidR="002E2B4B" w:rsidRPr="002E2B4B" w:rsidRDefault="002E2B4B" w:rsidP="005918D2">
      <w:pPr>
        <w:tabs>
          <w:tab w:val="clear" w:pos="567"/>
          <w:tab w:val="clear" w:pos="1134"/>
          <w:tab w:val="clear" w:pos="1701"/>
          <w:tab w:val="clear" w:pos="2268"/>
          <w:tab w:val="clear" w:pos="2835"/>
        </w:tabs>
        <w:snapToGrid w:val="0"/>
        <w:spacing w:after="120"/>
        <w:jc w:val="both"/>
        <w:rPr>
          <w:rFonts w:asciiTheme="minorHAnsi" w:hAnsiTheme="minorHAnsi" w:cstheme="majorBidi"/>
          <w:szCs w:val="24"/>
        </w:rPr>
      </w:pPr>
      <w:r w:rsidRPr="002E2B4B">
        <w:rPr>
          <w:rFonts w:asciiTheme="minorHAnsi" w:hAnsiTheme="minorHAnsi" w:cstheme="majorBidi"/>
          <w:szCs w:val="24"/>
        </w:rPr>
        <w:t xml:space="preserve">The JIU made several related suggestions, including calling upon the </w:t>
      </w:r>
      <w:r w:rsidR="00F85D28">
        <w:rPr>
          <w:rFonts w:asciiTheme="minorHAnsi" w:hAnsiTheme="minorHAnsi" w:cstheme="majorBidi"/>
          <w:szCs w:val="24"/>
        </w:rPr>
        <w:t>s</w:t>
      </w:r>
      <w:r w:rsidRPr="002E2B4B">
        <w:rPr>
          <w:rFonts w:asciiTheme="minorHAnsi" w:hAnsiTheme="minorHAnsi" w:cstheme="majorBidi"/>
          <w:szCs w:val="24"/>
        </w:rPr>
        <w:t xml:space="preserve">ecretariat to strengthen reporting as well as noting that ITU would benefit from a corporate resource mobilization strategy. </w:t>
      </w:r>
      <w:proofErr w:type="gramStart"/>
      <w:r w:rsidRPr="002E2B4B">
        <w:rPr>
          <w:rFonts w:asciiTheme="minorHAnsi" w:hAnsiTheme="minorHAnsi" w:cstheme="majorBidi"/>
          <w:szCs w:val="24"/>
        </w:rPr>
        <w:t xml:space="preserve">To this end, the </w:t>
      </w:r>
      <w:r w:rsidR="00F85D28">
        <w:rPr>
          <w:rFonts w:asciiTheme="minorHAnsi" w:hAnsiTheme="minorHAnsi" w:cstheme="majorBidi"/>
          <w:szCs w:val="24"/>
        </w:rPr>
        <w:t>s</w:t>
      </w:r>
      <w:r w:rsidRPr="002E2B4B">
        <w:rPr>
          <w:rFonts w:asciiTheme="minorHAnsi" w:hAnsiTheme="minorHAnsi" w:cstheme="majorBidi"/>
          <w:szCs w:val="24"/>
        </w:rPr>
        <w:t xml:space="preserve">ecretariat is reviewing current reporting methodologies and will enhance them where necessary to ensure </w:t>
      </w:r>
      <w:r w:rsidRPr="00457BF5">
        <w:rPr>
          <w:rFonts w:asciiTheme="minorHAnsi" w:hAnsiTheme="minorHAnsi" w:cstheme="majorBidi"/>
          <w:szCs w:val="24"/>
        </w:rPr>
        <w:t xml:space="preserve">that </w:t>
      </w:r>
      <w:r w:rsidRPr="00283E92">
        <w:rPr>
          <w:rFonts w:asciiTheme="minorHAnsi" w:hAnsiTheme="minorHAnsi" w:cstheme="majorBidi"/>
          <w:szCs w:val="24"/>
        </w:rPr>
        <w:t>Member</w:t>
      </w:r>
      <w:r w:rsidR="00457BF5" w:rsidRPr="00283E92">
        <w:rPr>
          <w:rFonts w:asciiTheme="minorHAnsi" w:hAnsiTheme="minorHAnsi" w:cstheme="majorBidi"/>
          <w:szCs w:val="24"/>
        </w:rPr>
        <w:t xml:space="preserve"> State</w:t>
      </w:r>
      <w:r w:rsidRPr="00283E92">
        <w:rPr>
          <w:rFonts w:asciiTheme="minorHAnsi" w:hAnsiTheme="minorHAnsi" w:cstheme="majorBidi"/>
          <w:szCs w:val="24"/>
        </w:rPr>
        <w:t>s</w:t>
      </w:r>
      <w:r w:rsidRPr="002E2B4B">
        <w:rPr>
          <w:rFonts w:asciiTheme="minorHAnsi" w:hAnsiTheme="minorHAnsi" w:cstheme="majorBidi"/>
          <w:szCs w:val="24"/>
        </w:rPr>
        <w:t xml:space="preserve"> have easily accessible, comprehensive information about the status of all financial contributions.</w:t>
      </w:r>
      <w:proofErr w:type="gramEnd"/>
      <w:r w:rsidRPr="002E2B4B">
        <w:rPr>
          <w:rFonts w:asciiTheme="minorHAnsi" w:hAnsiTheme="minorHAnsi" w:cstheme="majorBidi"/>
          <w:szCs w:val="24"/>
        </w:rPr>
        <w:t xml:space="preserve"> </w:t>
      </w:r>
    </w:p>
    <w:p w14:paraId="7D0161A9" w14:textId="39EFA893" w:rsidR="002E2B4B" w:rsidRPr="002E2B4B" w:rsidRDefault="002E2B4B" w:rsidP="005918D2">
      <w:pPr>
        <w:tabs>
          <w:tab w:val="clear" w:pos="567"/>
          <w:tab w:val="clear" w:pos="1134"/>
          <w:tab w:val="clear" w:pos="1701"/>
          <w:tab w:val="clear" w:pos="2268"/>
          <w:tab w:val="clear" w:pos="2835"/>
        </w:tabs>
        <w:snapToGrid w:val="0"/>
        <w:spacing w:after="120"/>
        <w:jc w:val="both"/>
        <w:rPr>
          <w:rFonts w:asciiTheme="minorHAnsi" w:hAnsiTheme="minorHAnsi" w:cstheme="majorBidi"/>
          <w:szCs w:val="24"/>
        </w:rPr>
      </w:pPr>
      <w:r w:rsidRPr="002E2B4B">
        <w:rPr>
          <w:rFonts w:asciiTheme="minorHAnsi" w:hAnsiTheme="minorHAnsi" w:cstheme="majorBidi"/>
          <w:szCs w:val="24"/>
        </w:rPr>
        <w:lastRenderedPageBreak/>
        <w:t>The JIU report highlighted that “the expenses of ITU have grown by 7.2% from CHF</w:t>
      </w:r>
      <w:r w:rsidR="00F85D28">
        <w:rPr>
          <w:rFonts w:asciiTheme="minorHAnsi" w:hAnsiTheme="minorHAnsi" w:cstheme="majorBidi"/>
          <w:szCs w:val="24"/>
        </w:rPr>
        <w:t> </w:t>
      </w:r>
      <w:r w:rsidRPr="002E2B4B">
        <w:rPr>
          <w:rFonts w:asciiTheme="minorHAnsi" w:hAnsiTheme="minorHAnsi" w:cstheme="majorBidi"/>
          <w:szCs w:val="24"/>
        </w:rPr>
        <w:t>608.2 million (2004-2007) to CHF</w:t>
      </w:r>
      <w:r w:rsidR="00F85D28">
        <w:rPr>
          <w:rFonts w:asciiTheme="minorHAnsi" w:hAnsiTheme="minorHAnsi" w:cstheme="majorBidi"/>
          <w:szCs w:val="24"/>
        </w:rPr>
        <w:t> </w:t>
      </w:r>
      <w:r w:rsidRPr="002E2B4B">
        <w:rPr>
          <w:rFonts w:asciiTheme="minorHAnsi" w:hAnsiTheme="minorHAnsi" w:cstheme="majorBidi"/>
          <w:szCs w:val="24"/>
        </w:rPr>
        <w:t xml:space="preserve">637 million (2012-2015, estimates) but have remained consistently lower than budgeted amounts.” This is in spite of growing demand for ITU to implement additional activities to support </w:t>
      </w:r>
      <w:r w:rsidRPr="00283E92">
        <w:rPr>
          <w:rFonts w:asciiTheme="minorHAnsi" w:hAnsiTheme="minorHAnsi" w:cstheme="majorBidi"/>
          <w:szCs w:val="24"/>
        </w:rPr>
        <w:t>Member</w:t>
      </w:r>
      <w:r w:rsidR="00457BF5" w:rsidRPr="00283E92">
        <w:rPr>
          <w:rFonts w:asciiTheme="minorHAnsi" w:hAnsiTheme="minorHAnsi" w:cstheme="majorBidi"/>
          <w:szCs w:val="24"/>
        </w:rPr>
        <w:t xml:space="preserve"> State</w:t>
      </w:r>
      <w:r w:rsidRPr="00283E92">
        <w:rPr>
          <w:rFonts w:asciiTheme="minorHAnsi" w:hAnsiTheme="minorHAnsi" w:cstheme="majorBidi"/>
          <w:szCs w:val="24"/>
        </w:rPr>
        <w:t>s</w:t>
      </w:r>
      <w:r w:rsidRPr="00457BF5">
        <w:rPr>
          <w:rFonts w:asciiTheme="minorHAnsi" w:hAnsiTheme="minorHAnsi" w:cstheme="majorBidi"/>
          <w:szCs w:val="24"/>
        </w:rPr>
        <w:t>. The</w:t>
      </w:r>
      <w:r w:rsidRPr="002E2B4B">
        <w:rPr>
          <w:rFonts w:asciiTheme="minorHAnsi" w:hAnsiTheme="minorHAnsi" w:cstheme="majorBidi"/>
          <w:szCs w:val="24"/>
        </w:rPr>
        <w:t xml:space="preserve"> JIU report further </w:t>
      </w:r>
      <w:proofErr w:type="gramStart"/>
      <w:r w:rsidRPr="002E2B4B">
        <w:rPr>
          <w:rFonts w:asciiTheme="minorHAnsi" w:hAnsiTheme="minorHAnsi" w:cstheme="majorBidi"/>
          <w:szCs w:val="24"/>
        </w:rPr>
        <w:t>noted that</w:t>
      </w:r>
      <w:proofErr w:type="gramEnd"/>
      <w:r w:rsidRPr="002E2B4B">
        <w:rPr>
          <w:rFonts w:asciiTheme="minorHAnsi" w:hAnsiTheme="minorHAnsi" w:cstheme="majorBidi"/>
          <w:szCs w:val="24"/>
        </w:rPr>
        <w:t xml:space="preserve"> “For many years, the Plenipotentiary </w:t>
      </w:r>
      <w:r w:rsidRPr="00F85D28">
        <w:rPr>
          <w:rFonts w:asciiTheme="minorHAnsi" w:hAnsiTheme="minorHAnsi" w:cstheme="majorBidi"/>
          <w:spacing w:val="-2"/>
          <w:szCs w:val="24"/>
        </w:rPr>
        <w:t>Conference has stressed the need to increase the income of the Union… as the revenue generation</w:t>
      </w:r>
      <w:r w:rsidRPr="002E2B4B">
        <w:rPr>
          <w:rFonts w:asciiTheme="minorHAnsi" w:hAnsiTheme="minorHAnsi" w:cstheme="majorBidi"/>
          <w:szCs w:val="24"/>
        </w:rPr>
        <w:t xml:space="preserve"> plans have not yielded sufficient results, </w:t>
      </w:r>
      <w:r w:rsidRPr="00283E92">
        <w:rPr>
          <w:rFonts w:asciiTheme="minorHAnsi" w:hAnsiTheme="minorHAnsi" w:cstheme="majorBidi"/>
          <w:szCs w:val="24"/>
        </w:rPr>
        <w:t>Member States</w:t>
      </w:r>
      <w:r w:rsidRPr="002E2B4B">
        <w:rPr>
          <w:rFonts w:asciiTheme="minorHAnsi" w:hAnsiTheme="minorHAnsi" w:cstheme="majorBidi"/>
          <w:szCs w:val="24"/>
        </w:rPr>
        <w:t xml:space="preserve"> have favoured active implementation of efficiency and cost-savings measures for improving the financial outlook of ITU.” By comparing the cumulative amount of the budgets for the period 2000-03 (CHF</w:t>
      </w:r>
      <w:r w:rsidR="00F85D28">
        <w:rPr>
          <w:rFonts w:asciiTheme="minorHAnsi" w:hAnsiTheme="minorHAnsi" w:cstheme="majorBidi"/>
          <w:szCs w:val="24"/>
        </w:rPr>
        <w:t> </w:t>
      </w:r>
      <w:r w:rsidRPr="002E2B4B">
        <w:rPr>
          <w:rFonts w:asciiTheme="minorHAnsi" w:hAnsiTheme="minorHAnsi" w:cstheme="majorBidi"/>
          <w:szCs w:val="24"/>
        </w:rPr>
        <w:t xml:space="preserve">674.6 </w:t>
      </w:r>
      <w:proofErr w:type="gramStart"/>
      <w:r w:rsidRPr="002E2B4B">
        <w:rPr>
          <w:rFonts w:asciiTheme="minorHAnsi" w:hAnsiTheme="minorHAnsi" w:cstheme="majorBidi"/>
          <w:szCs w:val="24"/>
        </w:rPr>
        <w:t>million</w:t>
      </w:r>
      <w:proofErr w:type="gramEnd"/>
      <w:r w:rsidRPr="002E2B4B">
        <w:rPr>
          <w:rFonts w:asciiTheme="minorHAnsi" w:hAnsiTheme="minorHAnsi" w:cstheme="majorBidi"/>
          <w:szCs w:val="24"/>
        </w:rPr>
        <w:t>) with the forecast for 2016-2019 (CHF 635.7 million) there is a decrease of CHF</w:t>
      </w:r>
      <w:r w:rsidR="00F85D28">
        <w:rPr>
          <w:rFonts w:asciiTheme="minorHAnsi" w:hAnsiTheme="minorHAnsi" w:cstheme="majorBidi"/>
          <w:szCs w:val="24"/>
        </w:rPr>
        <w:t> </w:t>
      </w:r>
      <w:r w:rsidRPr="002E2B4B">
        <w:rPr>
          <w:rFonts w:asciiTheme="minorHAnsi" w:hAnsiTheme="minorHAnsi" w:cstheme="majorBidi"/>
          <w:szCs w:val="24"/>
        </w:rPr>
        <w:t xml:space="preserve">38.9 million, i.e. - 5.77 per cent. “Projections using the inflation rate of the OECD reveal a 20% budget diminution between the </w:t>
      </w:r>
      <w:proofErr w:type="spellStart"/>
      <w:r w:rsidRPr="002E2B4B">
        <w:rPr>
          <w:rFonts w:asciiTheme="minorHAnsi" w:hAnsiTheme="minorHAnsi" w:cstheme="majorBidi"/>
          <w:szCs w:val="24"/>
        </w:rPr>
        <w:t>bienniums</w:t>
      </w:r>
      <w:proofErr w:type="spellEnd"/>
      <w:r w:rsidRPr="002E2B4B">
        <w:rPr>
          <w:rFonts w:asciiTheme="minorHAnsi" w:hAnsiTheme="minorHAnsi" w:cstheme="majorBidi"/>
          <w:szCs w:val="24"/>
        </w:rPr>
        <w:t xml:space="preserve"> 2004-05 and 2014-15.”</w:t>
      </w:r>
    </w:p>
    <w:p w14:paraId="390C8D73" w14:textId="038313A1" w:rsidR="002E2B4B" w:rsidRPr="002E2B4B" w:rsidRDefault="002E2B4B" w:rsidP="000D7F64">
      <w:pPr>
        <w:tabs>
          <w:tab w:val="clear" w:pos="567"/>
          <w:tab w:val="clear" w:pos="1134"/>
          <w:tab w:val="clear" w:pos="1701"/>
          <w:tab w:val="clear" w:pos="2268"/>
          <w:tab w:val="clear" w:pos="2835"/>
        </w:tabs>
        <w:snapToGrid w:val="0"/>
        <w:spacing w:after="120"/>
        <w:jc w:val="both"/>
        <w:rPr>
          <w:rFonts w:asciiTheme="minorHAnsi" w:hAnsiTheme="minorHAnsi" w:cstheme="majorBidi"/>
          <w:szCs w:val="24"/>
        </w:rPr>
      </w:pPr>
      <w:r w:rsidRPr="002E2B4B">
        <w:rPr>
          <w:rFonts w:asciiTheme="minorHAnsi" w:hAnsiTheme="minorHAnsi" w:cstheme="majorBidi"/>
          <w:szCs w:val="24"/>
        </w:rPr>
        <w:t xml:space="preserve">A review of the current revenue situation </w:t>
      </w:r>
      <w:proofErr w:type="gramStart"/>
      <w:r w:rsidRPr="002E2B4B">
        <w:rPr>
          <w:rFonts w:asciiTheme="minorHAnsi" w:hAnsiTheme="minorHAnsi" w:cstheme="majorBidi"/>
          <w:szCs w:val="24"/>
        </w:rPr>
        <w:t>is given</w:t>
      </w:r>
      <w:proofErr w:type="gramEnd"/>
      <w:r w:rsidRPr="002E2B4B">
        <w:rPr>
          <w:rFonts w:asciiTheme="minorHAnsi" w:hAnsiTheme="minorHAnsi" w:cstheme="majorBidi"/>
          <w:szCs w:val="24"/>
        </w:rPr>
        <w:t xml:space="preserve"> in a CWG-FHR </w:t>
      </w:r>
      <w:r w:rsidR="000D7F64">
        <w:rPr>
          <w:rFonts w:asciiTheme="minorHAnsi" w:hAnsiTheme="minorHAnsi" w:cstheme="majorBidi"/>
          <w:szCs w:val="24"/>
        </w:rPr>
        <w:t>I</w:t>
      </w:r>
      <w:r w:rsidRPr="002E2B4B">
        <w:rPr>
          <w:rFonts w:asciiTheme="minorHAnsi" w:hAnsiTheme="minorHAnsi" w:cstheme="majorBidi"/>
          <w:szCs w:val="24"/>
        </w:rPr>
        <w:t xml:space="preserve">nformation </w:t>
      </w:r>
      <w:r w:rsidR="005918D2">
        <w:rPr>
          <w:rFonts w:asciiTheme="minorHAnsi" w:hAnsiTheme="minorHAnsi" w:cstheme="majorBidi"/>
          <w:szCs w:val="24"/>
        </w:rPr>
        <w:t>d</w:t>
      </w:r>
      <w:r w:rsidRPr="002E2B4B">
        <w:rPr>
          <w:rFonts w:asciiTheme="minorHAnsi" w:hAnsiTheme="minorHAnsi" w:cstheme="majorBidi"/>
          <w:szCs w:val="24"/>
        </w:rPr>
        <w:t>ocument</w:t>
      </w:r>
      <w:r w:rsidRPr="002E2B4B">
        <w:rPr>
          <w:rFonts w:asciiTheme="minorHAnsi" w:hAnsiTheme="minorHAnsi" w:cstheme="majorBidi"/>
          <w:szCs w:val="24"/>
        </w:rPr>
        <w:br/>
      </w:r>
      <w:hyperlink r:id="rId14" w:history="1">
        <w:r w:rsidRPr="002E2B4B">
          <w:rPr>
            <w:rStyle w:val="Hyperlink"/>
            <w:rFonts w:asciiTheme="minorHAnsi" w:hAnsiTheme="minorHAnsi" w:cstheme="majorBidi"/>
            <w:szCs w:val="24"/>
          </w:rPr>
          <w:t>CWG-FHR-INF 7/1</w:t>
        </w:r>
      </w:hyperlink>
      <w:r w:rsidRPr="002E2B4B">
        <w:rPr>
          <w:rFonts w:asciiTheme="minorHAnsi" w:hAnsiTheme="minorHAnsi" w:cstheme="majorBidi"/>
          <w:szCs w:val="24"/>
        </w:rPr>
        <w:t>.</w:t>
      </w:r>
    </w:p>
    <w:p w14:paraId="319B54C3" w14:textId="15FA32D5" w:rsidR="002E2B4B" w:rsidRPr="002E2B4B" w:rsidRDefault="002E2B4B" w:rsidP="00A65195">
      <w:pPr>
        <w:tabs>
          <w:tab w:val="clear" w:pos="567"/>
          <w:tab w:val="clear" w:pos="1134"/>
          <w:tab w:val="clear" w:pos="1701"/>
          <w:tab w:val="clear" w:pos="2268"/>
          <w:tab w:val="clear" w:pos="2835"/>
        </w:tabs>
        <w:snapToGrid w:val="0"/>
        <w:spacing w:after="120"/>
        <w:jc w:val="both"/>
        <w:rPr>
          <w:rFonts w:asciiTheme="minorHAnsi" w:hAnsiTheme="minorHAnsi" w:cstheme="majorBidi"/>
          <w:szCs w:val="24"/>
        </w:rPr>
      </w:pPr>
      <w:r w:rsidRPr="002E2B4B">
        <w:rPr>
          <w:rFonts w:asciiTheme="minorHAnsi" w:hAnsiTheme="minorHAnsi" w:cstheme="majorBidi"/>
          <w:szCs w:val="24"/>
        </w:rPr>
        <w:t>Th</w:t>
      </w:r>
      <w:r w:rsidR="001012AB">
        <w:rPr>
          <w:rFonts w:asciiTheme="minorHAnsi" w:hAnsiTheme="minorHAnsi" w:cstheme="majorBidi"/>
          <w:szCs w:val="24"/>
        </w:rPr>
        <w:t>e present</w:t>
      </w:r>
      <w:r w:rsidRPr="002E2B4B">
        <w:rPr>
          <w:rFonts w:asciiTheme="minorHAnsi" w:hAnsiTheme="minorHAnsi" w:cstheme="majorBidi"/>
          <w:szCs w:val="24"/>
        </w:rPr>
        <w:t xml:space="preserve"> document is an initial response to JIU Recommendation 5. The plan</w:t>
      </w:r>
      <w:r w:rsidR="00A65195">
        <w:rPr>
          <w:rFonts w:asciiTheme="minorHAnsi" w:hAnsiTheme="minorHAnsi" w:cstheme="majorBidi"/>
          <w:szCs w:val="24"/>
        </w:rPr>
        <w:t xml:space="preserve"> </w:t>
      </w:r>
      <w:r w:rsidR="00A65195" w:rsidRPr="002E2B4B">
        <w:rPr>
          <w:rFonts w:asciiTheme="minorHAnsi" w:hAnsiTheme="minorHAnsi" w:cstheme="majorBidi"/>
          <w:szCs w:val="24"/>
        </w:rPr>
        <w:t>outline</w:t>
      </w:r>
      <w:r w:rsidR="00A65195">
        <w:rPr>
          <w:rFonts w:asciiTheme="minorHAnsi" w:hAnsiTheme="minorHAnsi" w:cstheme="majorBidi"/>
          <w:szCs w:val="24"/>
        </w:rPr>
        <w:t>d</w:t>
      </w:r>
      <w:r w:rsidRPr="002E2B4B">
        <w:rPr>
          <w:rFonts w:asciiTheme="minorHAnsi" w:hAnsiTheme="minorHAnsi" w:cstheme="majorBidi"/>
          <w:szCs w:val="24"/>
        </w:rPr>
        <w:t xml:space="preserve"> </w:t>
      </w:r>
      <w:r w:rsidR="001012AB" w:rsidRPr="002E2B4B">
        <w:rPr>
          <w:rFonts w:asciiTheme="minorHAnsi" w:hAnsiTheme="minorHAnsi" w:cstheme="majorBidi"/>
          <w:szCs w:val="24"/>
        </w:rPr>
        <w:t xml:space="preserve">below </w:t>
      </w:r>
      <w:r w:rsidR="001012AB">
        <w:rPr>
          <w:rFonts w:asciiTheme="minorHAnsi" w:hAnsiTheme="minorHAnsi" w:cstheme="majorBidi"/>
          <w:szCs w:val="24"/>
        </w:rPr>
        <w:t>takes</w:t>
      </w:r>
      <w:r w:rsidR="001012AB" w:rsidRPr="001012AB">
        <w:t xml:space="preserve"> </w:t>
      </w:r>
      <w:r w:rsidR="001012AB" w:rsidRPr="002E2B4B">
        <w:t>into consideration the comments made by delegates</w:t>
      </w:r>
      <w:r w:rsidR="001012AB">
        <w:t xml:space="preserve"> at the CWG-FHR meeting in 2017.</w:t>
      </w:r>
      <w:r w:rsidRPr="002E2B4B">
        <w:rPr>
          <w:rFonts w:asciiTheme="minorHAnsi" w:hAnsiTheme="minorHAnsi" w:cstheme="majorBidi"/>
          <w:szCs w:val="24"/>
        </w:rPr>
        <w:t xml:space="preserve"> </w:t>
      </w:r>
      <w:r w:rsidR="001012AB">
        <w:rPr>
          <w:rFonts w:asciiTheme="minorHAnsi" w:hAnsiTheme="minorHAnsi" w:cstheme="majorBidi"/>
          <w:szCs w:val="24"/>
        </w:rPr>
        <w:t xml:space="preserve">It </w:t>
      </w:r>
      <w:r w:rsidRPr="002E2B4B">
        <w:rPr>
          <w:rFonts w:asciiTheme="minorHAnsi" w:hAnsiTheme="minorHAnsi" w:cstheme="majorBidi"/>
          <w:szCs w:val="24"/>
        </w:rPr>
        <w:t>will be further developed, updated</w:t>
      </w:r>
      <w:r w:rsidR="005918D2">
        <w:rPr>
          <w:rFonts w:asciiTheme="minorHAnsi" w:hAnsiTheme="minorHAnsi" w:cstheme="majorBidi"/>
          <w:szCs w:val="24"/>
        </w:rPr>
        <w:t>,</w:t>
      </w:r>
      <w:r w:rsidRPr="002E2B4B">
        <w:rPr>
          <w:rFonts w:asciiTheme="minorHAnsi" w:hAnsiTheme="minorHAnsi" w:cstheme="majorBidi"/>
          <w:szCs w:val="24"/>
        </w:rPr>
        <w:t xml:space="preserve"> and enhanced in light of experience and feedback from </w:t>
      </w:r>
      <w:r w:rsidRPr="00283E92">
        <w:rPr>
          <w:rFonts w:asciiTheme="minorHAnsi" w:hAnsiTheme="minorHAnsi" w:cstheme="majorBidi"/>
          <w:szCs w:val="24"/>
        </w:rPr>
        <w:t>Member</w:t>
      </w:r>
      <w:r w:rsidR="00457BF5">
        <w:rPr>
          <w:rFonts w:asciiTheme="minorHAnsi" w:hAnsiTheme="minorHAnsi" w:cstheme="majorBidi"/>
          <w:szCs w:val="24"/>
        </w:rPr>
        <w:t xml:space="preserve"> States</w:t>
      </w:r>
      <w:r w:rsidRPr="00457BF5">
        <w:rPr>
          <w:rFonts w:asciiTheme="minorHAnsi" w:hAnsiTheme="minorHAnsi" w:cstheme="majorBidi"/>
          <w:szCs w:val="24"/>
        </w:rPr>
        <w:t>.</w:t>
      </w:r>
      <w:r w:rsidRPr="002E2B4B">
        <w:rPr>
          <w:rFonts w:asciiTheme="minorHAnsi" w:hAnsiTheme="minorHAnsi" w:cstheme="majorBidi"/>
          <w:szCs w:val="24"/>
        </w:rPr>
        <w:t xml:space="preserve"> It currently address</w:t>
      </w:r>
      <w:r w:rsidR="005918D2">
        <w:rPr>
          <w:rFonts w:asciiTheme="minorHAnsi" w:hAnsiTheme="minorHAnsi" w:cstheme="majorBidi"/>
          <w:szCs w:val="24"/>
        </w:rPr>
        <w:t>es</w:t>
      </w:r>
      <w:r w:rsidRPr="002E2B4B">
        <w:rPr>
          <w:rFonts w:asciiTheme="minorHAnsi" w:hAnsiTheme="minorHAnsi" w:cstheme="majorBidi"/>
          <w:szCs w:val="24"/>
        </w:rPr>
        <w:t xml:space="preserve"> the following aspects: resource mobili</w:t>
      </w:r>
      <w:r w:rsidR="005918D2">
        <w:rPr>
          <w:rFonts w:asciiTheme="minorHAnsi" w:hAnsiTheme="minorHAnsi" w:cstheme="majorBidi"/>
          <w:szCs w:val="24"/>
        </w:rPr>
        <w:t>z</w:t>
      </w:r>
      <w:r w:rsidRPr="002E2B4B">
        <w:rPr>
          <w:rFonts w:asciiTheme="minorHAnsi" w:hAnsiTheme="minorHAnsi" w:cstheme="majorBidi"/>
          <w:szCs w:val="24"/>
        </w:rPr>
        <w:t>ation strategy; sponsorship guidelines; reve</w:t>
      </w:r>
      <w:r w:rsidR="005918D2">
        <w:rPr>
          <w:rFonts w:asciiTheme="minorHAnsi" w:hAnsiTheme="minorHAnsi" w:cstheme="majorBidi"/>
          <w:szCs w:val="24"/>
        </w:rPr>
        <w:t>nue generation and savings; and</w:t>
      </w:r>
      <w:r w:rsidRPr="002E2B4B">
        <w:rPr>
          <w:rFonts w:asciiTheme="minorHAnsi" w:hAnsiTheme="minorHAnsi" w:cstheme="majorBidi"/>
          <w:szCs w:val="24"/>
        </w:rPr>
        <w:t xml:space="preserve"> diversifying financial support.</w:t>
      </w:r>
    </w:p>
    <w:p w14:paraId="2F0F8A78" w14:textId="0E71F245" w:rsidR="002E2B4B" w:rsidRPr="002E2B4B" w:rsidRDefault="001012AB" w:rsidP="005918D2">
      <w:pPr>
        <w:tabs>
          <w:tab w:val="clear" w:pos="567"/>
          <w:tab w:val="clear" w:pos="1134"/>
          <w:tab w:val="clear" w:pos="1701"/>
          <w:tab w:val="clear" w:pos="2268"/>
          <w:tab w:val="clear" w:pos="2835"/>
        </w:tabs>
        <w:snapToGrid w:val="0"/>
        <w:spacing w:before="360" w:after="120"/>
        <w:jc w:val="both"/>
        <w:rPr>
          <w:rFonts w:asciiTheme="minorHAnsi" w:hAnsiTheme="minorHAnsi" w:cstheme="majorBidi"/>
          <w:b/>
          <w:bCs/>
          <w:szCs w:val="24"/>
        </w:rPr>
      </w:pPr>
      <w:r>
        <w:rPr>
          <w:rFonts w:asciiTheme="minorHAnsi" w:hAnsiTheme="minorHAnsi" w:cstheme="majorBidi"/>
          <w:b/>
          <w:bCs/>
          <w:szCs w:val="24"/>
        </w:rPr>
        <w:t>2</w:t>
      </w:r>
      <w:r>
        <w:rPr>
          <w:rFonts w:asciiTheme="minorHAnsi" w:hAnsiTheme="minorHAnsi" w:cstheme="majorBidi"/>
          <w:b/>
          <w:bCs/>
          <w:szCs w:val="24"/>
        </w:rPr>
        <w:tab/>
        <w:t>Resource mobiliz</w:t>
      </w:r>
      <w:r w:rsidR="002E2B4B" w:rsidRPr="002E2B4B">
        <w:rPr>
          <w:rFonts w:asciiTheme="minorHAnsi" w:hAnsiTheme="minorHAnsi" w:cstheme="majorBidi"/>
          <w:b/>
          <w:bCs/>
          <w:szCs w:val="24"/>
        </w:rPr>
        <w:t>ation strategy</w:t>
      </w:r>
    </w:p>
    <w:p w14:paraId="023FD7F8" w14:textId="4B040B5B" w:rsidR="002E2B4B" w:rsidRPr="002E2B4B" w:rsidRDefault="002E2B4B" w:rsidP="005918D2">
      <w:pPr>
        <w:tabs>
          <w:tab w:val="clear" w:pos="567"/>
          <w:tab w:val="clear" w:pos="1134"/>
          <w:tab w:val="clear" w:pos="1701"/>
          <w:tab w:val="clear" w:pos="2268"/>
          <w:tab w:val="clear" w:pos="2835"/>
        </w:tabs>
        <w:snapToGrid w:val="0"/>
        <w:spacing w:after="120"/>
        <w:jc w:val="both"/>
        <w:rPr>
          <w:rFonts w:asciiTheme="minorHAnsi" w:hAnsiTheme="minorHAnsi" w:cstheme="majorBidi"/>
          <w:szCs w:val="24"/>
        </w:rPr>
      </w:pPr>
      <w:r w:rsidRPr="002E2B4B">
        <w:rPr>
          <w:rFonts w:asciiTheme="minorHAnsi" w:hAnsiTheme="minorHAnsi" w:cstheme="majorBidi"/>
          <w:szCs w:val="24"/>
        </w:rPr>
        <w:t>As a first step towa</w:t>
      </w:r>
      <w:r w:rsidR="005918D2">
        <w:rPr>
          <w:rFonts w:asciiTheme="minorHAnsi" w:hAnsiTheme="minorHAnsi" w:cstheme="majorBidi"/>
          <w:szCs w:val="24"/>
        </w:rPr>
        <w:t>rds a corporate resource mobiliz</w:t>
      </w:r>
      <w:r w:rsidRPr="002E2B4B">
        <w:rPr>
          <w:rFonts w:asciiTheme="minorHAnsi" w:hAnsiTheme="minorHAnsi" w:cstheme="majorBidi"/>
          <w:szCs w:val="24"/>
        </w:rPr>
        <w:t xml:space="preserve">ation strategy, </w:t>
      </w:r>
      <w:r w:rsidR="005918D2">
        <w:rPr>
          <w:rFonts w:asciiTheme="minorHAnsi" w:hAnsiTheme="minorHAnsi" w:cstheme="majorBidi"/>
          <w:szCs w:val="24"/>
        </w:rPr>
        <w:t xml:space="preserve">the </w:t>
      </w:r>
      <w:r w:rsidRPr="002E2B4B">
        <w:rPr>
          <w:rFonts w:asciiTheme="minorHAnsi" w:hAnsiTheme="minorHAnsi" w:cstheme="majorBidi"/>
          <w:szCs w:val="24"/>
        </w:rPr>
        <w:t xml:space="preserve">Council </w:t>
      </w:r>
      <w:proofErr w:type="gramStart"/>
      <w:r w:rsidRPr="002E2B4B">
        <w:rPr>
          <w:rFonts w:asciiTheme="minorHAnsi" w:hAnsiTheme="minorHAnsi" w:cstheme="majorBidi"/>
          <w:szCs w:val="24"/>
        </w:rPr>
        <w:t>is invited</w:t>
      </w:r>
      <w:proofErr w:type="gramEnd"/>
      <w:r w:rsidRPr="002E2B4B">
        <w:rPr>
          <w:rFonts w:asciiTheme="minorHAnsi" w:hAnsiTheme="minorHAnsi" w:cstheme="majorBidi"/>
          <w:szCs w:val="24"/>
        </w:rPr>
        <w:t xml:space="preserve"> to consider the principles outlined in </w:t>
      </w:r>
      <w:hyperlink w:anchor="Annex1" w:history="1">
        <w:r w:rsidRPr="001E1B65">
          <w:rPr>
            <w:rStyle w:val="Hyperlink"/>
            <w:rFonts w:asciiTheme="minorHAnsi" w:hAnsiTheme="minorHAnsi" w:cstheme="majorBidi"/>
            <w:b/>
            <w:bCs/>
            <w:szCs w:val="24"/>
          </w:rPr>
          <w:t>Annex 1</w:t>
        </w:r>
      </w:hyperlink>
      <w:r w:rsidRPr="002E2B4B">
        <w:rPr>
          <w:rFonts w:asciiTheme="minorHAnsi" w:hAnsiTheme="minorHAnsi" w:cstheme="majorBidi"/>
          <w:szCs w:val="24"/>
        </w:rPr>
        <w:t xml:space="preserve">. </w:t>
      </w:r>
    </w:p>
    <w:p w14:paraId="664CE550" w14:textId="77777777" w:rsidR="002E2B4B" w:rsidRPr="002E2B4B" w:rsidRDefault="002E2B4B" w:rsidP="005918D2">
      <w:pPr>
        <w:tabs>
          <w:tab w:val="clear" w:pos="567"/>
          <w:tab w:val="clear" w:pos="1134"/>
          <w:tab w:val="clear" w:pos="1701"/>
          <w:tab w:val="clear" w:pos="2268"/>
          <w:tab w:val="clear" w:pos="2835"/>
        </w:tabs>
        <w:snapToGrid w:val="0"/>
        <w:spacing w:before="360" w:after="120"/>
        <w:jc w:val="both"/>
        <w:rPr>
          <w:rFonts w:asciiTheme="minorHAnsi" w:hAnsiTheme="minorHAnsi" w:cstheme="majorBidi"/>
          <w:b/>
          <w:bCs/>
          <w:szCs w:val="24"/>
        </w:rPr>
      </w:pPr>
      <w:r w:rsidRPr="002E2B4B">
        <w:rPr>
          <w:rFonts w:asciiTheme="minorHAnsi" w:hAnsiTheme="minorHAnsi" w:cstheme="majorBidi"/>
          <w:b/>
          <w:bCs/>
          <w:szCs w:val="24"/>
        </w:rPr>
        <w:t>3</w:t>
      </w:r>
      <w:r w:rsidRPr="002E2B4B">
        <w:rPr>
          <w:rFonts w:asciiTheme="minorHAnsi" w:hAnsiTheme="minorHAnsi" w:cstheme="majorBidi"/>
          <w:b/>
          <w:bCs/>
          <w:szCs w:val="24"/>
        </w:rPr>
        <w:tab/>
        <w:t>Sponsorship guidelines</w:t>
      </w:r>
    </w:p>
    <w:p w14:paraId="2F060BF4" w14:textId="77777777" w:rsidR="002E2B4B" w:rsidRPr="002E2B4B" w:rsidRDefault="002E2B4B" w:rsidP="005918D2">
      <w:pPr>
        <w:tabs>
          <w:tab w:val="clear" w:pos="567"/>
          <w:tab w:val="clear" w:pos="1134"/>
          <w:tab w:val="clear" w:pos="1701"/>
          <w:tab w:val="clear" w:pos="2268"/>
          <w:tab w:val="clear" w:pos="2835"/>
        </w:tabs>
        <w:snapToGrid w:val="0"/>
        <w:spacing w:after="120"/>
        <w:jc w:val="both"/>
        <w:rPr>
          <w:rFonts w:asciiTheme="minorHAnsi" w:hAnsiTheme="minorHAnsi" w:cstheme="majorBidi"/>
          <w:bCs/>
          <w:szCs w:val="24"/>
        </w:rPr>
      </w:pPr>
      <w:r w:rsidRPr="002E2B4B">
        <w:rPr>
          <w:rFonts w:asciiTheme="minorHAnsi" w:hAnsiTheme="minorHAnsi" w:cstheme="majorBidi"/>
          <w:szCs w:val="24"/>
        </w:rPr>
        <w:t xml:space="preserve">As regular budget resources have tightened, ITU has placed increased emphasis on raising funds for event-related activities through sponsorships. While sponsorships provide ITU with resources, they come with some risks. </w:t>
      </w:r>
      <w:r w:rsidRPr="002E2B4B">
        <w:rPr>
          <w:rFonts w:asciiTheme="minorHAnsi" w:hAnsiTheme="minorHAnsi" w:cstheme="majorBidi"/>
          <w:bCs/>
          <w:szCs w:val="24"/>
        </w:rPr>
        <w:t xml:space="preserve">Sponsorship guidelines to address potential risks while maximizing the benefits from new sponsorship opportunities </w:t>
      </w:r>
      <w:proofErr w:type="gramStart"/>
      <w:r w:rsidRPr="002E2B4B">
        <w:rPr>
          <w:rFonts w:asciiTheme="minorHAnsi" w:hAnsiTheme="minorHAnsi" w:cstheme="majorBidi"/>
          <w:bCs/>
          <w:szCs w:val="24"/>
        </w:rPr>
        <w:t>are provided</w:t>
      </w:r>
      <w:proofErr w:type="gramEnd"/>
      <w:r w:rsidRPr="002E2B4B">
        <w:rPr>
          <w:rFonts w:asciiTheme="minorHAnsi" w:hAnsiTheme="minorHAnsi" w:cstheme="majorBidi"/>
          <w:bCs/>
          <w:szCs w:val="24"/>
        </w:rPr>
        <w:t xml:space="preserve"> </w:t>
      </w:r>
      <w:hyperlink r:id="rId15" w:history="1">
        <w:r w:rsidRPr="002E2B4B">
          <w:rPr>
            <w:rStyle w:val="Hyperlink"/>
            <w:rFonts w:asciiTheme="minorHAnsi" w:hAnsiTheme="minorHAnsi" w:cstheme="majorBidi"/>
            <w:bCs/>
            <w:szCs w:val="24"/>
          </w:rPr>
          <w:t>here</w:t>
        </w:r>
      </w:hyperlink>
      <w:r w:rsidRPr="002E2B4B">
        <w:rPr>
          <w:rFonts w:asciiTheme="minorHAnsi" w:hAnsiTheme="minorHAnsi" w:cstheme="majorBidi"/>
          <w:bCs/>
          <w:szCs w:val="24"/>
        </w:rPr>
        <w:t xml:space="preserve">. </w:t>
      </w:r>
      <w:r w:rsidR="001E1B65">
        <w:rPr>
          <w:rFonts w:asciiTheme="minorHAnsi" w:hAnsiTheme="minorHAnsi" w:cstheme="majorBidi"/>
          <w:bCs/>
          <w:szCs w:val="24"/>
        </w:rPr>
        <w:t xml:space="preserve">The </w:t>
      </w:r>
      <w:r w:rsidRPr="002E2B4B">
        <w:rPr>
          <w:rFonts w:asciiTheme="minorHAnsi" w:hAnsiTheme="minorHAnsi" w:cstheme="majorBidi"/>
          <w:bCs/>
          <w:szCs w:val="24"/>
        </w:rPr>
        <w:t xml:space="preserve">Council </w:t>
      </w:r>
      <w:proofErr w:type="gramStart"/>
      <w:r w:rsidRPr="002E2B4B">
        <w:rPr>
          <w:rFonts w:asciiTheme="minorHAnsi" w:hAnsiTheme="minorHAnsi" w:cstheme="majorBidi"/>
          <w:bCs/>
          <w:szCs w:val="24"/>
        </w:rPr>
        <w:t>is invited</w:t>
      </w:r>
      <w:proofErr w:type="gramEnd"/>
      <w:r w:rsidRPr="002E2B4B">
        <w:rPr>
          <w:rFonts w:asciiTheme="minorHAnsi" w:hAnsiTheme="minorHAnsi" w:cstheme="majorBidi"/>
          <w:bCs/>
          <w:szCs w:val="24"/>
        </w:rPr>
        <w:t xml:space="preserve"> to note these guidelines, and provide feedback.</w:t>
      </w:r>
    </w:p>
    <w:p w14:paraId="16054A9D" w14:textId="77777777" w:rsidR="002E2B4B" w:rsidRPr="002E2B4B" w:rsidRDefault="002E2B4B" w:rsidP="00DD0958">
      <w:pPr>
        <w:tabs>
          <w:tab w:val="clear" w:pos="567"/>
          <w:tab w:val="clear" w:pos="1134"/>
          <w:tab w:val="clear" w:pos="1701"/>
          <w:tab w:val="clear" w:pos="2268"/>
          <w:tab w:val="clear" w:pos="2835"/>
        </w:tabs>
        <w:snapToGrid w:val="0"/>
        <w:spacing w:before="360" w:after="120"/>
        <w:jc w:val="both"/>
        <w:rPr>
          <w:rFonts w:asciiTheme="minorHAnsi" w:hAnsiTheme="minorHAnsi" w:cstheme="majorBidi"/>
          <w:b/>
          <w:bCs/>
          <w:szCs w:val="24"/>
        </w:rPr>
      </w:pPr>
      <w:r w:rsidRPr="002E2B4B">
        <w:rPr>
          <w:rFonts w:asciiTheme="minorHAnsi" w:hAnsiTheme="minorHAnsi" w:cstheme="majorBidi"/>
          <w:b/>
          <w:bCs/>
          <w:szCs w:val="24"/>
        </w:rPr>
        <w:t>4</w:t>
      </w:r>
      <w:r w:rsidRPr="002E2B4B">
        <w:rPr>
          <w:rFonts w:asciiTheme="minorHAnsi" w:hAnsiTheme="minorHAnsi" w:cstheme="majorBidi"/>
          <w:b/>
          <w:bCs/>
          <w:szCs w:val="24"/>
        </w:rPr>
        <w:tab/>
        <w:t>Revenue generation and savings to strengthen the ITU regular budget</w:t>
      </w:r>
    </w:p>
    <w:p w14:paraId="640C1AA3" w14:textId="77E40AD9" w:rsidR="002E2B4B" w:rsidRPr="002E2B4B" w:rsidRDefault="002E2B4B" w:rsidP="00DD0958">
      <w:pPr>
        <w:tabs>
          <w:tab w:val="clear" w:pos="567"/>
          <w:tab w:val="clear" w:pos="1134"/>
          <w:tab w:val="clear" w:pos="1701"/>
          <w:tab w:val="clear" w:pos="2268"/>
          <w:tab w:val="clear" w:pos="2835"/>
        </w:tabs>
        <w:snapToGrid w:val="0"/>
        <w:spacing w:after="120"/>
        <w:jc w:val="both"/>
        <w:rPr>
          <w:rFonts w:asciiTheme="minorHAnsi" w:hAnsiTheme="minorHAnsi" w:cstheme="majorBidi"/>
          <w:szCs w:val="24"/>
        </w:rPr>
      </w:pPr>
      <w:r w:rsidRPr="002E2B4B">
        <w:rPr>
          <w:rFonts w:asciiTheme="minorHAnsi" w:hAnsiTheme="minorHAnsi" w:cstheme="majorBidi"/>
          <w:szCs w:val="24"/>
        </w:rPr>
        <w:t>PP</w:t>
      </w:r>
      <w:r w:rsidR="005918D2">
        <w:rPr>
          <w:rFonts w:asciiTheme="minorHAnsi" w:hAnsiTheme="minorHAnsi" w:cstheme="majorBidi"/>
          <w:szCs w:val="24"/>
        </w:rPr>
        <w:t>-</w:t>
      </w:r>
      <w:r w:rsidRPr="002E2B4B">
        <w:rPr>
          <w:rFonts w:asciiTheme="minorHAnsi" w:hAnsiTheme="minorHAnsi" w:cstheme="majorBidi"/>
          <w:szCs w:val="24"/>
        </w:rPr>
        <w:t xml:space="preserve">14 (Res. 158 (Rev. Busan, 2014)) requested the Secretary-General to study and recommend to the Council, through the CWG-FHR, options for generating revenues. ITU management set up an internal group chaired by the Deputy Secretary-General and tasked it to study this topic and make proposals. These </w:t>
      </w:r>
      <w:proofErr w:type="gramStart"/>
      <w:r w:rsidRPr="002E2B4B">
        <w:rPr>
          <w:rFonts w:asciiTheme="minorHAnsi" w:hAnsiTheme="minorHAnsi" w:cstheme="majorBidi"/>
          <w:szCs w:val="24"/>
        </w:rPr>
        <w:t>are provided</w:t>
      </w:r>
      <w:proofErr w:type="gramEnd"/>
      <w:r w:rsidRPr="002E2B4B">
        <w:rPr>
          <w:rFonts w:asciiTheme="minorHAnsi" w:hAnsiTheme="minorHAnsi" w:cstheme="majorBidi"/>
          <w:szCs w:val="24"/>
        </w:rPr>
        <w:t xml:space="preserve"> at </w:t>
      </w:r>
      <w:hyperlink w:anchor="Annex2" w:history="1">
        <w:r w:rsidRPr="001E1B65">
          <w:rPr>
            <w:rStyle w:val="Hyperlink"/>
            <w:rFonts w:asciiTheme="minorHAnsi" w:hAnsiTheme="minorHAnsi" w:cstheme="majorBidi"/>
            <w:b/>
            <w:bCs/>
            <w:szCs w:val="24"/>
          </w:rPr>
          <w:t>Annex 2</w:t>
        </w:r>
      </w:hyperlink>
      <w:r w:rsidRPr="002E2B4B">
        <w:rPr>
          <w:rFonts w:asciiTheme="minorHAnsi" w:hAnsiTheme="minorHAnsi" w:cstheme="majorBidi"/>
          <w:szCs w:val="24"/>
        </w:rPr>
        <w:t xml:space="preserve">. This group has also identified savings to </w:t>
      </w:r>
      <w:proofErr w:type="gramStart"/>
      <w:r w:rsidRPr="002E2B4B">
        <w:rPr>
          <w:rFonts w:asciiTheme="minorHAnsi" w:hAnsiTheme="minorHAnsi" w:cstheme="majorBidi"/>
          <w:szCs w:val="24"/>
        </w:rPr>
        <w:t>be made</w:t>
      </w:r>
      <w:proofErr w:type="gramEnd"/>
      <w:r w:rsidRPr="002E2B4B">
        <w:rPr>
          <w:rFonts w:asciiTheme="minorHAnsi" w:hAnsiTheme="minorHAnsi" w:cstheme="majorBidi"/>
          <w:szCs w:val="24"/>
        </w:rPr>
        <w:t xml:space="preserve"> in relation to each of the items in PP</w:t>
      </w:r>
      <w:r w:rsidR="005918D2">
        <w:rPr>
          <w:rFonts w:asciiTheme="minorHAnsi" w:hAnsiTheme="minorHAnsi" w:cstheme="majorBidi"/>
          <w:szCs w:val="24"/>
        </w:rPr>
        <w:t>-</w:t>
      </w:r>
      <w:r w:rsidRPr="002E2B4B">
        <w:rPr>
          <w:rFonts w:asciiTheme="minorHAnsi" w:hAnsiTheme="minorHAnsi" w:cstheme="majorBidi"/>
          <w:szCs w:val="24"/>
        </w:rPr>
        <w:t xml:space="preserve">14 Decision 5, Annex 2. Through this </w:t>
      </w:r>
      <w:proofErr w:type="gramStart"/>
      <w:r w:rsidRPr="002E2B4B">
        <w:rPr>
          <w:rFonts w:asciiTheme="minorHAnsi" w:hAnsiTheme="minorHAnsi" w:cstheme="majorBidi"/>
          <w:szCs w:val="24"/>
        </w:rPr>
        <w:t>effort</w:t>
      </w:r>
      <w:proofErr w:type="gramEnd"/>
      <w:r w:rsidRPr="002E2B4B">
        <w:rPr>
          <w:rFonts w:asciiTheme="minorHAnsi" w:hAnsiTheme="minorHAnsi" w:cstheme="majorBidi"/>
          <w:szCs w:val="24"/>
        </w:rPr>
        <w:t xml:space="preserve"> a balanced budget 2016-2017 has been achieved. A separate document [</w:t>
      </w:r>
      <w:hyperlink r:id="rId16" w:history="1">
        <w:r w:rsidRPr="002E2B4B">
          <w:rPr>
            <w:rStyle w:val="Hyperlink"/>
            <w:rFonts w:asciiTheme="minorHAnsi" w:hAnsiTheme="minorHAnsi" w:cstheme="majorBidi"/>
            <w:szCs w:val="24"/>
          </w:rPr>
          <w:t>CWG-FHR 7/5</w:t>
        </w:r>
      </w:hyperlink>
      <w:r w:rsidRPr="002E2B4B">
        <w:rPr>
          <w:rFonts w:asciiTheme="minorHAnsi" w:hAnsiTheme="minorHAnsi" w:cstheme="majorBidi"/>
          <w:szCs w:val="24"/>
        </w:rPr>
        <w:t xml:space="preserve">] addresses the efficiency measures achieved. The main savings opportunities </w:t>
      </w:r>
      <w:proofErr w:type="gramStart"/>
      <w:r w:rsidRPr="002E2B4B">
        <w:rPr>
          <w:rFonts w:asciiTheme="minorHAnsi" w:hAnsiTheme="minorHAnsi" w:cstheme="majorBidi"/>
          <w:szCs w:val="24"/>
        </w:rPr>
        <w:t>being explored</w:t>
      </w:r>
      <w:proofErr w:type="gramEnd"/>
      <w:r w:rsidRPr="002E2B4B">
        <w:rPr>
          <w:rFonts w:asciiTheme="minorHAnsi" w:hAnsiTheme="minorHAnsi" w:cstheme="majorBidi"/>
          <w:szCs w:val="24"/>
        </w:rPr>
        <w:t xml:space="preserve"> include possible centralization of administrative tasks, such as finance, HR, registration; co-location of events; a paperless ITU; and, further reductions of the number of established posts.</w:t>
      </w:r>
    </w:p>
    <w:p w14:paraId="3F66C27F" w14:textId="77777777" w:rsidR="002E2B4B" w:rsidRPr="002E2B4B" w:rsidRDefault="002E2B4B" w:rsidP="00DD0958">
      <w:pPr>
        <w:keepNext/>
        <w:keepLines/>
        <w:tabs>
          <w:tab w:val="clear" w:pos="567"/>
          <w:tab w:val="clear" w:pos="1134"/>
          <w:tab w:val="clear" w:pos="1701"/>
          <w:tab w:val="clear" w:pos="2268"/>
          <w:tab w:val="clear" w:pos="2835"/>
        </w:tabs>
        <w:snapToGrid w:val="0"/>
        <w:spacing w:before="360" w:after="120"/>
        <w:jc w:val="both"/>
        <w:rPr>
          <w:rFonts w:asciiTheme="minorHAnsi" w:hAnsiTheme="minorHAnsi" w:cstheme="majorBidi"/>
          <w:b/>
          <w:bCs/>
          <w:szCs w:val="24"/>
        </w:rPr>
      </w:pPr>
      <w:r w:rsidRPr="002E2B4B">
        <w:rPr>
          <w:rFonts w:asciiTheme="minorHAnsi" w:hAnsiTheme="minorHAnsi" w:cstheme="majorBidi"/>
          <w:b/>
          <w:bCs/>
          <w:szCs w:val="24"/>
        </w:rPr>
        <w:lastRenderedPageBreak/>
        <w:t>5</w:t>
      </w:r>
      <w:r w:rsidRPr="002E2B4B">
        <w:rPr>
          <w:rFonts w:asciiTheme="minorHAnsi" w:hAnsiTheme="minorHAnsi" w:cstheme="majorBidi"/>
          <w:b/>
          <w:bCs/>
          <w:szCs w:val="24"/>
        </w:rPr>
        <w:tab/>
        <w:t xml:space="preserve">Diversifying financial support </w:t>
      </w:r>
    </w:p>
    <w:p w14:paraId="64404F76" w14:textId="77777777" w:rsidR="002E2B4B" w:rsidRPr="002E2B4B" w:rsidRDefault="002E2B4B" w:rsidP="00DD0958">
      <w:pPr>
        <w:keepNext/>
        <w:keepLines/>
        <w:tabs>
          <w:tab w:val="clear" w:pos="567"/>
          <w:tab w:val="clear" w:pos="1134"/>
          <w:tab w:val="clear" w:pos="1701"/>
          <w:tab w:val="clear" w:pos="2268"/>
          <w:tab w:val="clear" w:pos="2835"/>
        </w:tabs>
        <w:snapToGrid w:val="0"/>
        <w:spacing w:after="120"/>
        <w:jc w:val="both"/>
        <w:rPr>
          <w:rFonts w:asciiTheme="minorHAnsi" w:hAnsiTheme="minorHAnsi" w:cstheme="majorBidi"/>
          <w:color w:val="000000" w:themeColor="text1"/>
          <w:szCs w:val="24"/>
        </w:rPr>
      </w:pPr>
      <w:r w:rsidRPr="002E2B4B">
        <w:rPr>
          <w:rFonts w:asciiTheme="minorHAnsi" w:hAnsiTheme="minorHAnsi" w:cstheme="majorBidi"/>
          <w:color w:val="000000" w:themeColor="text1"/>
          <w:szCs w:val="24"/>
        </w:rPr>
        <w:t>Among the major changes in the international fundraising landscape in recent years is the growing role of major foundations. The CHF</w:t>
      </w:r>
      <w:r w:rsidR="001E1B65">
        <w:rPr>
          <w:rFonts w:asciiTheme="minorHAnsi" w:hAnsiTheme="minorHAnsi" w:cstheme="majorBidi"/>
          <w:color w:val="000000" w:themeColor="text1"/>
          <w:szCs w:val="24"/>
        </w:rPr>
        <w:t> </w:t>
      </w:r>
      <w:r w:rsidRPr="002E2B4B">
        <w:rPr>
          <w:rFonts w:asciiTheme="minorHAnsi" w:hAnsiTheme="minorHAnsi" w:cstheme="majorBidi"/>
          <w:color w:val="000000" w:themeColor="text1"/>
          <w:szCs w:val="24"/>
        </w:rPr>
        <w:t xml:space="preserve">2 million contribution from the Gates Foundation to support ITU’s work on digital financial services is a success to build upon. Foundations (and companies) often prefer to make their contributions to an </w:t>
      </w:r>
      <w:proofErr w:type="gramStart"/>
      <w:r w:rsidRPr="002E2B4B">
        <w:rPr>
          <w:rFonts w:asciiTheme="minorHAnsi" w:hAnsiTheme="minorHAnsi" w:cstheme="majorBidi"/>
          <w:color w:val="000000" w:themeColor="text1"/>
          <w:szCs w:val="24"/>
        </w:rPr>
        <w:t>entity which</w:t>
      </w:r>
      <w:proofErr w:type="gramEnd"/>
      <w:r w:rsidRPr="002E2B4B">
        <w:rPr>
          <w:rFonts w:asciiTheme="minorHAnsi" w:hAnsiTheme="minorHAnsi" w:cstheme="majorBidi"/>
          <w:color w:val="000000" w:themeColor="text1"/>
          <w:szCs w:val="24"/>
        </w:rPr>
        <w:t xml:space="preserve"> has recognized charitable status. This is the case in the United States, which is home to many large foundations. To help diversity funding sources, the </w:t>
      </w:r>
      <w:r w:rsidR="001E1B65">
        <w:rPr>
          <w:rFonts w:asciiTheme="minorHAnsi" w:hAnsiTheme="minorHAnsi" w:cstheme="majorBidi"/>
          <w:color w:val="000000" w:themeColor="text1"/>
          <w:szCs w:val="24"/>
        </w:rPr>
        <w:t>s</w:t>
      </w:r>
      <w:r w:rsidRPr="002E2B4B">
        <w:rPr>
          <w:rFonts w:asciiTheme="minorHAnsi" w:hAnsiTheme="minorHAnsi" w:cstheme="majorBidi"/>
          <w:color w:val="000000" w:themeColor="text1"/>
          <w:szCs w:val="24"/>
        </w:rPr>
        <w:t xml:space="preserve">ecretariat is exploring the possibility of </w:t>
      </w:r>
      <w:proofErr w:type="gramStart"/>
      <w:r w:rsidRPr="002E2B4B">
        <w:rPr>
          <w:rFonts w:asciiTheme="minorHAnsi" w:hAnsiTheme="minorHAnsi" w:cstheme="majorBidi"/>
          <w:color w:val="000000" w:themeColor="text1"/>
          <w:szCs w:val="24"/>
        </w:rPr>
        <w:t>partnering</w:t>
      </w:r>
      <w:proofErr w:type="gramEnd"/>
      <w:r w:rsidRPr="002E2B4B">
        <w:rPr>
          <w:rFonts w:asciiTheme="minorHAnsi" w:hAnsiTheme="minorHAnsi" w:cstheme="majorBidi"/>
          <w:color w:val="000000" w:themeColor="text1"/>
          <w:szCs w:val="24"/>
        </w:rPr>
        <w:t xml:space="preserve"> with an entity which already has charitable status in the US to make it more attractive for US-based foundations (and companies) to support ITU projects and initiatives. If successful, ITU could potentially establish its own entity/special fund with charitable status in the US, as has been done by UNICEF and other UN agencies. This approach </w:t>
      </w:r>
      <w:proofErr w:type="gramStart"/>
      <w:r w:rsidRPr="002E2B4B">
        <w:rPr>
          <w:rFonts w:asciiTheme="minorHAnsi" w:hAnsiTheme="minorHAnsi" w:cstheme="majorBidi"/>
          <w:color w:val="000000" w:themeColor="text1"/>
          <w:szCs w:val="24"/>
        </w:rPr>
        <w:t>could also be explored</w:t>
      </w:r>
      <w:proofErr w:type="gramEnd"/>
      <w:r w:rsidRPr="002E2B4B">
        <w:rPr>
          <w:rFonts w:asciiTheme="minorHAnsi" w:hAnsiTheme="minorHAnsi" w:cstheme="majorBidi"/>
          <w:color w:val="000000" w:themeColor="text1"/>
          <w:szCs w:val="24"/>
        </w:rPr>
        <w:t xml:space="preserve"> in other countries.</w:t>
      </w:r>
    </w:p>
    <w:p w14:paraId="12354D18" w14:textId="77777777" w:rsidR="002E2B4B" w:rsidRPr="002E2B4B" w:rsidRDefault="002E2B4B" w:rsidP="005918D2">
      <w:pPr>
        <w:tabs>
          <w:tab w:val="clear" w:pos="567"/>
          <w:tab w:val="clear" w:pos="1134"/>
          <w:tab w:val="clear" w:pos="1701"/>
          <w:tab w:val="clear" w:pos="2268"/>
          <w:tab w:val="clear" w:pos="2835"/>
        </w:tabs>
        <w:snapToGrid w:val="0"/>
        <w:spacing w:before="360" w:after="120"/>
        <w:jc w:val="both"/>
        <w:rPr>
          <w:rFonts w:asciiTheme="minorHAnsi" w:hAnsiTheme="minorHAnsi" w:cstheme="majorBidi"/>
          <w:b/>
          <w:bCs/>
          <w:szCs w:val="24"/>
        </w:rPr>
      </w:pPr>
      <w:r w:rsidRPr="002E2B4B">
        <w:rPr>
          <w:rFonts w:asciiTheme="minorHAnsi" w:hAnsiTheme="minorHAnsi" w:cstheme="majorBidi"/>
          <w:b/>
          <w:bCs/>
          <w:szCs w:val="24"/>
        </w:rPr>
        <w:t>6</w:t>
      </w:r>
      <w:r w:rsidRPr="002E2B4B">
        <w:rPr>
          <w:rFonts w:asciiTheme="minorHAnsi" w:hAnsiTheme="minorHAnsi" w:cstheme="majorBidi"/>
          <w:b/>
          <w:bCs/>
          <w:szCs w:val="24"/>
        </w:rPr>
        <w:tab/>
        <w:t>Conclusions</w:t>
      </w:r>
    </w:p>
    <w:p w14:paraId="21DB426D" w14:textId="52BC9EDF" w:rsidR="002E2B4B" w:rsidRPr="002E2B4B" w:rsidRDefault="002E2B4B" w:rsidP="001012AB">
      <w:pPr>
        <w:tabs>
          <w:tab w:val="clear" w:pos="567"/>
          <w:tab w:val="clear" w:pos="1134"/>
          <w:tab w:val="clear" w:pos="1701"/>
          <w:tab w:val="clear" w:pos="2268"/>
          <w:tab w:val="clear" w:pos="2835"/>
        </w:tabs>
        <w:snapToGrid w:val="0"/>
        <w:spacing w:after="120"/>
        <w:jc w:val="both"/>
        <w:rPr>
          <w:rFonts w:asciiTheme="minorHAnsi" w:eastAsia="SimSun" w:hAnsiTheme="minorHAnsi" w:cstheme="majorBidi"/>
          <w:color w:val="000000"/>
          <w:szCs w:val="24"/>
        </w:rPr>
      </w:pPr>
      <w:r w:rsidRPr="002E2B4B">
        <w:rPr>
          <w:rFonts w:asciiTheme="minorHAnsi" w:hAnsiTheme="minorHAnsi" w:cstheme="majorBidi"/>
          <w:szCs w:val="24"/>
        </w:rPr>
        <w:t xml:space="preserve">Based on </w:t>
      </w:r>
      <w:r w:rsidR="001012AB">
        <w:rPr>
          <w:rFonts w:asciiTheme="minorHAnsi" w:hAnsiTheme="minorHAnsi" w:cstheme="majorBidi"/>
          <w:szCs w:val="24"/>
        </w:rPr>
        <w:t>the discussion at Council-17</w:t>
      </w:r>
      <w:r w:rsidRPr="002E2B4B">
        <w:rPr>
          <w:rFonts w:asciiTheme="minorHAnsi" w:hAnsiTheme="minorHAnsi" w:cstheme="majorBidi"/>
          <w:szCs w:val="24"/>
        </w:rPr>
        <w:t xml:space="preserve">, the plan outlined </w:t>
      </w:r>
      <w:r w:rsidR="001012AB">
        <w:rPr>
          <w:rFonts w:asciiTheme="minorHAnsi" w:hAnsiTheme="minorHAnsi" w:cstheme="majorBidi"/>
          <w:szCs w:val="24"/>
        </w:rPr>
        <w:t>above</w:t>
      </w:r>
      <w:r w:rsidRPr="002E2B4B">
        <w:rPr>
          <w:rFonts w:asciiTheme="minorHAnsi" w:hAnsiTheme="minorHAnsi" w:cstheme="majorBidi"/>
          <w:szCs w:val="24"/>
        </w:rPr>
        <w:t xml:space="preserve"> will be enhanced and developed as the basis for improving the stability and the predictability of the financial base of the Union, integrating options for increasing revenues and as well as reducing costs.</w:t>
      </w:r>
      <w:r w:rsidRPr="002E2B4B" w:rsidDel="00B85DC4">
        <w:rPr>
          <w:rFonts w:asciiTheme="minorHAnsi" w:eastAsia="SimSun" w:hAnsiTheme="minorHAnsi" w:cstheme="majorBidi"/>
          <w:color w:val="000000"/>
          <w:szCs w:val="24"/>
        </w:rPr>
        <w:t xml:space="preserve"> </w:t>
      </w:r>
    </w:p>
    <w:p w14:paraId="7390059E" w14:textId="77777777" w:rsidR="002E2B4B" w:rsidRPr="00002F72" w:rsidRDefault="002E2B4B" w:rsidP="002E2B4B">
      <w:pPr>
        <w:pStyle w:val="AnnexNo"/>
        <w:rPr>
          <w:rFonts w:eastAsia="SimSun"/>
        </w:rPr>
      </w:pPr>
      <w:r w:rsidRPr="00002F72">
        <w:br w:type="page"/>
      </w:r>
      <w:bookmarkStart w:id="11" w:name="Annex1"/>
      <w:r w:rsidRPr="00002F72">
        <w:rPr>
          <w:rFonts w:eastAsia="SimSun"/>
        </w:rPr>
        <w:lastRenderedPageBreak/>
        <w:t xml:space="preserve">ANNEX </w:t>
      </w:r>
      <w:proofErr w:type="gramStart"/>
      <w:r w:rsidRPr="00002F72">
        <w:rPr>
          <w:rFonts w:eastAsia="SimSun"/>
        </w:rPr>
        <w:t>1</w:t>
      </w:r>
      <w:bookmarkEnd w:id="11"/>
      <w:proofErr w:type="gramEnd"/>
    </w:p>
    <w:p w14:paraId="77347D2D" w14:textId="77777777" w:rsidR="002E2B4B" w:rsidRPr="00002F72" w:rsidRDefault="002E2B4B" w:rsidP="002E2B4B">
      <w:pPr>
        <w:pStyle w:val="Annextitle"/>
      </w:pPr>
      <w:r w:rsidRPr="00002F72">
        <w:t>PROPOSAL: Principles for Resource Mobilization</w:t>
      </w:r>
    </w:p>
    <w:p w14:paraId="33B30E13" w14:textId="77777777" w:rsidR="002E2B4B" w:rsidRPr="002E2B4B" w:rsidRDefault="002E2B4B" w:rsidP="005918D2">
      <w:pPr>
        <w:pStyle w:val="ListParagraph"/>
        <w:numPr>
          <w:ilvl w:val="0"/>
          <w:numId w:val="2"/>
        </w:numPr>
        <w:tabs>
          <w:tab w:val="clear" w:pos="794"/>
          <w:tab w:val="clear" w:pos="1191"/>
          <w:tab w:val="clear" w:pos="1588"/>
          <w:tab w:val="clear" w:pos="1985"/>
        </w:tabs>
        <w:overflowPunct/>
        <w:autoSpaceDE/>
        <w:autoSpaceDN/>
        <w:adjustRightInd/>
        <w:snapToGrid w:val="0"/>
        <w:spacing w:after="120"/>
        <w:ind w:left="0" w:firstLine="0"/>
        <w:contextualSpacing w:val="0"/>
        <w:jc w:val="both"/>
        <w:textAlignment w:val="auto"/>
        <w:rPr>
          <w:rFonts w:asciiTheme="minorHAnsi" w:hAnsiTheme="minorHAnsi" w:cstheme="majorBidi"/>
          <w:szCs w:val="24"/>
        </w:rPr>
      </w:pPr>
      <w:r w:rsidRPr="002E2B4B">
        <w:rPr>
          <w:rFonts w:asciiTheme="minorHAnsi" w:hAnsiTheme="minorHAnsi" w:cstheme="majorBidi"/>
          <w:szCs w:val="24"/>
          <w:u w:val="single"/>
        </w:rPr>
        <w:t>Defining the scope</w:t>
      </w:r>
      <w:r w:rsidRPr="002E2B4B">
        <w:rPr>
          <w:rFonts w:asciiTheme="minorHAnsi" w:hAnsiTheme="minorHAnsi" w:cstheme="majorBidi"/>
          <w:szCs w:val="24"/>
        </w:rPr>
        <w:t>: “Resource Mobilization” in the context of ITU refers to all forms of raising revenues, including both regular budget revenues and extra-budgetary contributions.</w:t>
      </w:r>
    </w:p>
    <w:p w14:paraId="772FC9F0" w14:textId="250311CE" w:rsidR="002E2B4B" w:rsidRPr="002E2B4B" w:rsidRDefault="002E2B4B" w:rsidP="005918D2">
      <w:pPr>
        <w:pStyle w:val="ListParagraph"/>
        <w:numPr>
          <w:ilvl w:val="0"/>
          <w:numId w:val="2"/>
        </w:numPr>
        <w:tabs>
          <w:tab w:val="clear" w:pos="794"/>
          <w:tab w:val="clear" w:pos="1191"/>
          <w:tab w:val="clear" w:pos="1588"/>
          <w:tab w:val="clear" w:pos="1985"/>
        </w:tabs>
        <w:overflowPunct/>
        <w:autoSpaceDE/>
        <w:autoSpaceDN/>
        <w:adjustRightInd/>
        <w:snapToGrid w:val="0"/>
        <w:spacing w:after="120"/>
        <w:ind w:left="0" w:firstLine="0"/>
        <w:contextualSpacing w:val="0"/>
        <w:jc w:val="both"/>
        <w:textAlignment w:val="auto"/>
        <w:rPr>
          <w:rFonts w:asciiTheme="minorHAnsi" w:hAnsiTheme="minorHAnsi" w:cstheme="majorBidi"/>
          <w:szCs w:val="24"/>
        </w:rPr>
      </w:pPr>
      <w:r w:rsidRPr="002E2B4B">
        <w:rPr>
          <w:rFonts w:asciiTheme="minorHAnsi" w:hAnsiTheme="minorHAnsi" w:cstheme="majorBidi"/>
          <w:szCs w:val="24"/>
          <w:u w:val="single"/>
        </w:rPr>
        <w:t>Setting priorities</w:t>
      </w:r>
      <w:r w:rsidRPr="002E2B4B">
        <w:rPr>
          <w:rFonts w:asciiTheme="minorHAnsi" w:hAnsiTheme="minorHAnsi" w:cstheme="majorBidi"/>
          <w:szCs w:val="24"/>
        </w:rPr>
        <w:t xml:space="preserve">: As ITU’s primary source of revenues, the top priority for Resource Mobilization is assessed contributions from ITU’s </w:t>
      </w:r>
      <w:r w:rsidRPr="00283E92">
        <w:rPr>
          <w:rFonts w:asciiTheme="minorHAnsi" w:hAnsiTheme="minorHAnsi" w:cstheme="majorBidi"/>
          <w:szCs w:val="24"/>
        </w:rPr>
        <w:t>Member</w:t>
      </w:r>
      <w:r w:rsidR="00457BF5" w:rsidRPr="00457BF5">
        <w:rPr>
          <w:rFonts w:asciiTheme="minorHAnsi" w:hAnsiTheme="minorHAnsi" w:cstheme="majorBidi"/>
          <w:szCs w:val="24"/>
        </w:rPr>
        <w:t xml:space="preserve"> State</w:t>
      </w:r>
      <w:r w:rsidRPr="00283E92">
        <w:rPr>
          <w:rFonts w:asciiTheme="minorHAnsi" w:hAnsiTheme="minorHAnsi" w:cstheme="majorBidi"/>
          <w:szCs w:val="24"/>
        </w:rPr>
        <w:t>s</w:t>
      </w:r>
      <w:r w:rsidRPr="00457BF5">
        <w:rPr>
          <w:rFonts w:asciiTheme="minorHAnsi" w:hAnsiTheme="minorHAnsi" w:cstheme="majorBidi"/>
          <w:szCs w:val="24"/>
        </w:rPr>
        <w:t>.</w:t>
      </w:r>
      <w:r w:rsidRPr="002E2B4B">
        <w:rPr>
          <w:rFonts w:asciiTheme="minorHAnsi" w:hAnsiTheme="minorHAnsi" w:cstheme="majorBidi"/>
          <w:szCs w:val="24"/>
        </w:rPr>
        <w:t xml:space="preserve"> These contributions </w:t>
      </w:r>
      <w:proofErr w:type="gramStart"/>
      <w:r w:rsidRPr="002E2B4B">
        <w:rPr>
          <w:rFonts w:asciiTheme="minorHAnsi" w:hAnsiTheme="minorHAnsi" w:cstheme="majorBidi"/>
          <w:szCs w:val="24"/>
        </w:rPr>
        <w:t>are provided</w:t>
      </w:r>
      <w:proofErr w:type="gramEnd"/>
      <w:r w:rsidRPr="002E2B4B">
        <w:rPr>
          <w:rFonts w:asciiTheme="minorHAnsi" w:hAnsiTheme="minorHAnsi" w:cstheme="majorBidi"/>
          <w:szCs w:val="24"/>
        </w:rPr>
        <w:t xml:space="preserve"> to support an agreed Strategic Plan and its implementation through Operational Plans, using the ITU Regular Budget. Therefore, </w:t>
      </w:r>
      <w:r w:rsidRPr="00283E92">
        <w:rPr>
          <w:rFonts w:asciiTheme="minorHAnsi" w:hAnsiTheme="minorHAnsi" w:cstheme="majorBidi"/>
          <w:szCs w:val="24"/>
        </w:rPr>
        <w:t>Member</w:t>
      </w:r>
      <w:r w:rsidR="00457BF5" w:rsidRPr="00283E92">
        <w:rPr>
          <w:rFonts w:asciiTheme="minorHAnsi" w:hAnsiTheme="minorHAnsi" w:cstheme="majorBidi"/>
          <w:szCs w:val="24"/>
        </w:rPr>
        <w:t xml:space="preserve"> St</w:t>
      </w:r>
      <w:r w:rsidR="00457BF5" w:rsidRPr="00457BF5">
        <w:rPr>
          <w:rFonts w:asciiTheme="minorHAnsi" w:hAnsiTheme="minorHAnsi" w:cstheme="majorBidi"/>
          <w:szCs w:val="24"/>
        </w:rPr>
        <w:t>ate</w:t>
      </w:r>
      <w:r w:rsidRPr="00283E92">
        <w:rPr>
          <w:rFonts w:asciiTheme="minorHAnsi" w:hAnsiTheme="minorHAnsi" w:cstheme="majorBidi"/>
          <w:szCs w:val="24"/>
        </w:rPr>
        <w:t>s</w:t>
      </w:r>
      <w:r w:rsidRPr="002E2B4B">
        <w:rPr>
          <w:rFonts w:asciiTheme="minorHAnsi" w:hAnsiTheme="minorHAnsi" w:cstheme="majorBidi"/>
          <w:szCs w:val="24"/>
        </w:rPr>
        <w:t xml:space="preserve"> are encouraged to prioritize their assessed contributions as their main financial support to ITU, either by maintaining or when possible, increasing these contributions before considering providing resources for activities outside of the ITU Regular Budget. To this end, the </w:t>
      </w:r>
      <w:r w:rsidR="001E1B65">
        <w:rPr>
          <w:rFonts w:asciiTheme="minorHAnsi" w:hAnsiTheme="minorHAnsi" w:cstheme="majorBidi"/>
          <w:szCs w:val="24"/>
        </w:rPr>
        <w:t>s</w:t>
      </w:r>
      <w:r w:rsidRPr="002E2B4B">
        <w:rPr>
          <w:rFonts w:asciiTheme="minorHAnsi" w:hAnsiTheme="minorHAnsi" w:cstheme="majorBidi"/>
          <w:szCs w:val="24"/>
        </w:rPr>
        <w:t xml:space="preserve">ecretariat will encourage, to the extent possible, the support of entities outside of ITU’s </w:t>
      </w:r>
      <w:r w:rsidR="001E1B65">
        <w:rPr>
          <w:rFonts w:asciiTheme="minorHAnsi" w:hAnsiTheme="minorHAnsi" w:cstheme="majorBidi"/>
          <w:szCs w:val="24"/>
        </w:rPr>
        <w:t>m</w:t>
      </w:r>
      <w:r w:rsidRPr="002E2B4B">
        <w:rPr>
          <w:rFonts w:asciiTheme="minorHAnsi" w:hAnsiTheme="minorHAnsi" w:cstheme="majorBidi"/>
          <w:szCs w:val="24"/>
        </w:rPr>
        <w:t xml:space="preserve">embership for extra-budgetary, voluntary contributions, to complement resources provided by </w:t>
      </w:r>
      <w:r w:rsidR="00457BF5">
        <w:rPr>
          <w:rFonts w:asciiTheme="minorHAnsi" w:hAnsiTheme="minorHAnsi" w:cstheme="majorBidi"/>
          <w:szCs w:val="24"/>
        </w:rPr>
        <w:t>m</w:t>
      </w:r>
      <w:r w:rsidRPr="002E2B4B">
        <w:rPr>
          <w:rFonts w:asciiTheme="minorHAnsi" w:hAnsiTheme="minorHAnsi" w:cstheme="majorBidi"/>
          <w:szCs w:val="24"/>
        </w:rPr>
        <w:t>embers.</w:t>
      </w:r>
    </w:p>
    <w:p w14:paraId="7F62F09F" w14:textId="0281125C" w:rsidR="002E2B4B" w:rsidRPr="002E2B4B" w:rsidRDefault="002E2B4B" w:rsidP="005918D2">
      <w:pPr>
        <w:pStyle w:val="ListParagraph"/>
        <w:numPr>
          <w:ilvl w:val="0"/>
          <w:numId w:val="2"/>
        </w:numPr>
        <w:tabs>
          <w:tab w:val="clear" w:pos="794"/>
          <w:tab w:val="clear" w:pos="1191"/>
          <w:tab w:val="clear" w:pos="1588"/>
          <w:tab w:val="clear" w:pos="1985"/>
        </w:tabs>
        <w:overflowPunct/>
        <w:autoSpaceDE/>
        <w:autoSpaceDN/>
        <w:adjustRightInd/>
        <w:snapToGrid w:val="0"/>
        <w:spacing w:after="120"/>
        <w:ind w:left="0" w:firstLine="0"/>
        <w:contextualSpacing w:val="0"/>
        <w:jc w:val="both"/>
        <w:textAlignment w:val="auto"/>
        <w:rPr>
          <w:rFonts w:asciiTheme="minorHAnsi" w:hAnsiTheme="minorHAnsi" w:cstheme="majorBidi"/>
          <w:szCs w:val="24"/>
        </w:rPr>
      </w:pPr>
      <w:r w:rsidRPr="002E2B4B">
        <w:rPr>
          <w:rFonts w:asciiTheme="minorHAnsi" w:hAnsiTheme="minorHAnsi" w:cstheme="majorBidi"/>
          <w:szCs w:val="24"/>
          <w:u w:val="single"/>
        </w:rPr>
        <w:t>Ensuring transparency</w:t>
      </w:r>
      <w:r w:rsidRPr="002E2B4B">
        <w:rPr>
          <w:rFonts w:asciiTheme="minorHAnsi" w:hAnsiTheme="minorHAnsi" w:cstheme="majorBidi"/>
          <w:szCs w:val="24"/>
        </w:rPr>
        <w:t xml:space="preserve">: Opportunities for ITU </w:t>
      </w:r>
      <w:r w:rsidR="00457BF5">
        <w:rPr>
          <w:rFonts w:asciiTheme="minorHAnsi" w:hAnsiTheme="minorHAnsi" w:cstheme="majorBidi"/>
          <w:szCs w:val="24"/>
        </w:rPr>
        <w:t>m</w:t>
      </w:r>
      <w:r w:rsidRPr="002E2B4B">
        <w:rPr>
          <w:rFonts w:asciiTheme="minorHAnsi" w:hAnsiTheme="minorHAnsi" w:cstheme="majorBidi"/>
          <w:szCs w:val="24"/>
        </w:rPr>
        <w:t>embers</w:t>
      </w:r>
      <w:r w:rsidR="005918D2">
        <w:rPr>
          <w:rFonts w:asciiTheme="minorHAnsi" w:hAnsiTheme="minorHAnsi" w:cstheme="majorBidi"/>
          <w:szCs w:val="24"/>
        </w:rPr>
        <w:t>hip</w:t>
      </w:r>
      <w:r w:rsidRPr="002E2B4B">
        <w:rPr>
          <w:rFonts w:asciiTheme="minorHAnsi" w:hAnsiTheme="minorHAnsi" w:cstheme="majorBidi"/>
          <w:szCs w:val="24"/>
        </w:rPr>
        <w:t xml:space="preserve"> and other entities to support additional activities through resource mobilization campaigns </w:t>
      </w:r>
      <w:proofErr w:type="gramStart"/>
      <w:r w:rsidRPr="002E2B4B">
        <w:rPr>
          <w:rFonts w:asciiTheme="minorHAnsi" w:hAnsiTheme="minorHAnsi" w:cstheme="majorBidi"/>
          <w:szCs w:val="24"/>
        </w:rPr>
        <w:t>should be made</w:t>
      </w:r>
      <w:proofErr w:type="gramEnd"/>
      <w:r w:rsidRPr="002E2B4B">
        <w:rPr>
          <w:rFonts w:asciiTheme="minorHAnsi" w:hAnsiTheme="minorHAnsi" w:cstheme="majorBidi"/>
          <w:szCs w:val="24"/>
        </w:rPr>
        <w:t xml:space="preserve"> known to the entire membership, and the benefits received by the partner/funder should be modest and in line with ITU rules and procedures, including protocol and common ITU practice.</w:t>
      </w:r>
    </w:p>
    <w:p w14:paraId="11B60E75" w14:textId="0FDD8DFE" w:rsidR="002E2B4B" w:rsidRPr="002E2B4B" w:rsidRDefault="002E2B4B" w:rsidP="005918D2">
      <w:pPr>
        <w:pStyle w:val="ListParagraph"/>
        <w:numPr>
          <w:ilvl w:val="0"/>
          <w:numId w:val="2"/>
        </w:numPr>
        <w:tabs>
          <w:tab w:val="clear" w:pos="794"/>
          <w:tab w:val="clear" w:pos="1191"/>
          <w:tab w:val="clear" w:pos="1588"/>
          <w:tab w:val="clear" w:pos="1985"/>
        </w:tabs>
        <w:overflowPunct/>
        <w:autoSpaceDE/>
        <w:autoSpaceDN/>
        <w:adjustRightInd/>
        <w:snapToGrid w:val="0"/>
        <w:spacing w:after="120"/>
        <w:ind w:left="0" w:firstLine="0"/>
        <w:contextualSpacing w:val="0"/>
        <w:jc w:val="both"/>
        <w:textAlignment w:val="auto"/>
        <w:rPr>
          <w:rFonts w:asciiTheme="minorHAnsi" w:hAnsiTheme="minorHAnsi" w:cstheme="majorBidi"/>
          <w:szCs w:val="24"/>
        </w:rPr>
      </w:pPr>
      <w:r w:rsidRPr="002E2B4B">
        <w:rPr>
          <w:rFonts w:asciiTheme="minorHAnsi" w:hAnsiTheme="minorHAnsi" w:cstheme="majorBidi"/>
          <w:szCs w:val="24"/>
          <w:u w:val="single"/>
        </w:rPr>
        <w:t xml:space="preserve">Adhering to </w:t>
      </w:r>
      <w:r w:rsidRPr="002E2B4B">
        <w:rPr>
          <w:rFonts w:asciiTheme="minorHAnsi" w:hAnsiTheme="minorHAnsi" w:cstheme="majorBidi"/>
          <w:bCs/>
          <w:szCs w:val="24"/>
          <w:u w:val="single"/>
        </w:rPr>
        <w:t>UN principles</w:t>
      </w:r>
      <w:r w:rsidRPr="002E2B4B">
        <w:rPr>
          <w:rFonts w:asciiTheme="minorHAnsi" w:hAnsiTheme="minorHAnsi" w:cstheme="majorBidi"/>
          <w:bCs/>
          <w:szCs w:val="24"/>
        </w:rPr>
        <w:t xml:space="preserve">: To complement the support of its </w:t>
      </w:r>
      <w:r w:rsidR="00457BF5">
        <w:rPr>
          <w:rFonts w:asciiTheme="minorHAnsi" w:hAnsiTheme="minorHAnsi" w:cstheme="majorBidi"/>
          <w:bCs/>
          <w:szCs w:val="24"/>
        </w:rPr>
        <w:t>m</w:t>
      </w:r>
      <w:r w:rsidRPr="002E2B4B">
        <w:rPr>
          <w:rFonts w:asciiTheme="minorHAnsi" w:hAnsiTheme="minorHAnsi" w:cstheme="majorBidi"/>
          <w:bCs/>
          <w:szCs w:val="24"/>
        </w:rPr>
        <w:t>embers</w:t>
      </w:r>
      <w:r w:rsidR="005918D2">
        <w:rPr>
          <w:rFonts w:asciiTheme="minorHAnsi" w:hAnsiTheme="minorHAnsi" w:cstheme="majorBidi"/>
          <w:bCs/>
          <w:szCs w:val="24"/>
        </w:rPr>
        <w:t>hip</w:t>
      </w:r>
      <w:r w:rsidRPr="002E2B4B">
        <w:rPr>
          <w:rFonts w:asciiTheme="minorHAnsi" w:hAnsiTheme="minorHAnsi" w:cstheme="majorBidi"/>
          <w:bCs/>
          <w:szCs w:val="24"/>
        </w:rPr>
        <w:t xml:space="preserve">, ITU will accept funding from/partner with entities that exhibit behaviour which is in line with </w:t>
      </w:r>
      <w:hyperlink r:id="rId17" w:history="1">
        <w:r w:rsidRPr="002E2B4B">
          <w:rPr>
            <w:rStyle w:val="Hyperlink"/>
            <w:rFonts w:asciiTheme="minorHAnsi" w:hAnsiTheme="minorHAnsi" w:cstheme="majorBidi"/>
            <w:bCs/>
            <w:szCs w:val="24"/>
          </w:rPr>
          <w:t>UN principles</w:t>
        </w:r>
      </w:hyperlink>
      <w:r w:rsidRPr="002E2B4B">
        <w:rPr>
          <w:rFonts w:asciiTheme="minorHAnsi" w:hAnsiTheme="minorHAnsi" w:cstheme="majorBidi"/>
          <w:bCs/>
          <w:szCs w:val="24"/>
        </w:rPr>
        <w:t>, including human rights, labour, environment</w:t>
      </w:r>
      <w:r w:rsidR="005918D2">
        <w:rPr>
          <w:rFonts w:asciiTheme="minorHAnsi" w:hAnsiTheme="minorHAnsi" w:cstheme="majorBidi"/>
          <w:bCs/>
          <w:szCs w:val="24"/>
        </w:rPr>
        <w:t>,</w:t>
      </w:r>
      <w:r w:rsidRPr="002E2B4B">
        <w:rPr>
          <w:rFonts w:asciiTheme="minorHAnsi" w:hAnsiTheme="minorHAnsi" w:cstheme="majorBidi"/>
          <w:bCs/>
          <w:szCs w:val="24"/>
        </w:rPr>
        <w:t xml:space="preserve"> and anti-corruption. ITU shall apply due diligence screening process in line with </w:t>
      </w:r>
      <w:hyperlink r:id="rId18" w:history="1">
        <w:r w:rsidRPr="002E2B4B">
          <w:rPr>
            <w:rStyle w:val="Hyperlink"/>
            <w:rFonts w:asciiTheme="minorHAnsi" w:hAnsiTheme="minorHAnsi" w:cstheme="majorBidi"/>
            <w:szCs w:val="24"/>
          </w:rPr>
          <w:t xml:space="preserve">UN </w:t>
        </w:r>
        <w:r w:rsidRPr="002E2B4B">
          <w:rPr>
            <w:rStyle w:val="Hyperlink"/>
            <w:rFonts w:asciiTheme="minorHAnsi" w:hAnsiTheme="minorHAnsi" w:cstheme="majorBidi"/>
            <w:bCs/>
            <w:szCs w:val="24"/>
          </w:rPr>
          <w:t>guidelines</w:t>
        </w:r>
      </w:hyperlink>
      <w:r w:rsidRPr="002E2B4B">
        <w:rPr>
          <w:rFonts w:asciiTheme="minorHAnsi" w:hAnsiTheme="minorHAnsi" w:cstheme="majorBidi"/>
          <w:bCs/>
          <w:szCs w:val="24"/>
        </w:rPr>
        <w:t xml:space="preserve"> and best practices when considering </w:t>
      </w:r>
      <w:proofErr w:type="gramStart"/>
      <w:r w:rsidRPr="002E2B4B">
        <w:rPr>
          <w:rFonts w:asciiTheme="minorHAnsi" w:hAnsiTheme="minorHAnsi" w:cstheme="majorBidi"/>
          <w:bCs/>
          <w:szCs w:val="24"/>
        </w:rPr>
        <w:t>whether or not</w:t>
      </w:r>
      <w:proofErr w:type="gramEnd"/>
      <w:r w:rsidRPr="002E2B4B">
        <w:rPr>
          <w:rFonts w:asciiTheme="minorHAnsi" w:hAnsiTheme="minorHAnsi" w:cstheme="majorBidi"/>
          <w:bCs/>
          <w:szCs w:val="24"/>
        </w:rPr>
        <w:t xml:space="preserve"> to accept funding from or partner with a non-ITU </w:t>
      </w:r>
      <w:r w:rsidR="00457BF5">
        <w:rPr>
          <w:rFonts w:asciiTheme="minorHAnsi" w:hAnsiTheme="minorHAnsi" w:cstheme="majorBidi"/>
          <w:bCs/>
          <w:szCs w:val="24"/>
        </w:rPr>
        <w:t>m</w:t>
      </w:r>
      <w:r w:rsidRPr="002E2B4B">
        <w:rPr>
          <w:rFonts w:asciiTheme="minorHAnsi" w:hAnsiTheme="minorHAnsi" w:cstheme="majorBidi"/>
          <w:bCs/>
          <w:szCs w:val="24"/>
        </w:rPr>
        <w:t>ember entity.</w:t>
      </w:r>
    </w:p>
    <w:p w14:paraId="10555A60" w14:textId="77777777" w:rsidR="002E2B4B" w:rsidRPr="002E2B4B" w:rsidRDefault="002E2B4B" w:rsidP="005918D2">
      <w:pPr>
        <w:pStyle w:val="ListParagraph"/>
        <w:numPr>
          <w:ilvl w:val="0"/>
          <w:numId w:val="2"/>
        </w:numPr>
        <w:tabs>
          <w:tab w:val="clear" w:pos="794"/>
          <w:tab w:val="clear" w:pos="1191"/>
          <w:tab w:val="clear" w:pos="1588"/>
          <w:tab w:val="clear" w:pos="1985"/>
        </w:tabs>
        <w:overflowPunct/>
        <w:autoSpaceDE/>
        <w:autoSpaceDN/>
        <w:adjustRightInd/>
        <w:snapToGrid w:val="0"/>
        <w:spacing w:after="120"/>
        <w:ind w:left="0" w:firstLine="0"/>
        <w:contextualSpacing w:val="0"/>
        <w:jc w:val="both"/>
        <w:textAlignment w:val="auto"/>
        <w:rPr>
          <w:rFonts w:asciiTheme="minorHAnsi" w:hAnsiTheme="minorHAnsi" w:cstheme="majorBidi"/>
          <w:szCs w:val="24"/>
        </w:rPr>
      </w:pPr>
      <w:r w:rsidRPr="002E2B4B">
        <w:rPr>
          <w:rFonts w:asciiTheme="minorHAnsi" w:hAnsiTheme="minorHAnsi" w:cstheme="majorBidi"/>
          <w:bCs/>
          <w:szCs w:val="24"/>
          <w:u w:val="single"/>
        </w:rPr>
        <w:t>Achieving ITU goals</w:t>
      </w:r>
      <w:r w:rsidRPr="002E2B4B">
        <w:rPr>
          <w:rFonts w:asciiTheme="minorHAnsi" w:hAnsiTheme="minorHAnsi" w:cstheme="majorBidi"/>
          <w:bCs/>
          <w:szCs w:val="24"/>
        </w:rPr>
        <w:t>: The objective of funding (or in-kind contribution/partnership) arrangements must be consistent with the overall ITU goals as outlined in its Constitution and Convention and ITU Strategic Plan.</w:t>
      </w:r>
    </w:p>
    <w:p w14:paraId="3578CD5F" w14:textId="77777777" w:rsidR="002E2B4B" w:rsidRPr="002E2B4B" w:rsidRDefault="002E2B4B" w:rsidP="005918D2">
      <w:pPr>
        <w:pStyle w:val="ListParagraph"/>
        <w:numPr>
          <w:ilvl w:val="0"/>
          <w:numId w:val="2"/>
        </w:numPr>
        <w:tabs>
          <w:tab w:val="clear" w:pos="794"/>
          <w:tab w:val="clear" w:pos="1191"/>
          <w:tab w:val="clear" w:pos="1588"/>
          <w:tab w:val="clear" w:pos="1985"/>
        </w:tabs>
        <w:overflowPunct/>
        <w:autoSpaceDE/>
        <w:autoSpaceDN/>
        <w:adjustRightInd/>
        <w:snapToGrid w:val="0"/>
        <w:spacing w:after="120"/>
        <w:ind w:left="0" w:firstLine="0"/>
        <w:contextualSpacing w:val="0"/>
        <w:jc w:val="both"/>
        <w:textAlignment w:val="auto"/>
        <w:rPr>
          <w:rFonts w:asciiTheme="minorHAnsi" w:hAnsiTheme="minorHAnsi" w:cstheme="majorBidi"/>
          <w:szCs w:val="24"/>
        </w:rPr>
      </w:pPr>
      <w:r w:rsidRPr="002E2B4B">
        <w:rPr>
          <w:rFonts w:asciiTheme="minorHAnsi" w:hAnsiTheme="minorHAnsi" w:cstheme="majorBidi"/>
          <w:bCs/>
          <w:szCs w:val="24"/>
          <w:u w:val="single"/>
        </w:rPr>
        <w:t>Clarifying roles and responsibilities</w:t>
      </w:r>
      <w:r w:rsidRPr="002E2B4B">
        <w:rPr>
          <w:rFonts w:asciiTheme="minorHAnsi" w:hAnsiTheme="minorHAnsi" w:cstheme="majorBidi"/>
          <w:bCs/>
          <w:szCs w:val="24"/>
        </w:rPr>
        <w:t xml:space="preserve">: Funding/partner arrangements </w:t>
      </w:r>
      <w:proofErr w:type="gramStart"/>
      <w:r w:rsidRPr="002E2B4B">
        <w:rPr>
          <w:rFonts w:asciiTheme="minorHAnsi" w:hAnsiTheme="minorHAnsi" w:cstheme="majorBidi"/>
          <w:bCs/>
          <w:szCs w:val="24"/>
        </w:rPr>
        <w:t>must be based</w:t>
      </w:r>
      <w:proofErr w:type="gramEnd"/>
      <w:r w:rsidRPr="002E2B4B">
        <w:rPr>
          <w:rFonts w:asciiTheme="minorHAnsi" w:hAnsiTheme="minorHAnsi" w:cstheme="majorBidi"/>
          <w:bCs/>
          <w:szCs w:val="24"/>
        </w:rPr>
        <w:t xml:space="preserve"> on a clearly stated understanding of respective roles and expectations, with accountability and a clear division of responsibilities between ITU and the funder/partner.</w:t>
      </w:r>
    </w:p>
    <w:p w14:paraId="766B8DB3" w14:textId="419D0FB5" w:rsidR="002E2B4B" w:rsidRPr="002E2B4B" w:rsidRDefault="002E2B4B" w:rsidP="005918D2">
      <w:pPr>
        <w:pStyle w:val="Default"/>
        <w:snapToGrid w:val="0"/>
        <w:spacing w:before="120" w:after="120"/>
        <w:rPr>
          <w:rFonts w:asciiTheme="minorHAnsi" w:hAnsiTheme="minorHAnsi" w:cstheme="majorBidi"/>
          <w:b/>
          <w:bCs/>
        </w:rPr>
      </w:pPr>
      <w:r w:rsidRPr="002E2B4B">
        <w:rPr>
          <w:rFonts w:asciiTheme="minorHAnsi" w:hAnsiTheme="minorHAnsi" w:cstheme="majorBidi"/>
          <w:bCs/>
        </w:rPr>
        <w:t>7.</w:t>
      </w:r>
      <w:r w:rsidRPr="002E2B4B">
        <w:rPr>
          <w:rFonts w:asciiTheme="minorHAnsi" w:hAnsiTheme="minorHAnsi" w:cstheme="majorBidi"/>
          <w:bCs/>
        </w:rPr>
        <w:tab/>
      </w:r>
      <w:r w:rsidRPr="002E2B4B">
        <w:rPr>
          <w:rFonts w:asciiTheme="minorHAnsi" w:hAnsiTheme="minorHAnsi" w:cstheme="majorBidi"/>
          <w:bCs/>
          <w:u w:val="single"/>
        </w:rPr>
        <w:t>Protection of ITU’s reputation</w:t>
      </w:r>
      <w:r w:rsidRPr="002E2B4B">
        <w:rPr>
          <w:rFonts w:asciiTheme="minorHAnsi" w:hAnsiTheme="minorHAnsi" w:cstheme="majorBidi"/>
          <w:bCs/>
        </w:rPr>
        <w:t>:</w:t>
      </w:r>
      <w:r w:rsidRPr="002E2B4B">
        <w:rPr>
          <w:rFonts w:asciiTheme="minorHAnsi" w:hAnsiTheme="minorHAnsi" w:cstheme="majorBidi"/>
          <w:bCs/>
          <w:color w:val="auto"/>
        </w:rPr>
        <w:t xml:space="preserve"> </w:t>
      </w:r>
      <w:r w:rsidRPr="002E2B4B">
        <w:rPr>
          <w:rFonts w:asciiTheme="minorHAnsi" w:hAnsiTheme="minorHAnsi" w:cstheme="majorBidi"/>
          <w:bCs/>
        </w:rPr>
        <w:t>Funding/partnership arrangements must not diminish ITU’s integrity, independence and impartiality and must not confer any unfair advantage. In particular, they must not convey or suggest a direct or indirect endorsement of a funder/partner, its policies, products</w:t>
      </w:r>
      <w:r w:rsidR="005918D2">
        <w:rPr>
          <w:rFonts w:asciiTheme="minorHAnsi" w:hAnsiTheme="minorHAnsi" w:cstheme="majorBidi"/>
          <w:bCs/>
        </w:rPr>
        <w:t>,</w:t>
      </w:r>
      <w:r w:rsidRPr="002E2B4B">
        <w:rPr>
          <w:rFonts w:asciiTheme="minorHAnsi" w:hAnsiTheme="minorHAnsi" w:cstheme="majorBidi"/>
          <w:bCs/>
        </w:rPr>
        <w:t xml:space="preserve"> or services. A clear distinction </w:t>
      </w:r>
      <w:proofErr w:type="gramStart"/>
      <w:r w:rsidRPr="002E2B4B">
        <w:rPr>
          <w:rFonts w:asciiTheme="minorHAnsi" w:hAnsiTheme="minorHAnsi" w:cstheme="majorBidi"/>
          <w:bCs/>
        </w:rPr>
        <w:t>must also be made</w:t>
      </w:r>
      <w:proofErr w:type="gramEnd"/>
      <w:r w:rsidRPr="002E2B4B">
        <w:rPr>
          <w:rFonts w:asciiTheme="minorHAnsi" w:hAnsiTheme="minorHAnsi" w:cstheme="majorBidi"/>
          <w:bCs/>
        </w:rPr>
        <w:t xml:space="preserve"> between resource mobilization/partnership and procurement.</w:t>
      </w:r>
      <w:r w:rsidRPr="002E2B4B">
        <w:rPr>
          <w:rFonts w:asciiTheme="minorHAnsi" w:hAnsiTheme="minorHAnsi" w:cstheme="majorBidi"/>
          <w:b/>
          <w:bCs/>
        </w:rPr>
        <w:t xml:space="preserve"> </w:t>
      </w:r>
    </w:p>
    <w:p w14:paraId="17280437" w14:textId="77777777" w:rsidR="002E2B4B" w:rsidRDefault="002E2B4B" w:rsidP="002E2B4B">
      <w:pPr>
        <w:overflowPunct/>
        <w:autoSpaceDE/>
        <w:autoSpaceDN/>
        <w:adjustRightInd/>
        <w:spacing w:before="0"/>
        <w:textAlignment w:val="auto"/>
        <w:rPr>
          <w:rFonts w:asciiTheme="minorHAnsi" w:hAnsiTheme="minorHAnsi"/>
        </w:rPr>
      </w:pPr>
      <w:r>
        <w:rPr>
          <w:rFonts w:asciiTheme="minorHAnsi" w:hAnsiTheme="minorHAnsi"/>
        </w:rPr>
        <w:br w:type="page"/>
      </w:r>
    </w:p>
    <w:p w14:paraId="753672F1" w14:textId="77777777" w:rsidR="002E2B4B" w:rsidRPr="00002F72" w:rsidRDefault="002E2B4B" w:rsidP="002E2B4B">
      <w:pPr>
        <w:pStyle w:val="AnnexNo"/>
        <w:rPr>
          <w:sz w:val="22"/>
          <w:szCs w:val="22"/>
          <w:lang w:val="it-IT"/>
        </w:rPr>
      </w:pPr>
      <w:bookmarkStart w:id="12" w:name="Annex2"/>
      <w:r w:rsidRPr="00002F72">
        <w:rPr>
          <w:lang w:val="it-IT"/>
        </w:rPr>
        <w:lastRenderedPageBreak/>
        <w:t>ANNEX 2</w:t>
      </w:r>
    </w:p>
    <w:bookmarkEnd w:id="12"/>
    <w:p w14:paraId="44E473E6" w14:textId="77777777" w:rsidR="002E2B4B" w:rsidRPr="00002F72" w:rsidRDefault="002E2B4B" w:rsidP="002E2B4B">
      <w:pPr>
        <w:pStyle w:val="Annextitle"/>
      </w:pPr>
      <w:r w:rsidRPr="00002F72">
        <w:t>Potential Areas for Revenue Generation</w:t>
      </w:r>
    </w:p>
    <w:tbl>
      <w:tblPr>
        <w:tblStyle w:val="TableGrid"/>
        <w:tblW w:w="9634" w:type="dxa"/>
        <w:tblLayout w:type="fixed"/>
        <w:tblLook w:val="04A0" w:firstRow="1" w:lastRow="0" w:firstColumn="1" w:lastColumn="0" w:noHBand="0" w:noVBand="1"/>
      </w:tblPr>
      <w:tblGrid>
        <w:gridCol w:w="2830"/>
        <w:gridCol w:w="6804"/>
      </w:tblGrid>
      <w:tr w:rsidR="002E2B4B" w:rsidRPr="00B933AD" w14:paraId="1B53786C" w14:textId="77777777" w:rsidTr="005F15C3">
        <w:tc>
          <w:tcPr>
            <w:tcW w:w="2830" w:type="dxa"/>
            <w:shd w:val="clear" w:color="auto" w:fill="auto"/>
          </w:tcPr>
          <w:p w14:paraId="0B3F0B36" w14:textId="77777777" w:rsidR="002E2B4B" w:rsidRPr="00BD2807" w:rsidRDefault="002E2B4B" w:rsidP="005F15C3">
            <w:pPr>
              <w:spacing w:before="60" w:after="60"/>
              <w:rPr>
                <w:rFonts w:asciiTheme="minorHAnsi" w:hAnsiTheme="minorHAnsi"/>
                <w:b/>
                <w:bCs/>
              </w:rPr>
            </w:pPr>
            <w:r w:rsidRPr="00BD2807">
              <w:rPr>
                <w:rFonts w:asciiTheme="minorHAnsi" w:hAnsiTheme="minorHAnsi"/>
                <w:b/>
                <w:bCs/>
              </w:rPr>
              <w:t>Area of Focus</w:t>
            </w:r>
          </w:p>
        </w:tc>
        <w:tc>
          <w:tcPr>
            <w:tcW w:w="6804" w:type="dxa"/>
          </w:tcPr>
          <w:p w14:paraId="0C9DC321" w14:textId="77777777" w:rsidR="002E2B4B" w:rsidRPr="00BD2807" w:rsidRDefault="002E2B4B" w:rsidP="005F15C3">
            <w:pPr>
              <w:spacing w:before="60" w:after="60"/>
              <w:rPr>
                <w:rFonts w:asciiTheme="minorHAnsi" w:hAnsiTheme="minorHAnsi"/>
                <w:b/>
                <w:bCs/>
              </w:rPr>
            </w:pPr>
            <w:r w:rsidRPr="00BD2807">
              <w:rPr>
                <w:rFonts w:asciiTheme="minorHAnsi" w:hAnsiTheme="minorHAnsi"/>
                <w:b/>
                <w:bCs/>
              </w:rPr>
              <w:t>Actions</w:t>
            </w:r>
          </w:p>
        </w:tc>
      </w:tr>
      <w:tr w:rsidR="002E2B4B" w:rsidRPr="00B933AD" w14:paraId="1007B70E" w14:textId="77777777" w:rsidTr="005F15C3">
        <w:tc>
          <w:tcPr>
            <w:tcW w:w="2830" w:type="dxa"/>
            <w:shd w:val="clear" w:color="auto" w:fill="auto"/>
          </w:tcPr>
          <w:p w14:paraId="6C3F79E2" w14:textId="77777777" w:rsidR="002E2B4B" w:rsidRPr="00BD2807" w:rsidRDefault="002E2B4B" w:rsidP="005F15C3">
            <w:pPr>
              <w:spacing w:before="60" w:after="60"/>
              <w:rPr>
                <w:rFonts w:asciiTheme="minorHAnsi" w:hAnsiTheme="minorHAnsi"/>
              </w:rPr>
            </w:pPr>
            <w:r w:rsidRPr="00BD2807">
              <w:rPr>
                <w:rFonts w:asciiTheme="minorHAnsi" w:hAnsiTheme="minorHAnsi"/>
                <w:b/>
              </w:rPr>
              <w:t>Market price for certain numbers + annual maintenance fee</w:t>
            </w:r>
          </w:p>
        </w:tc>
        <w:tc>
          <w:tcPr>
            <w:tcW w:w="6804" w:type="dxa"/>
          </w:tcPr>
          <w:p w14:paraId="5A33CB36" w14:textId="7AD5E5AC" w:rsidR="002E2B4B" w:rsidRPr="00376C9C" w:rsidRDefault="002E2B4B" w:rsidP="005918D2">
            <w:pPr>
              <w:spacing w:before="60" w:after="60"/>
              <w:rPr>
                <w:rFonts w:asciiTheme="minorHAnsi" w:hAnsiTheme="minorHAnsi"/>
              </w:rPr>
            </w:pPr>
            <w:r w:rsidRPr="00376C9C">
              <w:rPr>
                <w:rFonts w:asciiTheme="minorHAnsi" w:hAnsiTheme="minorHAnsi"/>
              </w:rPr>
              <w:t>Complete market analysis on numbering resources:</w:t>
            </w:r>
            <w:r w:rsidRPr="00376C9C">
              <w:rPr>
                <w:rFonts w:asciiTheme="minorHAnsi" w:hAnsiTheme="minorHAnsi"/>
                <w:szCs w:val="20"/>
              </w:rPr>
              <w:t xml:space="preserve"> I</w:t>
            </w:r>
            <w:r w:rsidRPr="00376C9C">
              <w:rPr>
                <w:rFonts w:asciiTheme="minorHAnsi" w:hAnsiTheme="minorHAnsi"/>
              </w:rPr>
              <w:t>nternational numbering resources (e.g. E.164 Country Codes, SANCs</w:t>
            </w:r>
            <w:r w:rsidR="005918D2" w:rsidRPr="00376C9C">
              <w:rPr>
                <w:rFonts w:asciiTheme="minorHAnsi" w:hAnsiTheme="minorHAnsi"/>
              </w:rPr>
              <w:t>,</w:t>
            </w:r>
            <w:r w:rsidRPr="00376C9C">
              <w:rPr>
                <w:rFonts w:asciiTheme="minorHAnsi" w:hAnsiTheme="minorHAnsi"/>
                <w:vertAlign w:val="superscript"/>
              </w:rPr>
              <w:footnoteReference w:id="1"/>
            </w:r>
            <w:r w:rsidR="005918D2" w:rsidRPr="00376C9C">
              <w:rPr>
                <w:rFonts w:asciiTheme="minorHAnsi" w:hAnsiTheme="minorHAnsi"/>
              </w:rPr>
              <w:t xml:space="preserve"> about ten</w:t>
            </w:r>
            <w:r w:rsidRPr="00376C9C">
              <w:rPr>
                <w:rFonts w:asciiTheme="minorHAnsi" w:hAnsiTheme="minorHAnsi"/>
              </w:rPr>
              <w:t xml:space="preserve"> types of numbers)</w:t>
            </w:r>
            <w:r w:rsidRPr="00376C9C">
              <w:rPr>
                <w:rFonts w:asciiTheme="minorHAnsi" w:hAnsiTheme="minorHAnsi"/>
                <w:szCs w:val="20"/>
              </w:rPr>
              <w:t xml:space="preserve">. </w:t>
            </w:r>
            <w:r w:rsidRPr="00376C9C">
              <w:rPr>
                <w:rFonts w:asciiTheme="minorHAnsi" w:hAnsiTheme="minorHAnsi"/>
              </w:rPr>
              <w:t>Universal numbering resources (e.g</w:t>
            </w:r>
            <w:r w:rsidRPr="00376C9C">
              <w:rPr>
                <w:rFonts w:asciiTheme="minorHAnsi" w:hAnsiTheme="minorHAnsi"/>
                <w:szCs w:val="20"/>
              </w:rPr>
              <w:t xml:space="preserve">. </w:t>
            </w:r>
            <w:r w:rsidRPr="00376C9C">
              <w:rPr>
                <w:rFonts w:asciiTheme="minorHAnsi" w:hAnsiTheme="minorHAnsi"/>
              </w:rPr>
              <w:t>UIFN</w:t>
            </w:r>
            <w:r w:rsidR="005918D2" w:rsidRPr="00376C9C">
              <w:rPr>
                <w:rFonts w:asciiTheme="minorHAnsi" w:hAnsiTheme="minorHAnsi"/>
              </w:rPr>
              <w:t>;</w:t>
            </w:r>
            <w:r w:rsidRPr="00376C9C">
              <w:rPr>
                <w:rFonts w:asciiTheme="minorHAnsi" w:hAnsiTheme="minorHAnsi"/>
                <w:vertAlign w:val="superscript"/>
              </w:rPr>
              <w:footnoteReference w:id="2"/>
            </w:r>
            <w:r w:rsidRPr="00376C9C">
              <w:rPr>
                <w:rFonts w:asciiTheme="minorHAnsi" w:hAnsiTheme="minorHAnsi"/>
              </w:rPr>
              <w:t xml:space="preserve"> about </w:t>
            </w:r>
            <w:r w:rsidR="005918D2" w:rsidRPr="00376C9C">
              <w:rPr>
                <w:rFonts w:asciiTheme="minorHAnsi" w:hAnsiTheme="minorHAnsi"/>
              </w:rPr>
              <w:t>six</w:t>
            </w:r>
            <w:r w:rsidRPr="00376C9C">
              <w:rPr>
                <w:rFonts w:asciiTheme="minorHAnsi" w:hAnsiTheme="minorHAnsi"/>
              </w:rPr>
              <w:t xml:space="preserve"> types of numbers)</w:t>
            </w:r>
            <w:r w:rsidRPr="00376C9C">
              <w:rPr>
                <w:rFonts w:asciiTheme="minorHAnsi" w:hAnsiTheme="minorHAnsi"/>
                <w:szCs w:val="20"/>
              </w:rPr>
              <w:t>. Explore v</w:t>
            </w:r>
            <w:r w:rsidRPr="00376C9C">
              <w:rPr>
                <w:rFonts w:asciiTheme="minorHAnsi" w:hAnsiTheme="minorHAnsi"/>
              </w:rPr>
              <w:t>alue-added services ITU could provide</w:t>
            </w:r>
            <w:r w:rsidRPr="00376C9C">
              <w:rPr>
                <w:rFonts w:asciiTheme="minorHAnsi" w:hAnsiTheme="minorHAnsi"/>
                <w:szCs w:val="20"/>
              </w:rPr>
              <w:t>.</w:t>
            </w:r>
          </w:p>
        </w:tc>
      </w:tr>
      <w:tr w:rsidR="002E2B4B" w:rsidRPr="00B933AD" w14:paraId="36D9A7BB" w14:textId="77777777" w:rsidTr="005F15C3">
        <w:tc>
          <w:tcPr>
            <w:tcW w:w="2830" w:type="dxa"/>
            <w:shd w:val="clear" w:color="auto" w:fill="auto"/>
          </w:tcPr>
          <w:p w14:paraId="13063ECC" w14:textId="2CCFFCDB" w:rsidR="002E2B4B" w:rsidRPr="00BD2807" w:rsidRDefault="00C27ED5" w:rsidP="005F15C3">
            <w:pPr>
              <w:spacing w:before="60" w:after="60"/>
              <w:rPr>
                <w:rFonts w:asciiTheme="minorHAnsi" w:hAnsiTheme="minorHAnsi"/>
                <w:b/>
              </w:rPr>
            </w:pPr>
            <w:hyperlink r:id="rId19" w:history="1">
              <w:r w:rsidR="002E2B4B" w:rsidRPr="008B2F18">
                <w:rPr>
                  <w:rStyle w:val="Hyperlink"/>
                  <w:rFonts w:asciiTheme="minorHAnsi" w:hAnsiTheme="minorHAnsi"/>
                  <w:b/>
                </w:rPr>
                <w:t>Combatting Counterfeit Maritime publications</w:t>
              </w:r>
            </w:hyperlink>
          </w:p>
        </w:tc>
        <w:tc>
          <w:tcPr>
            <w:tcW w:w="6804" w:type="dxa"/>
          </w:tcPr>
          <w:p w14:paraId="71A3E01D" w14:textId="7E3B0617" w:rsidR="002E2B4B" w:rsidRPr="00BD2807" w:rsidRDefault="002E2B4B" w:rsidP="007374C6">
            <w:pPr>
              <w:spacing w:before="60" w:after="60"/>
              <w:rPr>
                <w:rFonts w:asciiTheme="minorHAnsi" w:hAnsiTheme="minorHAnsi"/>
              </w:rPr>
            </w:pPr>
            <w:r w:rsidRPr="00BD2807">
              <w:rPr>
                <w:rFonts w:asciiTheme="minorHAnsi" w:hAnsiTheme="minorHAnsi"/>
                <w:szCs w:val="20"/>
              </w:rPr>
              <w:t xml:space="preserve">Establish a pilot project. </w:t>
            </w:r>
            <w:r w:rsidRPr="00BD2807">
              <w:rPr>
                <w:rFonts w:asciiTheme="minorHAnsi" w:hAnsiTheme="minorHAnsi"/>
              </w:rPr>
              <w:t xml:space="preserve">Agree on the issue to </w:t>
            </w:r>
            <w:proofErr w:type="gramStart"/>
            <w:r w:rsidRPr="00BD2807">
              <w:rPr>
                <w:rFonts w:asciiTheme="minorHAnsi" w:hAnsiTheme="minorHAnsi"/>
              </w:rPr>
              <w:t>be addressed</w:t>
            </w:r>
            <w:proofErr w:type="gramEnd"/>
            <w:r w:rsidRPr="00BD2807">
              <w:rPr>
                <w:rFonts w:asciiTheme="minorHAnsi" w:hAnsiTheme="minorHAnsi"/>
              </w:rPr>
              <w:t>, the objectives, scope and schedule for pilot</w:t>
            </w:r>
            <w:r w:rsidR="005918D2">
              <w:rPr>
                <w:rFonts w:asciiTheme="minorHAnsi" w:hAnsiTheme="minorHAnsi"/>
              </w:rPr>
              <w:t>,</w:t>
            </w:r>
            <w:r w:rsidRPr="00BD2807">
              <w:rPr>
                <w:rFonts w:asciiTheme="minorHAnsi" w:hAnsiTheme="minorHAnsi"/>
                <w:szCs w:val="20"/>
              </w:rPr>
              <w:t xml:space="preserve"> </w:t>
            </w:r>
            <w:r w:rsidR="005918D2">
              <w:rPr>
                <w:rFonts w:asciiTheme="minorHAnsi" w:hAnsiTheme="minorHAnsi"/>
              </w:rPr>
              <w:t>e.g.</w:t>
            </w:r>
            <w:r w:rsidRPr="00BD2807">
              <w:rPr>
                <w:rFonts w:asciiTheme="minorHAnsi" w:hAnsiTheme="minorHAnsi"/>
              </w:rPr>
              <w:t xml:space="preserve"> combat counterfeit </w:t>
            </w:r>
            <w:r>
              <w:rPr>
                <w:rFonts w:asciiTheme="minorHAnsi" w:hAnsiTheme="minorHAnsi"/>
              </w:rPr>
              <w:t>publications</w:t>
            </w:r>
            <w:r w:rsidRPr="00BD2807">
              <w:rPr>
                <w:rFonts w:asciiTheme="minorHAnsi" w:hAnsiTheme="minorHAnsi"/>
              </w:rPr>
              <w:t xml:space="preserve"> starting with </w:t>
            </w:r>
            <w:r w:rsidRPr="008B2F18">
              <w:rPr>
                <w:rFonts w:asciiTheme="minorHAnsi" w:hAnsiTheme="minorHAnsi"/>
              </w:rPr>
              <w:t>Maritime publications</w:t>
            </w:r>
            <w:r w:rsidRPr="00BD2807">
              <w:rPr>
                <w:rFonts w:asciiTheme="minorHAnsi" w:hAnsiTheme="minorHAnsi"/>
              </w:rPr>
              <w:t>.</w:t>
            </w:r>
          </w:p>
        </w:tc>
      </w:tr>
      <w:tr w:rsidR="002E2B4B" w:rsidRPr="00B933AD" w14:paraId="4D19DEA2" w14:textId="77777777" w:rsidTr="005F15C3">
        <w:tc>
          <w:tcPr>
            <w:tcW w:w="2830" w:type="dxa"/>
            <w:shd w:val="clear" w:color="auto" w:fill="auto"/>
          </w:tcPr>
          <w:p w14:paraId="0EFB8AF7" w14:textId="77777777" w:rsidR="002E2B4B" w:rsidRPr="00BD2807" w:rsidRDefault="002E2B4B" w:rsidP="005F15C3">
            <w:pPr>
              <w:spacing w:before="60" w:after="60"/>
              <w:rPr>
                <w:rFonts w:asciiTheme="minorHAnsi" w:hAnsiTheme="minorHAnsi"/>
                <w:b/>
                <w:bCs/>
              </w:rPr>
            </w:pPr>
            <w:r>
              <w:rPr>
                <w:rFonts w:asciiTheme="minorHAnsi" w:hAnsiTheme="minorHAnsi"/>
                <w:b/>
                <w:bCs/>
              </w:rPr>
              <w:t>Revenues for projects</w:t>
            </w:r>
          </w:p>
        </w:tc>
        <w:tc>
          <w:tcPr>
            <w:tcW w:w="6804" w:type="dxa"/>
          </w:tcPr>
          <w:p w14:paraId="630EE2A6" w14:textId="77777777" w:rsidR="002E2B4B" w:rsidRPr="003B11FD" w:rsidRDefault="002E2B4B" w:rsidP="005F15C3">
            <w:pPr>
              <w:tabs>
                <w:tab w:val="left" w:pos="720"/>
              </w:tabs>
              <w:overflowPunct/>
              <w:autoSpaceDE/>
              <w:adjustRightInd/>
              <w:spacing w:after="120"/>
              <w:textAlignment w:val="auto"/>
              <w:rPr>
                <w:rFonts w:eastAsia="Calibri" w:cs="Calibri"/>
                <w:color w:val="000000"/>
                <w:lang w:val="en-US"/>
              </w:rPr>
            </w:pPr>
            <w:r>
              <w:rPr>
                <w:rFonts w:cs="Calibri"/>
                <w:color w:val="000000"/>
                <w:lang w:val="en-US"/>
              </w:rPr>
              <w:t>A</w:t>
            </w:r>
            <w:r w:rsidRPr="005710B9">
              <w:rPr>
                <w:rFonts w:cs="Calibri"/>
                <w:color w:val="000000"/>
                <w:lang w:val="en-US"/>
              </w:rPr>
              <w:t>ssess the evolving funding environment and strengthen ITU’s resource mobilization efforts for projects</w:t>
            </w:r>
            <w:r>
              <w:rPr>
                <w:rFonts w:cs="Calibri"/>
                <w:color w:val="000000"/>
                <w:lang w:val="en-US"/>
              </w:rPr>
              <w:t xml:space="preserve"> as part of preparations towards WTDC 2017.</w:t>
            </w:r>
          </w:p>
        </w:tc>
      </w:tr>
      <w:tr w:rsidR="002E2B4B" w:rsidRPr="00B933AD" w14:paraId="69A624C8" w14:textId="77777777" w:rsidTr="005F15C3">
        <w:tc>
          <w:tcPr>
            <w:tcW w:w="2830" w:type="dxa"/>
            <w:shd w:val="clear" w:color="auto" w:fill="auto"/>
          </w:tcPr>
          <w:p w14:paraId="747ECF01" w14:textId="77777777" w:rsidR="002E2B4B" w:rsidRPr="00BD2807" w:rsidRDefault="002E2B4B" w:rsidP="005F15C3">
            <w:pPr>
              <w:spacing w:before="60" w:after="60"/>
              <w:rPr>
                <w:rFonts w:asciiTheme="minorHAnsi" w:hAnsiTheme="minorHAnsi"/>
                <w:b/>
                <w:bCs/>
              </w:rPr>
            </w:pPr>
            <w:r w:rsidRPr="00BD2807">
              <w:rPr>
                <w:rFonts w:asciiTheme="minorHAnsi" w:hAnsiTheme="minorHAnsi"/>
                <w:b/>
                <w:bCs/>
                <w:szCs w:val="20"/>
              </w:rPr>
              <w:t>Increase the number of full-fee paying Sector Members</w:t>
            </w:r>
          </w:p>
        </w:tc>
        <w:tc>
          <w:tcPr>
            <w:tcW w:w="6804" w:type="dxa"/>
          </w:tcPr>
          <w:p w14:paraId="3FD8579E" w14:textId="6FFE7765" w:rsidR="002E2B4B" w:rsidRPr="00BD2807" w:rsidRDefault="002E2B4B" w:rsidP="005F15C3">
            <w:pPr>
              <w:spacing w:before="60" w:after="60"/>
              <w:rPr>
                <w:rFonts w:asciiTheme="minorHAnsi" w:hAnsiTheme="minorHAnsi"/>
              </w:rPr>
            </w:pPr>
            <w:r w:rsidRPr="00BD2807">
              <w:rPr>
                <w:rFonts w:asciiTheme="minorHAnsi" w:hAnsiTheme="minorHAnsi"/>
                <w:szCs w:val="20"/>
              </w:rPr>
              <w:t>Develop a list of top prospective companies and implement outreach strategy in coordination with Member States, focusing not only on ICT sector, but also automotive, health</w:t>
            </w:r>
            <w:r w:rsidR="005918D2">
              <w:rPr>
                <w:rFonts w:asciiTheme="minorHAnsi" w:hAnsiTheme="minorHAnsi"/>
                <w:szCs w:val="20"/>
              </w:rPr>
              <w:t>,</w:t>
            </w:r>
            <w:r w:rsidRPr="00BD2807">
              <w:rPr>
                <w:rFonts w:asciiTheme="minorHAnsi" w:hAnsiTheme="minorHAnsi"/>
                <w:szCs w:val="20"/>
              </w:rPr>
              <w:t xml:space="preserve"> and financial.</w:t>
            </w:r>
          </w:p>
        </w:tc>
      </w:tr>
      <w:tr w:rsidR="002E2B4B" w:rsidRPr="00B933AD" w14:paraId="359535B0" w14:textId="77777777" w:rsidTr="005F15C3">
        <w:tc>
          <w:tcPr>
            <w:tcW w:w="2830" w:type="dxa"/>
            <w:shd w:val="clear" w:color="auto" w:fill="auto"/>
          </w:tcPr>
          <w:p w14:paraId="25DE0B70" w14:textId="77777777" w:rsidR="002E2B4B" w:rsidRPr="00BD2807" w:rsidRDefault="002E2B4B" w:rsidP="005F15C3">
            <w:pPr>
              <w:spacing w:before="60" w:after="60"/>
              <w:rPr>
                <w:rFonts w:asciiTheme="minorHAnsi" w:hAnsiTheme="minorHAnsi"/>
                <w:b/>
                <w:bCs/>
              </w:rPr>
            </w:pPr>
            <w:r w:rsidRPr="00BD2807">
              <w:rPr>
                <w:rFonts w:asciiTheme="minorHAnsi" w:hAnsiTheme="minorHAnsi"/>
                <w:b/>
                <w:bCs/>
              </w:rPr>
              <w:t>Forum and events</w:t>
            </w:r>
          </w:p>
        </w:tc>
        <w:tc>
          <w:tcPr>
            <w:tcW w:w="6804" w:type="dxa"/>
          </w:tcPr>
          <w:p w14:paraId="5269880D" w14:textId="35D23AAF" w:rsidR="002E2B4B" w:rsidRPr="00BD2807" w:rsidRDefault="005918D2" w:rsidP="005F15C3">
            <w:pPr>
              <w:spacing w:before="60" w:after="60"/>
              <w:rPr>
                <w:rFonts w:asciiTheme="minorHAnsi" w:hAnsiTheme="minorHAnsi"/>
              </w:rPr>
            </w:pPr>
            <w:r w:rsidRPr="00BD2807">
              <w:rPr>
                <w:rFonts w:asciiTheme="minorHAnsi" w:hAnsiTheme="minorHAnsi"/>
                <w:szCs w:val="20"/>
              </w:rPr>
              <w:t>Analyse</w:t>
            </w:r>
            <w:r w:rsidR="002E2B4B" w:rsidRPr="00BD2807">
              <w:rPr>
                <w:rFonts w:asciiTheme="minorHAnsi" w:hAnsiTheme="minorHAnsi"/>
              </w:rPr>
              <w:t xml:space="preserve"> existing ITU events </w:t>
            </w:r>
            <w:r w:rsidR="002E2B4B" w:rsidRPr="00BD2807">
              <w:rPr>
                <w:rFonts w:asciiTheme="minorHAnsi" w:hAnsiTheme="minorHAnsi"/>
                <w:szCs w:val="20"/>
              </w:rPr>
              <w:t xml:space="preserve">with high industry interest. </w:t>
            </w:r>
            <w:proofErr w:type="gramStart"/>
            <w:r w:rsidR="002E2B4B" w:rsidRPr="00BD2807">
              <w:rPr>
                <w:rFonts w:asciiTheme="minorHAnsi" w:hAnsiTheme="minorHAnsi"/>
                <w:szCs w:val="20"/>
              </w:rPr>
              <w:t>Also</w:t>
            </w:r>
            <w:proofErr w:type="gramEnd"/>
            <w:r w:rsidR="002E2B4B" w:rsidRPr="00BD2807">
              <w:rPr>
                <w:rFonts w:asciiTheme="minorHAnsi" w:hAnsiTheme="minorHAnsi"/>
                <w:szCs w:val="20"/>
              </w:rPr>
              <w:t xml:space="preserve"> c</w:t>
            </w:r>
            <w:r w:rsidR="002E2B4B" w:rsidRPr="00BD2807">
              <w:rPr>
                <w:rFonts w:asciiTheme="minorHAnsi" w:hAnsiTheme="minorHAnsi"/>
              </w:rPr>
              <w:t>onduct market research and analysis including benchmarking w</w:t>
            </w:r>
            <w:r w:rsidR="002E2B4B">
              <w:rPr>
                <w:rFonts w:asciiTheme="minorHAnsi" w:hAnsiTheme="minorHAnsi"/>
              </w:rPr>
              <w:t>ith the potential competition.</w:t>
            </w:r>
          </w:p>
        </w:tc>
      </w:tr>
      <w:tr w:rsidR="002E2B4B" w:rsidRPr="00B933AD" w14:paraId="37507574" w14:textId="77777777" w:rsidTr="005F15C3">
        <w:tc>
          <w:tcPr>
            <w:tcW w:w="2830" w:type="dxa"/>
            <w:shd w:val="clear" w:color="auto" w:fill="auto"/>
          </w:tcPr>
          <w:p w14:paraId="3839680C" w14:textId="77777777" w:rsidR="002E2B4B" w:rsidRPr="00BD2807" w:rsidRDefault="002E2B4B" w:rsidP="005F15C3">
            <w:pPr>
              <w:spacing w:before="60" w:after="60"/>
              <w:rPr>
                <w:rFonts w:asciiTheme="minorHAnsi" w:hAnsiTheme="minorHAnsi"/>
                <w:b/>
                <w:bCs/>
              </w:rPr>
            </w:pPr>
            <w:r w:rsidRPr="00BD2807">
              <w:rPr>
                <w:rFonts w:asciiTheme="minorHAnsi" w:hAnsiTheme="minorHAnsi"/>
                <w:b/>
                <w:bCs/>
              </w:rPr>
              <w:t>Conformance</w:t>
            </w:r>
          </w:p>
        </w:tc>
        <w:tc>
          <w:tcPr>
            <w:tcW w:w="6804" w:type="dxa"/>
          </w:tcPr>
          <w:p w14:paraId="0D59564D" w14:textId="6073DE14" w:rsidR="002E2B4B" w:rsidRPr="00BD2807" w:rsidRDefault="002E2B4B" w:rsidP="00746FA9">
            <w:pPr>
              <w:spacing w:before="60" w:after="60"/>
              <w:rPr>
                <w:rFonts w:asciiTheme="minorHAnsi" w:hAnsiTheme="minorHAnsi"/>
              </w:rPr>
            </w:pPr>
            <w:r w:rsidRPr="00F13F94">
              <w:rPr>
                <w:rFonts w:asciiTheme="minorHAnsi" w:hAnsiTheme="minorHAnsi"/>
                <w:szCs w:val="20"/>
              </w:rPr>
              <w:t>Conduct analysis and research to identify possible revenue generation measures</w:t>
            </w:r>
            <w:r>
              <w:rPr>
                <w:rFonts w:asciiTheme="minorHAnsi" w:hAnsiTheme="minorHAnsi"/>
              </w:rPr>
              <w:t>.</w:t>
            </w:r>
          </w:p>
        </w:tc>
      </w:tr>
    </w:tbl>
    <w:p w14:paraId="24B6C6CC" w14:textId="77777777" w:rsidR="00264425" w:rsidRPr="002E2B4B" w:rsidRDefault="002E2B4B" w:rsidP="002E2B4B">
      <w:pPr>
        <w:spacing w:before="600"/>
        <w:jc w:val="center"/>
        <w:rPr>
          <w:rFonts w:asciiTheme="minorHAnsi" w:hAnsiTheme="minorHAnsi"/>
          <w:sz w:val="22"/>
          <w:szCs w:val="22"/>
          <w:u w:val="single"/>
          <w:lang w:val="it-IT"/>
        </w:rPr>
      </w:pPr>
      <w:r w:rsidRPr="00BD2807">
        <w:rPr>
          <w:rFonts w:asciiTheme="minorHAnsi" w:hAnsiTheme="minorHAnsi"/>
          <w:sz w:val="22"/>
          <w:szCs w:val="22"/>
        </w:rPr>
        <w:t>________________</w:t>
      </w:r>
    </w:p>
    <w:sectPr w:rsidR="00264425" w:rsidRPr="002E2B4B" w:rsidSect="004D1851">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2F44A" w14:textId="77777777" w:rsidR="004A3691" w:rsidRDefault="004A3691">
      <w:r>
        <w:separator/>
      </w:r>
    </w:p>
  </w:endnote>
  <w:endnote w:type="continuationSeparator" w:id="0">
    <w:p w14:paraId="0D02F704" w14:textId="77777777" w:rsidR="004A3691" w:rsidRDefault="004A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D2429" w14:textId="6DD3FB91" w:rsidR="00CB18FF" w:rsidRPr="008F3F9A" w:rsidRDefault="008F3F9A">
    <w:pPr>
      <w:pStyle w:val="Footer"/>
      <w:rPr>
        <w:color w:val="D9D9D9" w:themeColor="background1" w:themeShade="D9"/>
      </w:rPr>
    </w:pPr>
    <w:r w:rsidRPr="008F3F9A">
      <w:rPr>
        <w:color w:val="D9D9D9" w:themeColor="background1" w:themeShade="D9"/>
      </w:rPr>
      <w:fldChar w:fldCharType="begin"/>
    </w:r>
    <w:r w:rsidRPr="008F3F9A">
      <w:rPr>
        <w:color w:val="D9D9D9" w:themeColor="background1" w:themeShade="D9"/>
      </w:rPr>
      <w:instrText xml:space="preserve"> FILENAME \p  \* MERGEFORMAT </w:instrText>
    </w:r>
    <w:r w:rsidRPr="008F3F9A">
      <w:rPr>
        <w:color w:val="D9D9D9" w:themeColor="background1" w:themeShade="D9"/>
      </w:rPr>
      <w:fldChar w:fldCharType="separate"/>
    </w:r>
    <w:r w:rsidR="002E2B4B" w:rsidRPr="008F3F9A">
      <w:rPr>
        <w:color w:val="D9D9D9" w:themeColor="background1" w:themeShade="D9"/>
      </w:rPr>
      <w:t>Document1</w:t>
    </w:r>
    <w:r w:rsidRPr="008F3F9A">
      <w:rPr>
        <w:color w:val="D9D9D9" w:themeColor="background1" w:themeShade="D9"/>
      </w:rPr>
      <w:fldChar w:fldCharType="end"/>
    </w:r>
    <w:r w:rsidR="00CB18FF" w:rsidRPr="008F3F9A">
      <w:rPr>
        <w:color w:val="D9D9D9" w:themeColor="background1" w:themeShade="D9"/>
      </w:rPr>
      <w:tab/>
    </w:r>
    <w:r w:rsidR="00864AFF" w:rsidRPr="008F3F9A">
      <w:rPr>
        <w:color w:val="D9D9D9" w:themeColor="background1" w:themeShade="D9"/>
      </w:rPr>
      <w:fldChar w:fldCharType="begin"/>
    </w:r>
    <w:r w:rsidR="00CB18FF" w:rsidRPr="008F3F9A">
      <w:rPr>
        <w:color w:val="D9D9D9" w:themeColor="background1" w:themeShade="D9"/>
      </w:rPr>
      <w:instrText xml:space="preserve"> SAVEDATE \@ DD.MM.YY </w:instrText>
    </w:r>
    <w:r w:rsidR="00864AFF" w:rsidRPr="008F3F9A">
      <w:rPr>
        <w:color w:val="D9D9D9" w:themeColor="background1" w:themeShade="D9"/>
      </w:rPr>
      <w:fldChar w:fldCharType="separate"/>
    </w:r>
    <w:r w:rsidR="00C27ED5">
      <w:rPr>
        <w:color w:val="D9D9D9" w:themeColor="background1" w:themeShade="D9"/>
      </w:rPr>
      <w:t>20.03.17</w:t>
    </w:r>
    <w:r w:rsidR="00864AFF" w:rsidRPr="008F3F9A">
      <w:rPr>
        <w:color w:val="D9D9D9" w:themeColor="background1" w:themeShade="D9"/>
      </w:rPr>
      <w:fldChar w:fldCharType="end"/>
    </w:r>
    <w:r w:rsidR="00CB18FF" w:rsidRPr="008F3F9A">
      <w:rPr>
        <w:color w:val="D9D9D9" w:themeColor="background1" w:themeShade="D9"/>
      </w:rPr>
      <w:tab/>
    </w:r>
    <w:r w:rsidR="00864AFF" w:rsidRPr="008F3F9A">
      <w:rPr>
        <w:color w:val="D9D9D9" w:themeColor="background1" w:themeShade="D9"/>
      </w:rPr>
      <w:fldChar w:fldCharType="begin"/>
    </w:r>
    <w:r w:rsidR="00CB18FF" w:rsidRPr="008F3F9A">
      <w:rPr>
        <w:color w:val="D9D9D9" w:themeColor="background1" w:themeShade="D9"/>
      </w:rPr>
      <w:instrText xml:space="preserve"> PRINTDATE \@ DD.MM.YY </w:instrText>
    </w:r>
    <w:r w:rsidR="00864AFF" w:rsidRPr="008F3F9A">
      <w:rPr>
        <w:color w:val="D9D9D9" w:themeColor="background1" w:themeShade="D9"/>
      </w:rPr>
      <w:fldChar w:fldCharType="separate"/>
    </w:r>
    <w:r w:rsidR="002E2B4B" w:rsidRPr="008F3F9A">
      <w:rPr>
        <w:color w:val="D9D9D9" w:themeColor="background1" w:themeShade="D9"/>
      </w:rPr>
      <w:t>18.07.00</w:t>
    </w:r>
    <w:r w:rsidR="00864AFF" w:rsidRPr="008F3F9A">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74EE6" w14:textId="77777777" w:rsidR="00322D0D" w:rsidRDefault="00322D0D">
    <w:pPr>
      <w:spacing w:after="120"/>
      <w:jc w:val="center"/>
    </w:pPr>
    <w:r>
      <w:t xml:space="preserve">• </w:t>
    </w:r>
    <w:hyperlink r:id="rId1" w:history="1">
      <w:r>
        <w:rPr>
          <w:rStyle w:val="Hyperlink"/>
        </w:rPr>
        <w:t>http://www.itu.int/council</w:t>
      </w:r>
    </w:hyperlink>
    <w:r>
      <w:t xml:space="preserve"> •</w:t>
    </w:r>
  </w:p>
  <w:p w14:paraId="6C5A8D64" w14:textId="7866DA24" w:rsidR="00322D0D" w:rsidRPr="008F3F9A" w:rsidRDefault="008F3F9A">
    <w:pPr>
      <w:pStyle w:val="Footer"/>
      <w:rPr>
        <w:color w:val="D9D9D9" w:themeColor="background1" w:themeShade="D9"/>
      </w:rPr>
    </w:pPr>
    <w:r w:rsidRPr="008F3F9A">
      <w:rPr>
        <w:color w:val="D9D9D9" w:themeColor="background1" w:themeShade="D9"/>
      </w:rPr>
      <w:fldChar w:fldCharType="begin"/>
    </w:r>
    <w:r w:rsidRPr="008F3F9A">
      <w:rPr>
        <w:color w:val="D9D9D9" w:themeColor="background1" w:themeShade="D9"/>
      </w:rPr>
      <w:instrText xml:space="preserve"> FILENAME \p  \* MERGEFORMAT </w:instrText>
    </w:r>
    <w:r w:rsidRPr="008F3F9A">
      <w:rPr>
        <w:color w:val="D9D9D9" w:themeColor="background1" w:themeShade="D9"/>
      </w:rPr>
      <w:fldChar w:fldCharType="separate"/>
    </w:r>
    <w:r w:rsidR="002E2B4B" w:rsidRPr="008F3F9A">
      <w:rPr>
        <w:color w:val="D9D9D9" w:themeColor="background1" w:themeShade="D9"/>
      </w:rPr>
      <w:t>Document1</w:t>
    </w:r>
    <w:r w:rsidRPr="008F3F9A">
      <w:rPr>
        <w:color w:val="D9D9D9" w:themeColor="background1" w:themeShade="D9"/>
      </w:rPr>
      <w:fldChar w:fldCharType="end"/>
    </w:r>
    <w:r w:rsidR="00322D0D" w:rsidRPr="008F3F9A">
      <w:rPr>
        <w:color w:val="D9D9D9" w:themeColor="background1" w:themeShade="D9"/>
      </w:rPr>
      <w:tab/>
    </w:r>
    <w:r w:rsidR="00864AFF" w:rsidRPr="008F3F9A">
      <w:rPr>
        <w:color w:val="D9D9D9" w:themeColor="background1" w:themeShade="D9"/>
      </w:rPr>
      <w:fldChar w:fldCharType="begin"/>
    </w:r>
    <w:r w:rsidR="00322D0D" w:rsidRPr="008F3F9A">
      <w:rPr>
        <w:color w:val="D9D9D9" w:themeColor="background1" w:themeShade="D9"/>
      </w:rPr>
      <w:instrText xml:space="preserve"> SAVEDATE \@ DD.MM.YY </w:instrText>
    </w:r>
    <w:r w:rsidR="00864AFF" w:rsidRPr="008F3F9A">
      <w:rPr>
        <w:color w:val="D9D9D9" w:themeColor="background1" w:themeShade="D9"/>
      </w:rPr>
      <w:fldChar w:fldCharType="separate"/>
    </w:r>
    <w:r w:rsidR="00C27ED5">
      <w:rPr>
        <w:color w:val="D9D9D9" w:themeColor="background1" w:themeShade="D9"/>
      </w:rPr>
      <w:t>20.03.17</w:t>
    </w:r>
    <w:r w:rsidR="00864AFF" w:rsidRPr="008F3F9A">
      <w:rPr>
        <w:color w:val="D9D9D9" w:themeColor="background1" w:themeShade="D9"/>
      </w:rPr>
      <w:fldChar w:fldCharType="end"/>
    </w:r>
    <w:r w:rsidR="00322D0D" w:rsidRPr="008F3F9A">
      <w:rPr>
        <w:color w:val="D9D9D9" w:themeColor="background1" w:themeShade="D9"/>
      </w:rPr>
      <w:tab/>
    </w:r>
    <w:r w:rsidR="00864AFF" w:rsidRPr="008F3F9A">
      <w:rPr>
        <w:color w:val="D9D9D9" w:themeColor="background1" w:themeShade="D9"/>
      </w:rPr>
      <w:fldChar w:fldCharType="begin"/>
    </w:r>
    <w:r w:rsidR="00322D0D" w:rsidRPr="008F3F9A">
      <w:rPr>
        <w:color w:val="D9D9D9" w:themeColor="background1" w:themeShade="D9"/>
      </w:rPr>
      <w:instrText xml:space="preserve"> PRINTDATE \@ DD.MM.YY </w:instrText>
    </w:r>
    <w:r w:rsidR="00864AFF" w:rsidRPr="008F3F9A">
      <w:rPr>
        <w:color w:val="D9D9D9" w:themeColor="background1" w:themeShade="D9"/>
      </w:rPr>
      <w:fldChar w:fldCharType="separate"/>
    </w:r>
    <w:r w:rsidR="002E2B4B" w:rsidRPr="008F3F9A">
      <w:rPr>
        <w:color w:val="D9D9D9" w:themeColor="background1" w:themeShade="D9"/>
      </w:rPr>
      <w:t>18.07.00</w:t>
    </w:r>
    <w:r w:rsidR="00864AFF" w:rsidRPr="008F3F9A">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902CB" w14:textId="77777777" w:rsidR="004A3691" w:rsidRDefault="004A3691">
      <w:r>
        <w:t>____________________</w:t>
      </w:r>
    </w:p>
  </w:footnote>
  <w:footnote w:type="continuationSeparator" w:id="0">
    <w:p w14:paraId="4767E6D5" w14:textId="77777777" w:rsidR="004A3691" w:rsidRDefault="004A3691">
      <w:r>
        <w:continuationSeparator/>
      </w:r>
    </w:p>
  </w:footnote>
  <w:footnote w:id="1">
    <w:p w14:paraId="028A9216" w14:textId="77777777" w:rsidR="002E2B4B" w:rsidRPr="002E2B4B" w:rsidRDefault="002E2B4B" w:rsidP="002E2B4B">
      <w:pPr>
        <w:pStyle w:val="FootnoteText"/>
        <w:snapToGrid w:val="0"/>
        <w:spacing w:before="0"/>
        <w:rPr>
          <w:rFonts w:asciiTheme="minorHAnsi" w:hAnsiTheme="minorHAnsi"/>
          <w:sz w:val="20"/>
          <w:lang w:val="en-US"/>
        </w:rPr>
      </w:pPr>
      <w:r w:rsidRPr="002E2B4B">
        <w:rPr>
          <w:rStyle w:val="FootnoteReference"/>
          <w:rFonts w:asciiTheme="minorHAnsi" w:hAnsiTheme="minorHAnsi"/>
          <w:sz w:val="20"/>
        </w:rPr>
        <w:footnoteRef/>
      </w:r>
      <w:r w:rsidRPr="002E2B4B">
        <w:rPr>
          <w:rFonts w:asciiTheme="minorHAnsi" w:hAnsiTheme="minorHAnsi"/>
          <w:sz w:val="20"/>
        </w:rPr>
        <w:t xml:space="preserve"> </w:t>
      </w:r>
      <w:r w:rsidRPr="002E2B4B">
        <w:rPr>
          <w:rFonts w:asciiTheme="minorHAnsi" w:hAnsiTheme="minorHAnsi"/>
          <w:sz w:val="20"/>
          <w:lang w:val="en-US"/>
        </w:rPr>
        <w:t>SANC: Service Access Network Code</w:t>
      </w:r>
    </w:p>
  </w:footnote>
  <w:footnote w:id="2">
    <w:p w14:paraId="19131802" w14:textId="77777777" w:rsidR="002E2B4B" w:rsidRPr="002E2B4B" w:rsidRDefault="002E2B4B" w:rsidP="002E2B4B">
      <w:pPr>
        <w:pStyle w:val="FootnoteText"/>
        <w:snapToGrid w:val="0"/>
        <w:spacing w:before="0"/>
        <w:rPr>
          <w:sz w:val="20"/>
          <w:lang w:val="en-US"/>
        </w:rPr>
      </w:pPr>
      <w:r w:rsidRPr="002E2B4B">
        <w:rPr>
          <w:rStyle w:val="FootnoteReference"/>
          <w:rFonts w:asciiTheme="minorHAnsi" w:hAnsiTheme="minorHAnsi"/>
          <w:sz w:val="20"/>
        </w:rPr>
        <w:footnoteRef/>
      </w:r>
      <w:r w:rsidRPr="002E2B4B">
        <w:rPr>
          <w:rFonts w:asciiTheme="minorHAnsi" w:hAnsiTheme="minorHAnsi"/>
          <w:sz w:val="20"/>
        </w:rPr>
        <w:t xml:space="preserve"> </w:t>
      </w:r>
      <w:r w:rsidRPr="002E2B4B">
        <w:rPr>
          <w:rFonts w:asciiTheme="minorHAnsi" w:hAnsiTheme="minorHAnsi"/>
          <w:sz w:val="20"/>
          <w:lang w:val="en-US"/>
        </w:rPr>
        <w:t>UIFN: Universal International Free Number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D3293" w14:textId="78380A41" w:rsidR="00322D0D" w:rsidRDefault="006535F1" w:rsidP="00CE433C">
    <w:pPr>
      <w:pStyle w:val="Header"/>
    </w:pPr>
    <w:r>
      <w:fldChar w:fldCharType="begin"/>
    </w:r>
    <w:r>
      <w:instrText>PAGE</w:instrText>
    </w:r>
    <w:r>
      <w:fldChar w:fldCharType="separate"/>
    </w:r>
    <w:r w:rsidR="00C27ED5">
      <w:rPr>
        <w:noProof/>
      </w:rPr>
      <w:t>5</w:t>
    </w:r>
    <w:r>
      <w:rPr>
        <w:noProof/>
      </w:rPr>
      <w:fldChar w:fldCharType="end"/>
    </w:r>
  </w:p>
  <w:p w14:paraId="6D4A2012" w14:textId="77777777" w:rsidR="00322D0D" w:rsidRDefault="002E2B4B" w:rsidP="005243FF">
    <w:pPr>
      <w:pStyle w:val="Header"/>
    </w:pPr>
    <w:r>
      <w:t>C17/67-E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4D0CCE"/>
    <w:multiLevelType w:val="hybridMultilevel"/>
    <w:tmpl w:val="E87C9B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4B"/>
    <w:rsid w:val="000210D4"/>
    <w:rsid w:val="00063016"/>
    <w:rsid w:val="00066795"/>
    <w:rsid w:val="00076AF6"/>
    <w:rsid w:val="00085CF2"/>
    <w:rsid w:val="000B1705"/>
    <w:rsid w:val="000B5CB4"/>
    <w:rsid w:val="000C6FBB"/>
    <w:rsid w:val="000D75B2"/>
    <w:rsid w:val="000D7F64"/>
    <w:rsid w:val="001012AB"/>
    <w:rsid w:val="001121F5"/>
    <w:rsid w:val="001400DC"/>
    <w:rsid w:val="00140230"/>
    <w:rsid w:val="00140CE1"/>
    <w:rsid w:val="0017539C"/>
    <w:rsid w:val="00175AC2"/>
    <w:rsid w:val="0017609F"/>
    <w:rsid w:val="001C628E"/>
    <w:rsid w:val="001E0F7B"/>
    <w:rsid w:val="001E1B65"/>
    <w:rsid w:val="002119FD"/>
    <w:rsid w:val="002130E0"/>
    <w:rsid w:val="00264425"/>
    <w:rsid w:val="00265875"/>
    <w:rsid w:val="0027303B"/>
    <w:rsid w:val="0028109B"/>
    <w:rsid w:val="00283E92"/>
    <w:rsid w:val="002B1F58"/>
    <w:rsid w:val="002C1C7A"/>
    <w:rsid w:val="002E2B4B"/>
    <w:rsid w:val="0030160F"/>
    <w:rsid w:val="00322D0D"/>
    <w:rsid w:val="00356F74"/>
    <w:rsid w:val="00376C9C"/>
    <w:rsid w:val="003942D4"/>
    <w:rsid w:val="003958A8"/>
    <w:rsid w:val="003C2533"/>
    <w:rsid w:val="0040435A"/>
    <w:rsid w:val="00416A24"/>
    <w:rsid w:val="00431D9E"/>
    <w:rsid w:val="00433CE8"/>
    <w:rsid w:val="00434A5C"/>
    <w:rsid w:val="004544D9"/>
    <w:rsid w:val="00457BF5"/>
    <w:rsid w:val="00490E72"/>
    <w:rsid w:val="00491157"/>
    <w:rsid w:val="004921C8"/>
    <w:rsid w:val="004A3691"/>
    <w:rsid w:val="004D1851"/>
    <w:rsid w:val="004D599D"/>
    <w:rsid w:val="004E2EA5"/>
    <w:rsid w:val="004E3AEB"/>
    <w:rsid w:val="0050223C"/>
    <w:rsid w:val="00505923"/>
    <w:rsid w:val="005243FF"/>
    <w:rsid w:val="005626DC"/>
    <w:rsid w:val="00564FBC"/>
    <w:rsid w:val="00582442"/>
    <w:rsid w:val="005918D2"/>
    <w:rsid w:val="0064737F"/>
    <w:rsid w:val="006535F1"/>
    <w:rsid w:val="0065557D"/>
    <w:rsid w:val="00662984"/>
    <w:rsid w:val="006716BB"/>
    <w:rsid w:val="006B6680"/>
    <w:rsid w:val="006B6DCC"/>
    <w:rsid w:val="006F729E"/>
    <w:rsid w:val="00702DEF"/>
    <w:rsid w:val="00706861"/>
    <w:rsid w:val="007374C6"/>
    <w:rsid w:val="00746FA9"/>
    <w:rsid w:val="0075051B"/>
    <w:rsid w:val="00794D34"/>
    <w:rsid w:val="00813E5E"/>
    <w:rsid w:val="0083581B"/>
    <w:rsid w:val="00864AFF"/>
    <w:rsid w:val="00871643"/>
    <w:rsid w:val="008B2F18"/>
    <w:rsid w:val="008B4A6A"/>
    <w:rsid w:val="008C7E27"/>
    <w:rsid w:val="008F3F9A"/>
    <w:rsid w:val="009173EF"/>
    <w:rsid w:val="00932906"/>
    <w:rsid w:val="00961B0B"/>
    <w:rsid w:val="009B38C3"/>
    <w:rsid w:val="009E17BD"/>
    <w:rsid w:val="00A04CEC"/>
    <w:rsid w:val="00A24D3F"/>
    <w:rsid w:val="00A27F92"/>
    <w:rsid w:val="00A32257"/>
    <w:rsid w:val="00A36D20"/>
    <w:rsid w:val="00A55622"/>
    <w:rsid w:val="00A65195"/>
    <w:rsid w:val="00A83502"/>
    <w:rsid w:val="00AD15B3"/>
    <w:rsid w:val="00AF6E49"/>
    <w:rsid w:val="00B04A67"/>
    <w:rsid w:val="00B0583C"/>
    <w:rsid w:val="00B27938"/>
    <w:rsid w:val="00B40A81"/>
    <w:rsid w:val="00B44910"/>
    <w:rsid w:val="00B72267"/>
    <w:rsid w:val="00B76EB6"/>
    <w:rsid w:val="00B7737B"/>
    <w:rsid w:val="00B824C8"/>
    <w:rsid w:val="00BA29E3"/>
    <w:rsid w:val="00BC251A"/>
    <w:rsid w:val="00BD032B"/>
    <w:rsid w:val="00BE2640"/>
    <w:rsid w:val="00C01189"/>
    <w:rsid w:val="00C27ED5"/>
    <w:rsid w:val="00C374DE"/>
    <w:rsid w:val="00C47AD4"/>
    <w:rsid w:val="00C52D81"/>
    <w:rsid w:val="00C55198"/>
    <w:rsid w:val="00CA6393"/>
    <w:rsid w:val="00CB18FF"/>
    <w:rsid w:val="00CD0C08"/>
    <w:rsid w:val="00CE03FB"/>
    <w:rsid w:val="00CE433C"/>
    <w:rsid w:val="00CF33F3"/>
    <w:rsid w:val="00D06183"/>
    <w:rsid w:val="00D22C42"/>
    <w:rsid w:val="00D65041"/>
    <w:rsid w:val="00D83102"/>
    <w:rsid w:val="00DB384B"/>
    <w:rsid w:val="00DD0958"/>
    <w:rsid w:val="00E10E80"/>
    <w:rsid w:val="00E124F0"/>
    <w:rsid w:val="00E60F04"/>
    <w:rsid w:val="00E854E4"/>
    <w:rsid w:val="00EB0D6F"/>
    <w:rsid w:val="00EB2232"/>
    <w:rsid w:val="00EC5337"/>
    <w:rsid w:val="00F2150A"/>
    <w:rsid w:val="00F231D8"/>
    <w:rsid w:val="00F4639B"/>
    <w:rsid w:val="00F46C5F"/>
    <w:rsid w:val="00F85D28"/>
    <w:rsid w:val="00F94A63"/>
    <w:rsid w:val="00FA1C28"/>
    <w:rsid w:val="00FB7596"/>
    <w:rsid w:val="00FD5CF0"/>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0283B0"/>
  <w15:docId w15:val="{0A5C5854-B504-4C6B-8633-AA179785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aliases w:val="Char"/>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E2B4B"/>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ps">
    <w:name w:val="hps"/>
    <w:basedOn w:val="DefaultParagraphFont"/>
    <w:rsid w:val="002E2B4B"/>
  </w:style>
  <w:style w:type="paragraph" w:styleId="ListParagraph">
    <w:name w:val="List Paragraph"/>
    <w:basedOn w:val="Normal"/>
    <w:link w:val="ListParagraphChar"/>
    <w:uiPriority w:val="34"/>
    <w:qFormat/>
    <w:rsid w:val="002E2B4B"/>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customStyle="1" w:styleId="FootnoteTextChar">
    <w:name w:val="Footnote Text Char"/>
    <w:aliases w:val="Char Char"/>
    <w:basedOn w:val="DefaultParagraphFont"/>
    <w:link w:val="FootnoteText"/>
    <w:uiPriority w:val="99"/>
    <w:qFormat/>
    <w:rsid w:val="002E2B4B"/>
    <w:rPr>
      <w:rFonts w:ascii="Calibri" w:hAnsi="Calibri"/>
      <w:sz w:val="24"/>
      <w:lang w:val="en-GB" w:eastAsia="en-US"/>
    </w:rPr>
  </w:style>
  <w:style w:type="character" w:customStyle="1" w:styleId="ListParagraphChar">
    <w:name w:val="List Paragraph Char"/>
    <w:basedOn w:val="DefaultParagraphFont"/>
    <w:link w:val="ListParagraph"/>
    <w:uiPriority w:val="34"/>
    <w:locked/>
    <w:rsid w:val="002E2B4B"/>
    <w:rPr>
      <w:rFonts w:ascii="Times New Roman" w:hAnsi="Times New Roman"/>
      <w:sz w:val="24"/>
      <w:lang w:val="en-GB" w:eastAsia="en-US"/>
    </w:rPr>
  </w:style>
  <w:style w:type="paragraph" w:customStyle="1" w:styleId="Default">
    <w:name w:val="Default"/>
    <w:rsid w:val="002E2B4B"/>
    <w:pPr>
      <w:autoSpaceDE w:val="0"/>
      <w:autoSpaceDN w:val="0"/>
      <w:adjustRightInd w:val="0"/>
      <w:spacing w:before="180"/>
      <w:jc w:val="both"/>
    </w:pPr>
    <w:rPr>
      <w:rFonts w:ascii="Calibri" w:eastAsia="Batang" w:hAnsi="Calibri" w:cs="Calibri"/>
      <w:color w:val="000000"/>
      <w:sz w:val="24"/>
      <w:szCs w:val="24"/>
      <w:lang w:eastAsia="ko-KR"/>
    </w:rPr>
  </w:style>
  <w:style w:type="table" w:styleId="TableGrid">
    <w:name w:val="Table Grid"/>
    <w:basedOn w:val="TableNormal"/>
    <w:uiPriority w:val="59"/>
    <w:rsid w:val="002E2B4B"/>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57BF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57BF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S17-CL-C-0050/en" TargetMode="External"/><Relationship Id="rId18" Type="http://schemas.openxmlformats.org/officeDocument/2006/relationships/hyperlink" Target="https://business.un.org/en/documents/guidelin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tu.int/md/S16-CL-C-0049/en" TargetMode="External"/><Relationship Id="rId17" Type="http://schemas.openxmlformats.org/officeDocument/2006/relationships/hyperlink" Target="https://www.unglobalcompact.org/what-is-gc/mission/principles" TargetMode="External"/><Relationship Id="rId2" Type="http://schemas.openxmlformats.org/officeDocument/2006/relationships/customXml" Target="../customXml/item2.xml"/><Relationship Id="rId16" Type="http://schemas.openxmlformats.org/officeDocument/2006/relationships/hyperlink" Target="http://www.itu.int/md/S17-CLCWGFHRM7-C-0005/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tu.int/en/council/Documents/2017/ITUSponsorshipguidelines.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watch?v=9wjRXawJ1wk&amp;feature=youtu.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S17-CLCWGFHRM7-INF-0001/e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9CFAE3DE746A4685A8753B6C2499EA" ma:contentTypeVersion="0" ma:contentTypeDescription="Create a new document." ma:contentTypeScope="" ma:versionID="7a8b0435e6fb22d8444e7940a317a1f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B4662-3C87-4178-A698-A345EB86F04A}">
  <ds:schemaRefs>
    <ds:schemaRef ds:uri="http://schemas.microsoft.com/sharepoint/v3/contenttype/forms"/>
  </ds:schemaRefs>
</ds:datastoreItem>
</file>

<file path=customXml/itemProps2.xml><?xml version="1.0" encoding="utf-8"?>
<ds:datastoreItem xmlns:ds="http://schemas.openxmlformats.org/officeDocument/2006/customXml" ds:itemID="{C576FEA1-52F5-425B-8705-529CE36A0587}">
  <ds:schemaRef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45FDAF52-E6B9-4E09-ACE7-47C689646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DD447CE-1723-4DCB-B43C-5B3CE022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PE_C17.dotm</Template>
  <TotalTime>0</TotalTime>
  <Pages>5</Pages>
  <Words>1475</Words>
  <Characters>9257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Improving the stability and predictability of the financial base of the Union</vt:lpstr>
    </vt:vector>
  </TitlesOfParts>
  <Manager>General Secretariat - Pool</Manager>
  <Company>International Telecommunication Union (ITU)</Company>
  <LinksUpToDate>false</LinksUpToDate>
  <CharactersWithSpaces>10711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the stability and predictability of the financial base of the Union</dc:title>
  <dc:subject>Council 2017</dc:subject>
  <dc:creator>Brouard, Ricarda</dc:creator>
  <cp:keywords>C2017, C17</cp:keywords>
  <dc:description/>
  <cp:lastModifiedBy>Brouard, Ricarda</cp:lastModifiedBy>
  <cp:revision>2</cp:revision>
  <cp:lastPrinted>2000-07-18T13:30:00Z</cp:lastPrinted>
  <dcterms:created xsi:type="dcterms:W3CDTF">2017-03-20T13:05:00Z</dcterms:created>
  <dcterms:modified xsi:type="dcterms:W3CDTF">2017-03-20T13:05:00Z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0x010100439CFAE3DE746A4685A8753B6C2499EA</vt:lpwstr>
  </property>
</Properties>
</file>