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E70501">
        <w:trPr>
          <w:cantSplit/>
        </w:trPr>
        <w:tc>
          <w:tcPr>
            <w:tcW w:w="6912" w:type="dxa"/>
          </w:tcPr>
          <w:p w:rsidR="00093EEB" w:rsidRPr="00E70501" w:rsidRDefault="00093EEB" w:rsidP="00093EEB">
            <w:pPr>
              <w:spacing w:before="360"/>
              <w:rPr>
                <w:szCs w:val="24"/>
              </w:rPr>
            </w:pPr>
            <w:bookmarkStart w:id="0" w:name="dc06"/>
            <w:bookmarkStart w:id="1" w:name="dbluepink" w:colFirst="0" w:colLast="0"/>
            <w:bookmarkEnd w:id="0"/>
            <w:r w:rsidRPr="00E70501">
              <w:rPr>
                <w:b/>
                <w:bCs/>
                <w:sz w:val="30"/>
                <w:szCs w:val="30"/>
              </w:rPr>
              <w:t>Consejo 2017</w:t>
            </w:r>
            <w:r w:rsidRPr="00E70501">
              <w:rPr>
                <w:b/>
                <w:bCs/>
                <w:sz w:val="26"/>
                <w:szCs w:val="26"/>
              </w:rPr>
              <w:br/>
            </w:r>
            <w:r w:rsidRPr="00E70501">
              <w:rPr>
                <w:b/>
                <w:bCs/>
                <w:szCs w:val="24"/>
              </w:rPr>
              <w:t>Ginebra, 15-25 de mayo de 2017</w:t>
            </w:r>
          </w:p>
        </w:tc>
        <w:tc>
          <w:tcPr>
            <w:tcW w:w="3261" w:type="dxa"/>
          </w:tcPr>
          <w:p w:rsidR="00093EEB" w:rsidRPr="00E70501" w:rsidRDefault="00093EEB" w:rsidP="00093EEB">
            <w:pPr>
              <w:spacing w:before="0"/>
              <w:jc w:val="right"/>
              <w:rPr>
                <w:szCs w:val="24"/>
              </w:rPr>
            </w:pPr>
            <w:bookmarkStart w:id="2" w:name="ditulogo"/>
            <w:bookmarkEnd w:id="2"/>
            <w:r w:rsidRPr="00E70501">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E70501">
        <w:trPr>
          <w:cantSplit/>
          <w:trHeight w:val="20"/>
        </w:trPr>
        <w:tc>
          <w:tcPr>
            <w:tcW w:w="10173" w:type="dxa"/>
            <w:gridSpan w:val="2"/>
            <w:tcBorders>
              <w:bottom w:val="single" w:sz="12" w:space="0" w:color="auto"/>
            </w:tcBorders>
          </w:tcPr>
          <w:p w:rsidR="00093EEB" w:rsidRPr="00E70501" w:rsidRDefault="00093EEB">
            <w:pPr>
              <w:spacing w:before="0"/>
              <w:rPr>
                <w:b/>
                <w:bCs/>
                <w:szCs w:val="24"/>
              </w:rPr>
            </w:pPr>
          </w:p>
        </w:tc>
      </w:tr>
      <w:tr w:rsidR="00093EEB" w:rsidRPr="00E70501">
        <w:trPr>
          <w:cantSplit/>
          <w:trHeight w:val="20"/>
        </w:trPr>
        <w:tc>
          <w:tcPr>
            <w:tcW w:w="6912" w:type="dxa"/>
            <w:tcBorders>
              <w:top w:val="single" w:sz="12" w:space="0" w:color="auto"/>
            </w:tcBorders>
          </w:tcPr>
          <w:p w:rsidR="00093EEB" w:rsidRPr="00E7050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E70501" w:rsidRDefault="00093EEB">
            <w:pPr>
              <w:spacing w:before="0"/>
              <w:rPr>
                <w:b/>
                <w:bCs/>
                <w:szCs w:val="24"/>
              </w:rPr>
            </w:pPr>
          </w:p>
        </w:tc>
      </w:tr>
      <w:tr w:rsidR="00093EEB" w:rsidRPr="00E70501">
        <w:trPr>
          <w:cantSplit/>
          <w:trHeight w:val="20"/>
        </w:trPr>
        <w:tc>
          <w:tcPr>
            <w:tcW w:w="6912" w:type="dxa"/>
            <w:shd w:val="clear" w:color="auto" w:fill="auto"/>
          </w:tcPr>
          <w:p w:rsidR="00093EEB" w:rsidRPr="00E70501" w:rsidRDefault="0014761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E70501">
              <w:rPr>
                <w:b/>
              </w:rPr>
              <w:t>Punto del orden del día: ADM 9</w:t>
            </w:r>
          </w:p>
        </w:tc>
        <w:tc>
          <w:tcPr>
            <w:tcW w:w="3261" w:type="dxa"/>
          </w:tcPr>
          <w:p w:rsidR="00093EEB" w:rsidRPr="00E70501" w:rsidRDefault="00093EEB" w:rsidP="00093EEB">
            <w:pPr>
              <w:spacing w:before="0"/>
              <w:rPr>
                <w:b/>
                <w:bCs/>
                <w:szCs w:val="24"/>
              </w:rPr>
            </w:pPr>
            <w:r w:rsidRPr="00E70501">
              <w:rPr>
                <w:b/>
                <w:bCs/>
                <w:szCs w:val="24"/>
              </w:rPr>
              <w:t>Documento C17/</w:t>
            </w:r>
            <w:r w:rsidR="00147616" w:rsidRPr="00E70501">
              <w:rPr>
                <w:b/>
              </w:rPr>
              <w:t>64</w:t>
            </w:r>
            <w:r w:rsidRPr="00E70501">
              <w:rPr>
                <w:b/>
                <w:bCs/>
                <w:szCs w:val="24"/>
              </w:rPr>
              <w:t>-S</w:t>
            </w:r>
          </w:p>
        </w:tc>
      </w:tr>
      <w:tr w:rsidR="00093EEB" w:rsidRPr="00E70501">
        <w:trPr>
          <w:cantSplit/>
          <w:trHeight w:val="20"/>
        </w:trPr>
        <w:tc>
          <w:tcPr>
            <w:tcW w:w="6912" w:type="dxa"/>
            <w:shd w:val="clear" w:color="auto" w:fill="auto"/>
          </w:tcPr>
          <w:p w:rsidR="00093EEB" w:rsidRPr="00E70501"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E70501" w:rsidRDefault="00147616" w:rsidP="00093EEB">
            <w:pPr>
              <w:spacing w:before="0"/>
              <w:rPr>
                <w:b/>
                <w:bCs/>
                <w:szCs w:val="24"/>
              </w:rPr>
            </w:pPr>
            <w:r w:rsidRPr="00E70501">
              <w:rPr>
                <w:b/>
              </w:rPr>
              <w:t xml:space="preserve">21 de febrero </w:t>
            </w:r>
            <w:r w:rsidR="00093EEB" w:rsidRPr="00E70501">
              <w:rPr>
                <w:b/>
                <w:bCs/>
                <w:szCs w:val="24"/>
              </w:rPr>
              <w:t>de 2017</w:t>
            </w:r>
          </w:p>
        </w:tc>
      </w:tr>
      <w:tr w:rsidR="00093EEB" w:rsidRPr="00E70501">
        <w:trPr>
          <w:cantSplit/>
          <w:trHeight w:val="20"/>
        </w:trPr>
        <w:tc>
          <w:tcPr>
            <w:tcW w:w="6912" w:type="dxa"/>
            <w:shd w:val="clear" w:color="auto" w:fill="auto"/>
          </w:tcPr>
          <w:p w:rsidR="00093EEB" w:rsidRPr="00E70501" w:rsidRDefault="00093EEB">
            <w:pPr>
              <w:shd w:val="solid" w:color="FFFFFF" w:fill="FFFFFF"/>
              <w:spacing w:before="0"/>
              <w:rPr>
                <w:smallCaps/>
                <w:szCs w:val="24"/>
              </w:rPr>
            </w:pPr>
            <w:bookmarkStart w:id="6" w:name="dorlang" w:colFirst="1" w:colLast="1"/>
            <w:bookmarkEnd w:id="5"/>
          </w:p>
        </w:tc>
        <w:tc>
          <w:tcPr>
            <w:tcW w:w="3261" w:type="dxa"/>
          </w:tcPr>
          <w:p w:rsidR="00093EEB" w:rsidRPr="00E70501" w:rsidRDefault="00093EEB" w:rsidP="00093EEB">
            <w:pPr>
              <w:spacing w:before="0"/>
              <w:rPr>
                <w:b/>
                <w:bCs/>
                <w:szCs w:val="24"/>
              </w:rPr>
            </w:pPr>
            <w:r w:rsidRPr="00E70501">
              <w:rPr>
                <w:b/>
                <w:bCs/>
                <w:szCs w:val="24"/>
              </w:rPr>
              <w:t>Original: inglés</w:t>
            </w:r>
          </w:p>
        </w:tc>
      </w:tr>
      <w:tr w:rsidR="00093EEB" w:rsidRPr="00E70501">
        <w:trPr>
          <w:cantSplit/>
        </w:trPr>
        <w:tc>
          <w:tcPr>
            <w:tcW w:w="10173" w:type="dxa"/>
            <w:gridSpan w:val="2"/>
          </w:tcPr>
          <w:p w:rsidR="00093EEB" w:rsidRPr="00E70501" w:rsidRDefault="0062095E">
            <w:pPr>
              <w:pStyle w:val="Source"/>
            </w:pPr>
            <w:bookmarkStart w:id="7" w:name="dsource" w:colFirst="0" w:colLast="0"/>
            <w:bookmarkEnd w:id="1"/>
            <w:bookmarkEnd w:id="6"/>
            <w:r>
              <w:rPr>
                <w:lang w:val="es-ES"/>
              </w:rPr>
              <w:t xml:space="preserve">Informe del Secretario </w:t>
            </w:r>
            <w:r w:rsidRPr="00166D4A">
              <w:rPr>
                <w:lang w:val="es-ES"/>
              </w:rPr>
              <w:t>General</w:t>
            </w:r>
          </w:p>
        </w:tc>
      </w:tr>
      <w:tr w:rsidR="00093EEB" w:rsidRPr="00E70501">
        <w:trPr>
          <w:cantSplit/>
        </w:trPr>
        <w:tc>
          <w:tcPr>
            <w:tcW w:w="10173" w:type="dxa"/>
            <w:gridSpan w:val="2"/>
          </w:tcPr>
          <w:p w:rsidR="00093EEB" w:rsidRPr="00E70501" w:rsidRDefault="00147616">
            <w:pPr>
              <w:pStyle w:val="Title1"/>
            </w:pPr>
            <w:bookmarkStart w:id="8" w:name="dtitle1" w:colFirst="0" w:colLast="0"/>
            <w:bookmarkEnd w:id="7"/>
            <w:r w:rsidRPr="00E70501">
              <w:rPr>
                <w:szCs w:val="28"/>
              </w:rPr>
              <w:t xml:space="preserve">marco de rendición de cuentas y transparencia </w:t>
            </w:r>
            <w:r w:rsidRPr="00E70501">
              <w:rPr>
                <w:szCs w:val="28"/>
              </w:rPr>
              <w:br/>
              <w:t>UNIÓN INTERNACIONAL DE TELECOMUNICACIONES</w:t>
            </w:r>
          </w:p>
        </w:tc>
      </w:tr>
      <w:bookmarkEnd w:id="8"/>
    </w:tbl>
    <w:p w:rsidR="00093EEB" w:rsidRPr="00E70501"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E70501">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E70501" w:rsidRDefault="00093EEB">
            <w:pPr>
              <w:pStyle w:val="Headingb"/>
            </w:pPr>
            <w:r w:rsidRPr="00E70501">
              <w:t>Resumen</w:t>
            </w:r>
          </w:p>
          <w:p w:rsidR="00093EEB" w:rsidRPr="00E70501" w:rsidRDefault="00147616" w:rsidP="00147616">
            <w:r w:rsidRPr="00E70501">
              <w:rPr>
                <w:szCs w:val="24"/>
              </w:rPr>
              <w:t>El examen de la gestión de la U</w:t>
            </w:r>
            <w:r w:rsidR="00E70501">
              <w:rPr>
                <w:szCs w:val="24"/>
              </w:rPr>
              <w:t>IT realizado por la DCI en 2015</w:t>
            </w:r>
            <w:r w:rsidRPr="00E70501">
              <w:rPr>
                <w:szCs w:val="24"/>
              </w:rPr>
              <w:t xml:space="preserve"> (</w:t>
            </w:r>
            <w:proofErr w:type="spellStart"/>
            <w:r w:rsidRPr="00E70501">
              <w:fldChar w:fldCharType="begin"/>
            </w:r>
            <w:r w:rsidRPr="00E70501">
              <w:instrText xml:space="preserve"> HYPERLINK "https://www.unjiu.org/en/reports-notes/JIU%20Products/JIU_REP_2016_1_English.pdf" </w:instrText>
            </w:r>
            <w:r w:rsidRPr="00E70501">
              <w:fldChar w:fldCharType="separate"/>
            </w:r>
            <w:r w:rsidRPr="00E70501">
              <w:rPr>
                <w:rStyle w:val="Hyperlink"/>
                <w:szCs w:val="24"/>
              </w:rPr>
              <w:t>JIU</w:t>
            </w:r>
            <w:proofErr w:type="spellEnd"/>
            <w:r w:rsidRPr="00E70501">
              <w:rPr>
                <w:rStyle w:val="Hyperlink"/>
                <w:szCs w:val="24"/>
              </w:rPr>
              <w:t>/</w:t>
            </w:r>
            <w:proofErr w:type="spellStart"/>
            <w:r w:rsidRPr="00E70501">
              <w:rPr>
                <w:rStyle w:val="Hyperlink"/>
                <w:szCs w:val="24"/>
              </w:rPr>
              <w:t>REP</w:t>
            </w:r>
            <w:proofErr w:type="spellEnd"/>
            <w:r w:rsidRPr="00E70501">
              <w:rPr>
                <w:rStyle w:val="Hyperlink"/>
                <w:szCs w:val="24"/>
              </w:rPr>
              <w:t>/2016/1</w:t>
            </w:r>
            <w:r w:rsidRPr="00E70501">
              <w:rPr>
                <w:rStyle w:val="Hyperlink"/>
                <w:szCs w:val="24"/>
              </w:rPr>
              <w:fldChar w:fldCharType="end"/>
            </w:r>
            <w:r w:rsidRPr="00E70501">
              <w:rPr>
                <w:szCs w:val="24"/>
              </w:rPr>
              <w:t>) incluye una recomendación oficial, aceptada por la dirección de la UIT, para que el "Secretario General siga desarrollando y consolidando los elementos fundamentales de la responsabilidad en un Marco Autónomo de Rendición de Cuentas y lo presente al Consejo en su reunión de 2017, e informe anualmente de su aplicación".</w:t>
            </w:r>
          </w:p>
          <w:p w:rsidR="00093EEB" w:rsidRPr="00E70501" w:rsidRDefault="00093EEB">
            <w:pPr>
              <w:pStyle w:val="Headingb"/>
            </w:pPr>
            <w:r w:rsidRPr="00E70501">
              <w:t>Acción solicitada</w:t>
            </w:r>
          </w:p>
          <w:p w:rsidR="00093EEB" w:rsidRPr="00E70501" w:rsidRDefault="00147616">
            <w:r w:rsidRPr="00E70501">
              <w:rPr>
                <w:szCs w:val="24"/>
              </w:rPr>
              <w:t xml:space="preserve">Se invita al Consejo a </w:t>
            </w:r>
            <w:r w:rsidRPr="00E70501">
              <w:rPr>
                <w:b/>
                <w:szCs w:val="24"/>
              </w:rPr>
              <w:t xml:space="preserve">tomar nota </w:t>
            </w:r>
            <w:r w:rsidRPr="00E70501">
              <w:rPr>
                <w:szCs w:val="24"/>
              </w:rPr>
              <w:t>de la aplicación del Marco de Rendición de Cuentas y Transparencia de la UIT.</w:t>
            </w:r>
          </w:p>
          <w:p w:rsidR="00093EEB" w:rsidRPr="00E70501" w:rsidRDefault="00093EEB">
            <w:pPr>
              <w:pStyle w:val="Table"/>
              <w:keepNext w:val="0"/>
              <w:spacing w:before="0" w:after="0"/>
              <w:rPr>
                <w:caps w:val="0"/>
                <w:sz w:val="22"/>
                <w:lang w:val="es-ES_tradnl"/>
              </w:rPr>
            </w:pPr>
            <w:r w:rsidRPr="00E70501">
              <w:rPr>
                <w:caps w:val="0"/>
                <w:sz w:val="22"/>
                <w:lang w:val="es-ES_tradnl"/>
              </w:rPr>
              <w:t>____________</w:t>
            </w:r>
          </w:p>
          <w:p w:rsidR="00093EEB" w:rsidRPr="00E70501" w:rsidRDefault="00093EEB">
            <w:pPr>
              <w:pStyle w:val="Headingb"/>
            </w:pPr>
            <w:r w:rsidRPr="00E70501">
              <w:t>Referencia</w:t>
            </w:r>
          </w:p>
          <w:p w:rsidR="00093EEB" w:rsidRPr="00E70501" w:rsidRDefault="00430DA6" w:rsidP="00147616">
            <w:pPr>
              <w:spacing w:after="120"/>
              <w:rPr>
                <w:i/>
                <w:iCs/>
              </w:rPr>
            </w:pPr>
            <w:hyperlink r:id="rId8" w:history="1">
              <w:proofErr w:type="spellStart"/>
              <w:r w:rsidR="00147616" w:rsidRPr="00E70501">
                <w:rPr>
                  <w:rStyle w:val="Hyperlink"/>
                  <w:szCs w:val="24"/>
                </w:rPr>
                <w:t>JIU</w:t>
              </w:r>
              <w:proofErr w:type="spellEnd"/>
              <w:r w:rsidR="00147616" w:rsidRPr="00E70501">
                <w:rPr>
                  <w:rStyle w:val="Hyperlink"/>
                  <w:szCs w:val="24"/>
                </w:rPr>
                <w:t>/</w:t>
              </w:r>
              <w:proofErr w:type="spellStart"/>
              <w:r w:rsidR="00147616" w:rsidRPr="00E70501">
                <w:rPr>
                  <w:rStyle w:val="Hyperlink"/>
                  <w:szCs w:val="24"/>
                </w:rPr>
                <w:t>REP</w:t>
              </w:r>
              <w:proofErr w:type="spellEnd"/>
              <w:r w:rsidR="00147616" w:rsidRPr="00E70501">
                <w:rPr>
                  <w:rStyle w:val="Hyperlink"/>
                  <w:szCs w:val="24"/>
                </w:rPr>
                <w:t>/2011/5</w:t>
              </w:r>
            </w:hyperlink>
            <w:r w:rsidR="00147616" w:rsidRPr="00F96EB4">
              <w:t>,</w:t>
            </w:r>
            <w:r w:rsidR="00147616" w:rsidRPr="00E70501">
              <w:rPr>
                <w:rStyle w:val="Hyperlink"/>
                <w:szCs w:val="24"/>
              </w:rPr>
              <w:t xml:space="preserve"> </w:t>
            </w:r>
            <w:hyperlink r:id="rId9" w:history="1">
              <w:proofErr w:type="spellStart"/>
              <w:r w:rsidR="00147616" w:rsidRPr="00E70501">
                <w:rPr>
                  <w:rStyle w:val="Hyperlink"/>
                  <w:szCs w:val="24"/>
                </w:rPr>
                <w:t>JIU</w:t>
              </w:r>
              <w:proofErr w:type="spellEnd"/>
              <w:r w:rsidR="00147616" w:rsidRPr="00E70501">
                <w:rPr>
                  <w:rStyle w:val="Hyperlink"/>
                  <w:szCs w:val="24"/>
                </w:rPr>
                <w:t>/</w:t>
              </w:r>
              <w:proofErr w:type="spellStart"/>
              <w:r w:rsidR="00147616" w:rsidRPr="00E70501">
                <w:rPr>
                  <w:rStyle w:val="Hyperlink"/>
                  <w:szCs w:val="24"/>
                </w:rPr>
                <w:t>REP</w:t>
              </w:r>
              <w:proofErr w:type="spellEnd"/>
              <w:r w:rsidR="00147616" w:rsidRPr="00E70501">
                <w:rPr>
                  <w:rStyle w:val="Hyperlink"/>
                  <w:szCs w:val="24"/>
                </w:rPr>
                <w:t>/2016/1</w:t>
              </w:r>
            </w:hyperlink>
            <w:r w:rsidR="00147616" w:rsidRPr="00E70501">
              <w:rPr>
                <w:rStyle w:val="Hyperlink"/>
                <w:szCs w:val="24"/>
              </w:rPr>
              <w:t xml:space="preserve"> </w:t>
            </w:r>
            <w:r w:rsidR="00147616" w:rsidRPr="00F96EB4">
              <w:t>y</w:t>
            </w:r>
            <w:r w:rsidR="00147616" w:rsidRPr="00E70501">
              <w:rPr>
                <w:rStyle w:val="Hyperlink"/>
                <w:szCs w:val="24"/>
              </w:rPr>
              <w:t xml:space="preserve"> </w:t>
            </w:r>
            <w:hyperlink r:id="rId10" w:history="1">
              <w:r w:rsidR="00147616" w:rsidRPr="00E70501">
                <w:rPr>
                  <w:rStyle w:val="Hyperlink"/>
                  <w:szCs w:val="24"/>
                </w:rPr>
                <w:t>Resolución 64/259</w:t>
              </w:r>
            </w:hyperlink>
            <w:r w:rsidR="00147616" w:rsidRPr="00E70501">
              <w:rPr>
                <w:rStyle w:val="Hyperlink"/>
                <w:szCs w:val="24"/>
              </w:rPr>
              <w:t xml:space="preserve"> </w:t>
            </w:r>
            <w:r w:rsidR="00147616" w:rsidRPr="00F96EB4">
              <w:t>de la Asamblea General de las Naciones Unidas</w:t>
            </w:r>
          </w:p>
        </w:tc>
        <w:bookmarkStart w:id="9" w:name="_GoBack"/>
        <w:bookmarkEnd w:id="9"/>
      </w:tr>
    </w:tbl>
    <w:p w:rsidR="00147616" w:rsidRPr="00E70501" w:rsidRDefault="00147616" w:rsidP="00147616">
      <w:pPr>
        <w:pStyle w:val="Heading1"/>
      </w:pPr>
      <w:bookmarkStart w:id="10" w:name="dstart"/>
      <w:bookmarkStart w:id="11" w:name="dbreak"/>
      <w:bookmarkEnd w:id="10"/>
      <w:bookmarkEnd w:id="11"/>
      <w:r w:rsidRPr="00E70501">
        <w:t>I</w:t>
      </w:r>
      <w:r w:rsidRPr="00E70501">
        <w:tab/>
        <w:t>Antecedentes</w:t>
      </w:r>
    </w:p>
    <w:p w:rsidR="00147616" w:rsidRPr="00E70501" w:rsidRDefault="009165D7" w:rsidP="00E70501">
      <w:r w:rsidRPr="00E70501">
        <w:t>1</w:t>
      </w:r>
      <w:r w:rsidR="00147616" w:rsidRPr="00E70501">
        <w:tab/>
        <w:t xml:space="preserve">La Dependencia Común de Inspección (DCI) en su informe de 2011 sobre </w:t>
      </w:r>
      <w:r w:rsidR="00E70501">
        <w:t>"</w:t>
      </w:r>
      <w:r w:rsidR="00147616" w:rsidRPr="00E70501">
        <w:t>Marco de Rendición de Cuentas en el Sistema de las Naciones Unidas</w:t>
      </w:r>
      <w:r w:rsidR="00E70501">
        <w:t>"</w:t>
      </w:r>
      <w:r w:rsidR="00147616" w:rsidRPr="00E70501">
        <w:t xml:space="preserve"> (</w:t>
      </w:r>
      <w:proofErr w:type="spellStart"/>
      <w:r w:rsidR="00147616" w:rsidRPr="00E70501">
        <w:fldChar w:fldCharType="begin"/>
      </w:r>
      <w:r w:rsidR="00147616" w:rsidRPr="00E70501">
        <w:instrText xml:space="preserve"> HYPERLINK "https://www.unjiu.org/en/reports-notes/JIU%20Products/JIU_REP_2011_5_English.pdf" </w:instrText>
      </w:r>
      <w:r w:rsidR="00147616" w:rsidRPr="00E70501">
        <w:fldChar w:fldCharType="separate"/>
      </w:r>
      <w:r w:rsidR="00147616" w:rsidRPr="00E70501">
        <w:rPr>
          <w:rStyle w:val="Hyperlink"/>
          <w:szCs w:val="24"/>
        </w:rPr>
        <w:t>JIU</w:t>
      </w:r>
      <w:proofErr w:type="spellEnd"/>
      <w:r w:rsidR="00147616" w:rsidRPr="00E70501">
        <w:rPr>
          <w:rStyle w:val="Hyperlink"/>
          <w:szCs w:val="24"/>
        </w:rPr>
        <w:t>/</w:t>
      </w:r>
      <w:proofErr w:type="spellStart"/>
      <w:r w:rsidR="00147616" w:rsidRPr="00E70501">
        <w:rPr>
          <w:rStyle w:val="Hyperlink"/>
          <w:szCs w:val="24"/>
        </w:rPr>
        <w:t>REP</w:t>
      </w:r>
      <w:proofErr w:type="spellEnd"/>
      <w:r w:rsidR="00147616" w:rsidRPr="00E70501">
        <w:rPr>
          <w:rStyle w:val="Hyperlink"/>
          <w:szCs w:val="24"/>
        </w:rPr>
        <w:t>/2011/5</w:t>
      </w:r>
      <w:r w:rsidR="00147616" w:rsidRPr="00E70501">
        <w:rPr>
          <w:rStyle w:val="Hyperlink"/>
          <w:szCs w:val="24"/>
        </w:rPr>
        <w:fldChar w:fldCharType="end"/>
      </w:r>
      <w:r w:rsidR="00147616" w:rsidRPr="00E70501">
        <w:t>), recomendó que los Jefes Ejecutivos del sistema de las Naciones Unidas desarrollen marcos de rendición de cuentas con carácter prioritario. El examen de la gestión de la UI</w:t>
      </w:r>
      <w:r w:rsidR="00E70501">
        <w:t xml:space="preserve">T realizado por la DCI en 2015 </w:t>
      </w:r>
      <w:r w:rsidR="00147616" w:rsidRPr="00E70501">
        <w:t>(</w:t>
      </w:r>
      <w:proofErr w:type="spellStart"/>
      <w:r w:rsidR="00147616" w:rsidRPr="00E70501">
        <w:fldChar w:fldCharType="begin"/>
      </w:r>
      <w:r w:rsidR="00147616" w:rsidRPr="00E70501">
        <w:instrText xml:space="preserve"> HYPERLINK "https://www.unjiu.org/en/reports-notes/JIU%20Products/JIU_REP_2016_1_English.pdf" </w:instrText>
      </w:r>
      <w:r w:rsidR="00147616" w:rsidRPr="00E70501">
        <w:fldChar w:fldCharType="separate"/>
      </w:r>
      <w:r w:rsidR="00147616" w:rsidRPr="00E70501">
        <w:rPr>
          <w:rStyle w:val="Hyperlink"/>
          <w:szCs w:val="24"/>
        </w:rPr>
        <w:t>JIU</w:t>
      </w:r>
      <w:proofErr w:type="spellEnd"/>
      <w:r w:rsidR="00147616" w:rsidRPr="00E70501">
        <w:rPr>
          <w:rStyle w:val="Hyperlink"/>
          <w:szCs w:val="24"/>
        </w:rPr>
        <w:t>/</w:t>
      </w:r>
      <w:proofErr w:type="spellStart"/>
      <w:r w:rsidR="00147616" w:rsidRPr="00E70501">
        <w:rPr>
          <w:rStyle w:val="Hyperlink"/>
          <w:szCs w:val="24"/>
        </w:rPr>
        <w:t>REP</w:t>
      </w:r>
      <w:proofErr w:type="spellEnd"/>
      <w:r w:rsidR="00147616" w:rsidRPr="00E70501">
        <w:rPr>
          <w:rStyle w:val="Hyperlink"/>
          <w:szCs w:val="24"/>
        </w:rPr>
        <w:t>/2016/1</w:t>
      </w:r>
      <w:r w:rsidR="00147616" w:rsidRPr="00E70501">
        <w:rPr>
          <w:rStyle w:val="Hyperlink"/>
          <w:szCs w:val="24"/>
        </w:rPr>
        <w:fldChar w:fldCharType="end"/>
      </w:r>
      <w:r w:rsidR="00147616" w:rsidRPr="00E70501">
        <w:t xml:space="preserve">) incluye una recomendación oficial, aceptada por la dirección de la UIT, para que el </w:t>
      </w:r>
      <w:r w:rsidR="00E70501">
        <w:t>"</w:t>
      </w:r>
      <w:r w:rsidR="00147616" w:rsidRPr="00E70501">
        <w:t>Secretario General siga desarrollando y consolidando los elementos fundamentales de la rendición de cuentas en un Marco Autónomo de Rendición de Cuentas y lo presente al Consejo en su reunión de 2017, e informe anualmente de su aplicación</w:t>
      </w:r>
      <w:r w:rsidR="00E70501">
        <w:t>"</w:t>
      </w:r>
      <w:r w:rsidR="00147616" w:rsidRPr="00E70501">
        <w:t>.</w:t>
      </w:r>
    </w:p>
    <w:p w:rsidR="00147616" w:rsidRPr="00E70501" w:rsidRDefault="00147616" w:rsidP="00147616">
      <w:pPr>
        <w:pStyle w:val="Heading1"/>
      </w:pPr>
      <w:r w:rsidRPr="00E70501">
        <w:lastRenderedPageBreak/>
        <w:t>II</w:t>
      </w:r>
      <w:r w:rsidRPr="00E70501">
        <w:tab/>
        <w:t>Introducción</w:t>
      </w:r>
    </w:p>
    <w:p w:rsidR="00147616" w:rsidRPr="00E70501" w:rsidRDefault="009165D7" w:rsidP="00E70501">
      <w:r w:rsidRPr="00E70501">
        <w:t>2</w:t>
      </w:r>
      <w:r w:rsidR="00147616" w:rsidRPr="00E70501">
        <w:tab/>
        <w:t xml:space="preserve">El concepto de rendición de cuentas se define en la </w:t>
      </w:r>
      <w:hyperlink r:id="rId11" w:history="1">
        <w:r w:rsidR="00147616" w:rsidRPr="00E70501">
          <w:rPr>
            <w:rStyle w:val="Hyperlink"/>
            <w:szCs w:val="24"/>
          </w:rPr>
          <w:t>Resolución 64/259</w:t>
        </w:r>
      </w:hyperlink>
      <w:r w:rsidR="00147616" w:rsidRPr="00E70501">
        <w:t xml:space="preserve"> de la Asamblea General de las Naciones Unidas del siguiente modo: </w:t>
      </w:r>
      <w:r w:rsidR="00E70501" w:rsidRPr="00E70501">
        <w:rPr>
          <w:i/>
          <w:iCs/>
        </w:rPr>
        <w:t>"</w:t>
      </w:r>
      <w:r w:rsidR="00147616" w:rsidRPr="00E70501">
        <w:rPr>
          <w:i/>
          <w:iCs/>
        </w:rPr>
        <w:t>La rendición de cuentas es la obligación que tienen la Secretaría y sus funcionarios de responder de todas las decisiones tomadas y las medidas adoptadas por ellos, y de responsabilizarse por cumplir sus compromisos, sin reserva ni excepción</w:t>
      </w:r>
      <w:r w:rsidR="00E70501">
        <w:rPr>
          <w:i/>
          <w:iCs/>
        </w:rPr>
        <w:t>"</w:t>
      </w:r>
      <w:r w:rsidR="00F96EB4">
        <w:t>.</w:t>
      </w:r>
    </w:p>
    <w:p w:rsidR="00147616" w:rsidRPr="00E70501" w:rsidRDefault="009165D7" w:rsidP="009165D7">
      <w:r w:rsidRPr="00E70501">
        <w:t>"</w:t>
      </w:r>
      <w:r w:rsidR="00147616" w:rsidRPr="00E70501">
        <w:t>La rendición de cuentas incluye el logro de objetivos y resultados de alta calidad de manera oportuna y eficaz en función de los costos, en la aplicación y el cumplimiento plenos de todos los mandatos conferidos a la Secretaría por los órganos intergubernamentales de las Naciones Unidas y otros órganos subsidiarios establecidos por ellos de conformidad con la totalidad de las resoluciones, los reglamentos, las reglas y las normas éticas, la presentación de informes veraces, objetivos, precisos y oportunos sobre los resultados de la ejecución, la administración responsable de fondos y recursos, todos los aspectos del desempeño, incluido un sistema claramente definido de recompensas y sanciones, y con el debido reconocimiento de la importante función que compete a los órganos de supervisión y en la aplicación íntegra de las recomendaciones aceptadas</w:t>
      </w:r>
      <w:r w:rsidRPr="00E70501">
        <w:t>"</w:t>
      </w:r>
      <w:r w:rsidR="00147616" w:rsidRPr="00E70501">
        <w:t>.</w:t>
      </w:r>
    </w:p>
    <w:p w:rsidR="00147616" w:rsidRPr="00E70501" w:rsidRDefault="00147616" w:rsidP="00147616">
      <w:pPr>
        <w:pStyle w:val="Heading1"/>
      </w:pPr>
      <w:r w:rsidRPr="00E70501">
        <w:t>III</w:t>
      </w:r>
      <w:r w:rsidRPr="00E70501">
        <w:tab/>
        <w:t>El marco de rendición de cuentas de la UIT</w:t>
      </w:r>
    </w:p>
    <w:p w:rsidR="00147616" w:rsidRPr="00E70501" w:rsidRDefault="00147616" w:rsidP="009165D7">
      <w:pPr>
        <w:rPr>
          <w:b/>
          <w:bCs/>
        </w:rPr>
      </w:pPr>
      <w:r w:rsidRPr="00E70501">
        <w:t>3</w:t>
      </w:r>
      <w:r w:rsidRPr="00E70501">
        <w:tab/>
        <w:t xml:space="preserve">La dirección de la UIT se inspira en el principio del cumplimiento del mandato de la Unión con total transparencia. Responde ante los miembros de la Unión. En el transcurso de los años, la UIT ha desarrollado elementos fundamentales de rendición de cuentas entre los que figuran los siguientes: instrumentos </w:t>
      </w:r>
      <w:r w:rsidR="00E70501">
        <w:t xml:space="preserve">de delegación de atribuciones; </w:t>
      </w:r>
      <w:r w:rsidRPr="00E70501">
        <w:t>política de declaración de la situación financiera</w:t>
      </w:r>
      <w:r w:rsidR="00E70501">
        <w:t xml:space="preserve">; </w:t>
      </w:r>
      <w:r w:rsidRPr="00E70501">
        <w:t>carta de representación interna de la UIT; herramientas de gestión del desempeño y gestión de riesgos en la planificación estratégica; un marco de resultados que facilita la Gestión Basada en los Resultados (</w:t>
      </w:r>
      <w:proofErr w:type="spellStart"/>
      <w:r w:rsidRPr="00E70501">
        <w:t>GBR</w:t>
      </w:r>
      <w:proofErr w:type="spellEnd"/>
      <w:r w:rsidRPr="00E70501">
        <w:t>); y la creación del Comité Asesor Independiente sobre la Gestión</w:t>
      </w:r>
      <w:r w:rsidR="00F96EB4">
        <w:t> </w:t>
      </w:r>
      <w:r w:rsidRPr="00E70501">
        <w:t>(</w:t>
      </w:r>
      <w:proofErr w:type="spellStart"/>
      <w:r w:rsidRPr="00E70501">
        <w:t>CAIG</w:t>
      </w:r>
      <w:proofErr w:type="spellEnd"/>
      <w:r w:rsidRPr="00E70501">
        <w:t>). Además, en su calidad de organismo especializado del sistema de las Naciones Unidas, la UIT puede decidir</w:t>
      </w:r>
      <w:r w:rsidR="00E70501">
        <w:t xml:space="preserve"> rendir cuentas</w:t>
      </w:r>
      <w:r w:rsidRPr="00E70501">
        <w:t xml:space="preserve"> en un marco común para todo el </w:t>
      </w:r>
      <w:r w:rsidR="00F96EB4">
        <w:t>sistema de las Naciones Unidas.</w:t>
      </w:r>
    </w:p>
    <w:p w:rsidR="00147616" w:rsidRPr="00E70501" w:rsidRDefault="00147616" w:rsidP="009165D7">
      <w:r w:rsidRPr="00E70501">
        <w:t>4</w:t>
      </w:r>
      <w:r w:rsidRPr="00E70501">
        <w:tab/>
        <w:t>El propósito del presente documento es refundir los elementos fundamentales de rendición de cuentas existentes, en un Marco de rendición de cuentas (</w:t>
      </w:r>
      <w:proofErr w:type="spellStart"/>
      <w:r w:rsidRPr="00E70501">
        <w:t>MRC</w:t>
      </w:r>
      <w:proofErr w:type="spellEnd"/>
      <w:r w:rsidRPr="00E70501">
        <w:t>) común a toda la UIT así como incorporar los elementos de dicho Marco que puedan haberse omitido (de conformidad con el Informe 2011/5 de la DCI).</w:t>
      </w:r>
    </w:p>
    <w:p w:rsidR="00147616" w:rsidRPr="00E70501" w:rsidRDefault="00147616" w:rsidP="009165D7">
      <w:pPr>
        <w:spacing w:after="360"/>
      </w:pPr>
      <w:r w:rsidRPr="00E70501">
        <w:t>5</w:t>
      </w:r>
      <w:r w:rsidRPr="00E70501">
        <w:tab/>
        <w:t>El Marco de rendición de cuentas de la UIT se apoya en tres pilares principales que se fundamentan en la estructura presentada en el informe de la DCI, como se indica a continuación. En la Sección IV del presente documento se describen cada uno de los tres pilares mencionados.</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147616" w:rsidRPr="00E70501" w:rsidTr="00E071B7">
        <w:tc>
          <w:tcPr>
            <w:tcW w:w="3116" w:type="dxa"/>
            <w:shd w:val="clear" w:color="auto" w:fill="365F91" w:themeFill="accent1" w:themeFillShade="BF"/>
          </w:tcPr>
          <w:p w:rsidR="00147616" w:rsidRPr="00E70501" w:rsidRDefault="00147616" w:rsidP="00AF2F70">
            <w:pPr>
              <w:spacing w:before="40" w:after="40"/>
              <w:jc w:val="center"/>
              <w:rPr>
                <w:b/>
                <w:bCs/>
                <w:color w:val="FFFFFF" w:themeColor="background1"/>
                <w:sz w:val="20"/>
                <w:szCs w:val="20"/>
              </w:rPr>
            </w:pPr>
            <w:r w:rsidRPr="00E70501">
              <w:rPr>
                <w:b/>
                <w:bCs/>
                <w:color w:val="FFFFFF" w:themeColor="background1"/>
                <w:sz w:val="20"/>
                <w:szCs w:val="20"/>
              </w:rPr>
              <w:t>PILAR 1</w:t>
            </w:r>
          </w:p>
          <w:p w:rsidR="00147616" w:rsidRPr="00E70501" w:rsidRDefault="00147616" w:rsidP="007A6C7A">
            <w:pPr>
              <w:spacing w:before="40" w:after="40"/>
              <w:jc w:val="center"/>
              <w:rPr>
                <w:b/>
                <w:bCs/>
                <w:color w:val="FFFFFF" w:themeColor="background1"/>
                <w:sz w:val="20"/>
                <w:szCs w:val="20"/>
              </w:rPr>
            </w:pPr>
            <w:r w:rsidRPr="00E70501">
              <w:rPr>
                <w:b/>
                <w:bCs/>
                <w:color w:val="FFFFFF" w:themeColor="background1"/>
                <w:sz w:val="20"/>
                <w:szCs w:val="20"/>
              </w:rPr>
              <w:t>Pacto político con los Estados Miembros, Miembros de los Sectores, Asociados, Sectores académicos y usuarios de los Servicios de la UIT</w:t>
            </w:r>
          </w:p>
        </w:tc>
        <w:tc>
          <w:tcPr>
            <w:tcW w:w="3117" w:type="dxa"/>
            <w:shd w:val="clear" w:color="auto" w:fill="365F91" w:themeFill="accent1" w:themeFillShade="BF"/>
          </w:tcPr>
          <w:p w:rsidR="00147616" w:rsidRPr="00E70501" w:rsidRDefault="00147616" w:rsidP="00AF2F70">
            <w:pPr>
              <w:spacing w:before="40" w:after="40"/>
              <w:jc w:val="center"/>
              <w:rPr>
                <w:b/>
                <w:bCs/>
                <w:color w:val="FFFFFF" w:themeColor="background1"/>
                <w:sz w:val="20"/>
                <w:szCs w:val="20"/>
              </w:rPr>
            </w:pPr>
            <w:r w:rsidRPr="00E70501">
              <w:rPr>
                <w:b/>
                <w:bCs/>
                <w:color w:val="FFFFFF" w:themeColor="background1"/>
                <w:sz w:val="20"/>
                <w:szCs w:val="20"/>
              </w:rPr>
              <w:t>PILAR 2</w:t>
            </w:r>
          </w:p>
          <w:p w:rsidR="00147616" w:rsidRPr="00E70501" w:rsidRDefault="00147616" w:rsidP="00AF2F70">
            <w:pPr>
              <w:spacing w:before="40" w:after="40"/>
              <w:jc w:val="center"/>
              <w:rPr>
                <w:b/>
                <w:bCs/>
                <w:color w:val="FFFFFF" w:themeColor="background1"/>
                <w:sz w:val="20"/>
                <w:szCs w:val="20"/>
              </w:rPr>
            </w:pPr>
            <w:r w:rsidRPr="00E70501">
              <w:rPr>
                <w:b/>
                <w:bCs/>
                <w:color w:val="FFFFFF" w:themeColor="background1"/>
                <w:sz w:val="20"/>
                <w:szCs w:val="20"/>
              </w:rPr>
              <w:t>Controles internos y gestión de riesgos</w:t>
            </w:r>
          </w:p>
        </w:tc>
        <w:tc>
          <w:tcPr>
            <w:tcW w:w="3117" w:type="dxa"/>
            <w:shd w:val="clear" w:color="auto" w:fill="365F91" w:themeFill="accent1" w:themeFillShade="BF"/>
          </w:tcPr>
          <w:p w:rsidR="00147616" w:rsidRPr="00E70501" w:rsidRDefault="00147616" w:rsidP="00AF2F70">
            <w:pPr>
              <w:spacing w:before="40" w:after="40"/>
              <w:jc w:val="center"/>
              <w:rPr>
                <w:b/>
                <w:bCs/>
                <w:color w:val="FFFFFF" w:themeColor="background1"/>
                <w:sz w:val="20"/>
                <w:szCs w:val="20"/>
              </w:rPr>
            </w:pPr>
            <w:r w:rsidRPr="00E70501">
              <w:rPr>
                <w:b/>
                <w:bCs/>
                <w:color w:val="FFFFFF" w:themeColor="background1"/>
                <w:sz w:val="20"/>
                <w:szCs w:val="20"/>
              </w:rPr>
              <w:t>PILAR 3</w:t>
            </w:r>
          </w:p>
          <w:p w:rsidR="00147616" w:rsidRPr="00E70501" w:rsidRDefault="00147616" w:rsidP="007A6C7A">
            <w:pPr>
              <w:spacing w:before="40" w:after="40"/>
              <w:jc w:val="center"/>
              <w:rPr>
                <w:b/>
                <w:bCs/>
                <w:color w:val="FFFFFF" w:themeColor="background1"/>
                <w:sz w:val="20"/>
                <w:szCs w:val="20"/>
              </w:rPr>
            </w:pPr>
            <w:r w:rsidRPr="00E70501">
              <w:rPr>
                <w:b/>
                <w:bCs/>
                <w:color w:val="FFFFFF" w:themeColor="background1"/>
                <w:sz w:val="20"/>
                <w:szCs w:val="20"/>
              </w:rPr>
              <w:t>Mecanismos de reclamación y de</w:t>
            </w:r>
          </w:p>
          <w:p w:rsidR="00147616" w:rsidRPr="00E70501" w:rsidRDefault="00147616" w:rsidP="007A6C7A">
            <w:pPr>
              <w:spacing w:before="40" w:after="40"/>
              <w:jc w:val="center"/>
              <w:rPr>
                <w:b/>
                <w:bCs/>
                <w:color w:val="FFFFFF" w:themeColor="background1"/>
                <w:sz w:val="20"/>
                <w:szCs w:val="20"/>
              </w:rPr>
            </w:pPr>
            <w:r w:rsidRPr="00E70501">
              <w:rPr>
                <w:b/>
                <w:bCs/>
                <w:color w:val="FFFFFF" w:themeColor="background1"/>
                <w:sz w:val="20"/>
                <w:szCs w:val="20"/>
              </w:rPr>
              <w:t>respuesta</w:t>
            </w:r>
          </w:p>
        </w:tc>
      </w:tr>
      <w:tr w:rsidR="00147616" w:rsidRPr="00E70501" w:rsidTr="00E071B7">
        <w:tc>
          <w:tcPr>
            <w:tcW w:w="3116" w:type="dxa"/>
            <w:shd w:val="clear" w:color="auto" w:fill="B8CCE4" w:themeFill="accent1" w:themeFillTint="66"/>
          </w:tcPr>
          <w:p w:rsidR="00147616" w:rsidRPr="00E70501" w:rsidRDefault="00147616" w:rsidP="00147616">
            <w:pPr>
              <w:pStyle w:val="ListParagraph"/>
              <w:numPr>
                <w:ilvl w:val="0"/>
                <w:numId w:val="1"/>
              </w:numPr>
              <w:snapToGrid w:val="0"/>
              <w:spacing w:before="40" w:after="0" w:line="240" w:lineRule="auto"/>
              <w:contextualSpacing w:val="0"/>
              <w:rPr>
                <w:sz w:val="20"/>
                <w:szCs w:val="20"/>
                <w:lang w:val="es-ES_tradnl"/>
              </w:rPr>
            </w:pPr>
            <w:r w:rsidRPr="00E70501">
              <w:rPr>
                <w:sz w:val="20"/>
                <w:szCs w:val="20"/>
                <w:lang w:val="es-ES_tradnl"/>
              </w:rPr>
              <w:t>Instrumentos básicos de la UIT, acuerdos y tratados pertinentes</w:t>
            </w:r>
          </w:p>
          <w:p w:rsidR="00147616" w:rsidRPr="00E70501" w:rsidRDefault="00147616" w:rsidP="00147616">
            <w:pPr>
              <w:pStyle w:val="ListParagraph"/>
              <w:numPr>
                <w:ilvl w:val="0"/>
                <w:numId w:val="1"/>
              </w:numPr>
              <w:snapToGrid w:val="0"/>
              <w:spacing w:after="40" w:line="240" w:lineRule="auto"/>
              <w:contextualSpacing w:val="0"/>
              <w:rPr>
                <w:sz w:val="20"/>
                <w:szCs w:val="20"/>
                <w:lang w:val="es-ES_tradnl"/>
              </w:rPr>
            </w:pPr>
            <w:r w:rsidRPr="00E70501">
              <w:rPr>
                <w:sz w:val="20"/>
                <w:szCs w:val="20"/>
                <w:lang w:val="es-ES_tradnl"/>
              </w:rPr>
              <w:t>Marco de resultados de la UIT</w:t>
            </w:r>
          </w:p>
        </w:tc>
        <w:tc>
          <w:tcPr>
            <w:tcW w:w="3117" w:type="dxa"/>
            <w:shd w:val="clear" w:color="auto" w:fill="B8CCE4" w:themeFill="accent1" w:themeFillTint="66"/>
          </w:tcPr>
          <w:p w:rsidR="00147616" w:rsidRPr="00E70501" w:rsidRDefault="00147616" w:rsidP="00147616">
            <w:pPr>
              <w:pStyle w:val="ListParagraph"/>
              <w:numPr>
                <w:ilvl w:val="0"/>
                <w:numId w:val="1"/>
              </w:numPr>
              <w:snapToGrid w:val="0"/>
              <w:spacing w:before="40" w:after="0" w:line="240" w:lineRule="auto"/>
              <w:contextualSpacing w:val="0"/>
              <w:rPr>
                <w:sz w:val="20"/>
                <w:szCs w:val="20"/>
                <w:lang w:val="es-ES_tradnl"/>
              </w:rPr>
            </w:pPr>
            <w:r w:rsidRPr="00E70501">
              <w:rPr>
                <w:sz w:val="20"/>
                <w:szCs w:val="20"/>
                <w:lang w:val="es-ES_tradnl"/>
              </w:rPr>
              <w:t>Entorno de control</w:t>
            </w:r>
          </w:p>
          <w:p w:rsidR="00147616" w:rsidRPr="00E70501" w:rsidRDefault="00147616" w:rsidP="00147616">
            <w:pPr>
              <w:pStyle w:val="ListParagraph"/>
              <w:numPr>
                <w:ilvl w:val="0"/>
                <w:numId w:val="1"/>
              </w:numPr>
              <w:snapToGrid w:val="0"/>
              <w:spacing w:after="0" w:line="240" w:lineRule="auto"/>
              <w:contextualSpacing w:val="0"/>
              <w:rPr>
                <w:sz w:val="20"/>
                <w:szCs w:val="20"/>
                <w:lang w:val="es-ES_tradnl"/>
              </w:rPr>
            </w:pPr>
            <w:r w:rsidRPr="00E70501">
              <w:rPr>
                <w:sz w:val="20"/>
                <w:szCs w:val="20"/>
                <w:lang w:val="es-ES_tradnl"/>
              </w:rPr>
              <w:t>Actividades de control</w:t>
            </w:r>
          </w:p>
          <w:p w:rsidR="00147616" w:rsidRPr="00E70501" w:rsidRDefault="00147616" w:rsidP="00147616">
            <w:pPr>
              <w:pStyle w:val="ListParagraph"/>
              <w:numPr>
                <w:ilvl w:val="0"/>
                <w:numId w:val="1"/>
              </w:numPr>
              <w:snapToGrid w:val="0"/>
              <w:spacing w:after="0" w:line="240" w:lineRule="auto"/>
              <w:contextualSpacing w:val="0"/>
              <w:rPr>
                <w:sz w:val="20"/>
                <w:szCs w:val="20"/>
                <w:lang w:val="es-ES_tradnl"/>
              </w:rPr>
            </w:pPr>
            <w:r w:rsidRPr="00E70501">
              <w:rPr>
                <w:sz w:val="20"/>
                <w:szCs w:val="20"/>
                <w:lang w:val="es-ES_tradnl"/>
              </w:rPr>
              <w:t>Evaluación del riesgo</w:t>
            </w:r>
          </w:p>
          <w:p w:rsidR="00147616" w:rsidRPr="00E70501" w:rsidRDefault="00147616" w:rsidP="00147616">
            <w:pPr>
              <w:pStyle w:val="ListParagraph"/>
              <w:numPr>
                <w:ilvl w:val="0"/>
                <w:numId w:val="1"/>
              </w:numPr>
              <w:snapToGrid w:val="0"/>
              <w:spacing w:after="40" w:line="240" w:lineRule="auto"/>
              <w:contextualSpacing w:val="0"/>
              <w:rPr>
                <w:sz w:val="20"/>
                <w:szCs w:val="20"/>
                <w:lang w:val="es-ES_tradnl"/>
              </w:rPr>
            </w:pPr>
            <w:r w:rsidRPr="00E70501">
              <w:rPr>
                <w:sz w:val="20"/>
                <w:szCs w:val="20"/>
                <w:lang w:val="es-ES_tradnl"/>
              </w:rPr>
              <w:t xml:space="preserve">Supervisión </w:t>
            </w:r>
          </w:p>
        </w:tc>
        <w:tc>
          <w:tcPr>
            <w:tcW w:w="3117" w:type="dxa"/>
            <w:shd w:val="clear" w:color="auto" w:fill="B8CCE4" w:themeFill="accent1" w:themeFillTint="66"/>
          </w:tcPr>
          <w:p w:rsidR="00147616" w:rsidRPr="00E70501" w:rsidRDefault="00147616" w:rsidP="00147616">
            <w:pPr>
              <w:pStyle w:val="ListParagraph"/>
              <w:numPr>
                <w:ilvl w:val="0"/>
                <w:numId w:val="2"/>
              </w:numPr>
              <w:snapToGrid w:val="0"/>
              <w:spacing w:before="40" w:after="0" w:line="240" w:lineRule="auto"/>
              <w:ind w:left="317" w:hanging="284"/>
              <w:contextualSpacing w:val="0"/>
              <w:jc w:val="both"/>
              <w:rPr>
                <w:sz w:val="20"/>
                <w:szCs w:val="20"/>
                <w:lang w:val="es-ES_tradnl"/>
              </w:rPr>
            </w:pPr>
            <w:r w:rsidRPr="00E70501">
              <w:rPr>
                <w:sz w:val="20"/>
                <w:szCs w:val="20"/>
                <w:lang w:val="es-ES_tradnl"/>
              </w:rPr>
              <w:t>Adquisiciones</w:t>
            </w:r>
          </w:p>
          <w:p w:rsidR="00147616" w:rsidRPr="00E70501" w:rsidRDefault="00147616" w:rsidP="00147616">
            <w:pPr>
              <w:pStyle w:val="ListParagraph"/>
              <w:numPr>
                <w:ilvl w:val="0"/>
                <w:numId w:val="2"/>
              </w:numPr>
              <w:snapToGrid w:val="0"/>
              <w:spacing w:after="0" w:line="240" w:lineRule="auto"/>
              <w:ind w:left="317" w:hanging="284"/>
              <w:contextualSpacing w:val="0"/>
              <w:jc w:val="both"/>
              <w:rPr>
                <w:sz w:val="20"/>
                <w:szCs w:val="20"/>
                <w:lang w:val="es-ES_tradnl"/>
              </w:rPr>
            </w:pPr>
            <w:r w:rsidRPr="00E70501">
              <w:rPr>
                <w:sz w:val="20"/>
                <w:szCs w:val="20"/>
                <w:lang w:val="es-ES_tradnl"/>
              </w:rPr>
              <w:t>Personal de la UIT</w:t>
            </w:r>
          </w:p>
          <w:p w:rsidR="00147616" w:rsidRPr="00E70501" w:rsidRDefault="00147616" w:rsidP="00147616">
            <w:pPr>
              <w:pStyle w:val="ListParagraph"/>
              <w:numPr>
                <w:ilvl w:val="0"/>
                <w:numId w:val="2"/>
              </w:numPr>
              <w:snapToGrid w:val="0"/>
              <w:spacing w:after="40" w:line="240" w:lineRule="auto"/>
              <w:ind w:left="317" w:hanging="284"/>
              <w:contextualSpacing w:val="0"/>
              <w:jc w:val="both"/>
              <w:rPr>
                <w:sz w:val="20"/>
                <w:szCs w:val="20"/>
                <w:lang w:val="es-ES_tradnl"/>
              </w:rPr>
            </w:pPr>
            <w:r w:rsidRPr="00E70501">
              <w:rPr>
                <w:sz w:val="20"/>
                <w:szCs w:val="20"/>
                <w:lang w:val="es-ES_tradnl"/>
              </w:rPr>
              <w:t>Miembros y demás usuarios de los servicios de la UIT</w:t>
            </w:r>
          </w:p>
        </w:tc>
      </w:tr>
    </w:tbl>
    <w:p w:rsidR="00147616" w:rsidRPr="00E70501" w:rsidRDefault="00147616" w:rsidP="009165D7">
      <w:r w:rsidRPr="00E70501">
        <w:lastRenderedPageBreak/>
        <w:t>6</w:t>
      </w:r>
      <w:r w:rsidRPr="00E70501">
        <w:tab/>
        <w:t>Este marco pretende fomentar una cultura de rendición de cuentas y transparencia en toda la Unión, tomando como base: una clara orientación por parte de los Estados Miembros; su adecuada implementación (planificación, gestión y presentación de informes) por la Secretaría; la habilitación de mecanismos adecuados de control/supervisión externos e internos; y los correspondientes mecanismos de reclamación y respuesta.</w:t>
      </w:r>
    </w:p>
    <w:p w:rsidR="00147616" w:rsidRPr="00E70501" w:rsidRDefault="009165D7" w:rsidP="009165D7">
      <w:r w:rsidRPr="00E70501">
        <w:t>7</w:t>
      </w:r>
      <w:r w:rsidR="00147616" w:rsidRPr="00E70501">
        <w:tab/>
        <w:t xml:space="preserve">El </w:t>
      </w:r>
      <w:proofErr w:type="spellStart"/>
      <w:r w:rsidR="00147616" w:rsidRPr="00E70501">
        <w:t>MRC</w:t>
      </w:r>
      <w:proofErr w:type="spellEnd"/>
      <w:r w:rsidR="00147616" w:rsidRPr="00E70501">
        <w:t xml:space="preserve"> de la UIT adopta cinco principios fundamentales que contribuyen a describir y a orientar una cultura de rendición de cuentas (en sintonía con el Informe de la DCI) y tiene por objeto implementarlos plenamente</w:t>
      </w:r>
      <w:r w:rsidR="00E70501">
        <w:t xml:space="preserve"> </w:t>
      </w:r>
      <w:r w:rsidR="00147616" w:rsidRPr="00E70501">
        <w:t>en la Unión, como se indica a continuación:</w:t>
      </w:r>
    </w:p>
    <w:p w:rsidR="00147616" w:rsidRPr="00E70501" w:rsidRDefault="00C55FF1" w:rsidP="00C55FF1">
      <w:pPr>
        <w:pStyle w:val="enumlev1"/>
      </w:pPr>
      <w:r w:rsidRPr="00E70501">
        <w:t>a)</w:t>
      </w:r>
      <w:r w:rsidRPr="00E70501">
        <w:tab/>
      </w:r>
      <w:r w:rsidR="00147616" w:rsidRPr="00E70501">
        <w:t>Liderazgo mediante los valores y el ejemplo – rendición de cuentas como objetivo prioritario en el funcionamiento cotidiano sobre la base del más alto grado de integridad del personal directivo superior.</w:t>
      </w:r>
    </w:p>
    <w:p w:rsidR="00147616" w:rsidRPr="00E70501" w:rsidRDefault="00C55FF1" w:rsidP="00C55FF1">
      <w:pPr>
        <w:pStyle w:val="enumlev1"/>
        <w:rPr>
          <w:szCs w:val="24"/>
        </w:rPr>
      </w:pPr>
      <w:r w:rsidRPr="00E70501">
        <w:rPr>
          <w:szCs w:val="24"/>
        </w:rPr>
        <w:t>b)</w:t>
      </w:r>
      <w:r w:rsidRPr="00E70501">
        <w:rPr>
          <w:szCs w:val="24"/>
        </w:rPr>
        <w:tab/>
      </w:r>
      <w:r w:rsidR="00147616" w:rsidRPr="00E70501">
        <w:rPr>
          <w:szCs w:val="24"/>
        </w:rPr>
        <w:t>Liderazgo mediante la información y la comunicación – rendición de cuentas a través de procesos transparentes de adopción de decisiones.</w:t>
      </w:r>
    </w:p>
    <w:p w:rsidR="00147616" w:rsidRPr="00E70501" w:rsidRDefault="00C55FF1" w:rsidP="00C55FF1">
      <w:pPr>
        <w:pStyle w:val="enumlev1"/>
        <w:rPr>
          <w:szCs w:val="24"/>
        </w:rPr>
      </w:pPr>
      <w:r w:rsidRPr="00E70501">
        <w:rPr>
          <w:szCs w:val="24"/>
        </w:rPr>
        <w:t>c)</w:t>
      </w:r>
      <w:r w:rsidRPr="00E70501">
        <w:rPr>
          <w:szCs w:val="24"/>
        </w:rPr>
        <w:tab/>
      </w:r>
      <w:r w:rsidR="00147616" w:rsidRPr="00E70501">
        <w:rPr>
          <w:szCs w:val="24"/>
        </w:rPr>
        <w:t>Liderazgo mediante la motivación – rendición de cuentas a través del reconocimiento de los logros del personal.</w:t>
      </w:r>
    </w:p>
    <w:p w:rsidR="00147616" w:rsidRPr="00E70501" w:rsidRDefault="00C55FF1" w:rsidP="00C55FF1">
      <w:pPr>
        <w:pStyle w:val="enumlev1"/>
        <w:rPr>
          <w:szCs w:val="24"/>
        </w:rPr>
      </w:pPr>
      <w:r w:rsidRPr="00E70501">
        <w:rPr>
          <w:szCs w:val="24"/>
        </w:rPr>
        <w:t>d)</w:t>
      </w:r>
      <w:r w:rsidRPr="00E70501">
        <w:rPr>
          <w:szCs w:val="24"/>
        </w:rPr>
        <w:tab/>
      </w:r>
      <w:r w:rsidR="00147616" w:rsidRPr="00E70501">
        <w:rPr>
          <w:szCs w:val="24"/>
        </w:rPr>
        <w:t>Liderazgo mediante la orientación y la disciplina – política de tolerancia cero a todos los niveles para los comportamientos inaceptables.</w:t>
      </w:r>
    </w:p>
    <w:p w:rsidR="00147616" w:rsidRPr="00E70501" w:rsidRDefault="00C55FF1" w:rsidP="00C55FF1">
      <w:pPr>
        <w:pStyle w:val="enumlev1"/>
        <w:rPr>
          <w:szCs w:val="24"/>
        </w:rPr>
      </w:pPr>
      <w:r w:rsidRPr="00E70501">
        <w:rPr>
          <w:szCs w:val="24"/>
        </w:rPr>
        <w:t>e)</w:t>
      </w:r>
      <w:r w:rsidRPr="00E70501">
        <w:rPr>
          <w:szCs w:val="24"/>
        </w:rPr>
        <w:tab/>
      </w:r>
      <w:r w:rsidR="00147616" w:rsidRPr="00E70501">
        <w:rPr>
          <w:szCs w:val="24"/>
        </w:rPr>
        <w:t>Liderazgo mediante la participación – diálogo abierto para alentar la rendición de cuentas mutua.</w:t>
      </w:r>
    </w:p>
    <w:p w:rsidR="00147616" w:rsidRPr="00E70501" w:rsidRDefault="00147616" w:rsidP="00147616">
      <w:pPr>
        <w:pStyle w:val="Heading1"/>
      </w:pPr>
      <w:r w:rsidRPr="00E70501">
        <w:t>IV</w:t>
      </w:r>
      <w:r w:rsidRPr="00E70501">
        <w:tab/>
        <w:t>Pilares del Marco de Rendición de Cuentas de la UIT</w:t>
      </w:r>
    </w:p>
    <w:p w:rsidR="00147616" w:rsidRPr="00E70501" w:rsidRDefault="00147616" w:rsidP="00C55FF1">
      <w:pPr>
        <w:pStyle w:val="Headingb"/>
        <w:tabs>
          <w:tab w:val="clear" w:pos="567"/>
        </w:tabs>
        <w:ind w:left="0" w:firstLine="0"/>
      </w:pPr>
      <w:r w:rsidRPr="00E70501">
        <w:t>Pilar 1 - Pacto político con los Estados Miembros, Miembros de los Sectores, Asociados, Sectores académicos y usuarios de los Servicios de la UIT</w:t>
      </w:r>
    </w:p>
    <w:p w:rsidR="00147616" w:rsidRPr="00E70501" w:rsidRDefault="00147616" w:rsidP="00C55FF1">
      <w:r w:rsidRPr="00E70501">
        <w:t>8</w:t>
      </w:r>
      <w:r w:rsidRPr="00E70501">
        <w:tab/>
        <w:t xml:space="preserve">El primer pilar del </w:t>
      </w:r>
      <w:proofErr w:type="spellStart"/>
      <w:r w:rsidRPr="00E70501">
        <w:t>MRC</w:t>
      </w:r>
      <w:proofErr w:type="spellEnd"/>
      <w:r w:rsidRPr="00E70501">
        <w:t xml:space="preserve"> de la UIT radica en la rendición de cuentas mutua – la alianza con sus miembros. Este acuerdo (pacto político) está integrado en los instrumentos relacionados a continuación, y se supervisa a través del</w:t>
      </w:r>
      <w:r w:rsidR="00F96EB4">
        <w:t xml:space="preserve"> Marco de Resultados de la UIT:</w:t>
      </w:r>
    </w:p>
    <w:p w:rsidR="00147616" w:rsidRPr="00E70501" w:rsidRDefault="00C55FF1" w:rsidP="00C55FF1">
      <w:pPr>
        <w:pStyle w:val="enumlev1"/>
        <w:rPr>
          <w:szCs w:val="24"/>
        </w:rPr>
      </w:pPr>
      <w:r w:rsidRPr="00E70501">
        <w:rPr>
          <w:szCs w:val="24"/>
        </w:rPr>
        <w:t>a)</w:t>
      </w:r>
      <w:r w:rsidRPr="00E70501">
        <w:rPr>
          <w:szCs w:val="24"/>
        </w:rPr>
        <w:tab/>
      </w:r>
      <w:r w:rsidR="00147616" w:rsidRPr="00E70501">
        <w:rPr>
          <w:szCs w:val="24"/>
        </w:rPr>
        <w:t>La Constitución y el Convenio de la UIT aprobados por las Co</w:t>
      </w:r>
      <w:r w:rsidR="00F96EB4">
        <w:rPr>
          <w:szCs w:val="24"/>
        </w:rPr>
        <w:t>nferencias de Plenipotenciarios </w:t>
      </w:r>
      <w:r w:rsidR="00147616" w:rsidRPr="00E70501">
        <w:rPr>
          <w:szCs w:val="24"/>
        </w:rPr>
        <w:t>(PP);</w:t>
      </w:r>
    </w:p>
    <w:p w:rsidR="00147616" w:rsidRPr="00E70501" w:rsidRDefault="00C55FF1" w:rsidP="00C55FF1">
      <w:pPr>
        <w:pStyle w:val="enumlev1"/>
        <w:rPr>
          <w:szCs w:val="24"/>
        </w:rPr>
      </w:pPr>
      <w:r w:rsidRPr="00E70501">
        <w:rPr>
          <w:szCs w:val="24"/>
        </w:rPr>
        <w:t>b)</w:t>
      </w:r>
      <w:r w:rsidRPr="00E70501">
        <w:rPr>
          <w:szCs w:val="24"/>
        </w:rPr>
        <w:tab/>
      </w:r>
      <w:r w:rsidR="00147616" w:rsidRPr="00E70501">
        <w:rPr>
          <w:szCs w:val="24"/>
        </w:rPr>
        <w:t>El Reglamento General de las Conferencias, Asambleas y Reuniones de la Unión;</w:t>
      </w:r>
    </w:p>
    <w:p w:rsidR="00147616" w:rsidRPr="00E70501" w:rsidRDefault="00C55FF1" w:rsidP="00C55FF1">
      <w:pPr>
        <w:pStyle w:val="enumlev1"/>
        <w:rPr>
          <w:szCs w:val="24"/>
        </w:rPr>
      </w:pPr>
      <w:r w:rsidRPr="00E70501">
        <w:rPr>
          <w:szCs w:val="24"/>
        </w:rPr>
        <w:t>c)</w:t>
      </w:r>
      <w:r w:rsidRPr="00E70501">
        <w:rPr>
          <w:szCs w:val="24"/>
        </w:rPr>
        <w:tab/>
      </w:r>
      <w:r w:rsidR="00147616" w:rsidRPr="00E70501">
        <w:rPr>
          <w:szCs w:val="24"/>
        </w:rPr>
        <w:t>El Re</w:t>
      </w:r>
      <w:r w:rsidR="00F96EB4">
        <w:rPr>
          <w:szCs w:val="24"/>
        </w:rPr>
        <w:t>glamento de Radiocomunicaciones</w:t>
      </w:r>
      <w:r w:rsidR="00147616" w:rsidRPr="00E70501">
        <w:rPr>
          <w:szCs w:val="24"/>
        </w:rPr>
        <w:t>;</w:t>
      </w:r>
    </w:p>
    <w:p w:rsidR="00147616" w:rsidRPr="00E70501" w:rsidRDefault="00C55FF1" w:rsidP="00C55FF1">
      <w:pPr>
        <w:pStyle w:val="enumlev1"/>
        <w:rPr>
          <w:szCs w:val="24"/>
        </w:rPr>
      </w:pPr>
      <w:r w:rsidRPr="00E70501">
        <w:rPr>
          <w:szCs w:val="24"/>
        </w:rPr>
        <w:t>d)</w:t>
      </w:r>
      <w:r w:rsidRPr="00E70501">
        <w:rPr>
          <w:szCs w:val="24"/>
        </w:rPr>
        <w:tab/>
      </w:r>
      <w:r w:rsidR="00147616" w:rsidRPr="00E70501">
        <w:rPr>
          <w:szCs w:val="24"/>
        </w:rPr>
        <w:t>El Reglamento de las Telecomunicaciones Internacionales; y</w:t>
      </w:r>
    </w:p>
    <w:p w:rsidR="00147616" w:rsidRPr="00E70501" w:rsidRDefault="00C55FF1" w:rsidP="00C55FF1">
      <w:pPr>
        <w:pStyle w:val="enumlev1"/>
        <w:rPr>
          <w:szCs w:val="24"/>
        </w:rPr>
      </w:pPr>
      <w:r w:rsidRPr="00E70501">
        <w:rPr>
          <w:szCs w:val="24"/>
        </w:rPr>
        <w:t>e)</w:t>
      </w:r>
      <w:r w:rsidRPr="00E70501">
        <w:rPr>
          <w:szCs w:val="24"/>
        </w:rPr>
        <w:tab/>
      </w:r>
      <w:r w:rsidR="00147616" w:rsidRPr="00E70501">
        <w:rPr>
          <w:szCs w:val="24"/>
        </w:rPr>
        <w:t>Los acuerdos, resoluciones y recomendaciones de las Co</w:t>
      </w:r>
      <w:r w:rsidR="00E70501">
        <w:rPr>
          <w:szCs w:val="24"/>
        </w:rPr>
        <w:t xml:space="preserve">nferencias/Asambleas Mundiales </w:t>
      </w:r>
      <w:r w:rsidR="00147616" w:rsidRPr="00E70501">
        <w:rPr>
          <w:szCs w:val="24"/>
        </w:rPr>
        <w:t>PP/Consejo/</w:t>
      </w:r>
      <w:proofErr w:type="spellStart"/>
      <w:r w:rsidR="00147616" w:rsidRPr="00E70501">
        <w:rPr>
          <w:szCs w:val="24"/>
        </w:rPr>
        <w:t>CMTI</w:t>
      </w:r>
      <w:proofErr w:type="spellEnd"/>
      <w:r w:rsidR="00147616" w:rsidRPr="00E70501">
        <w:rPr>
          <w:szCs w:val="24"/>
        </w:rPr>
        <w:t>/Sectoriales</w:t>
      </w:r>
    </w:p>
    <w:p w:rsidR="00147616" w:rsidRPr="00E70501" w:rsidRDefault="00147616" w:rsidP="00C55FF1">
      <w:r w:rsidRPr="00E70501">
        <w:t>9</w:t>
      </w:r>
      <w:r w:rsidRPr="00E70501">
        <w:tab/>
        <w:t>Tomando como base el mandato y las obligaciones de la Unión, los miembros han establecido en el Plan Estratégico para la Unión a través de la Conferencia de Plenipotenciarios y del Consejo, un Marco de Resultados de la UIT integrado por los Objetivos y Metas alcanzables, que es común para todos los componentes de la Unión, y los Objetivos/Resultados, Productos y Actividade</w:t>
      </w:r>
      <w:r w:rsidR="00E70501">
        <w:t>s, que incorpora contribuciones</w:t>
      </w:r>
      <w:r w:rsidRPr="00E70501">
        <w:t xml:space="preserve"> de las Conferencias Mundiales, Asambleas y Grupos asesores. La rendición de cuentas para estos logros se efectúa anualmente a través de los Planes Operaciones de los Sectores y la SG, y se supervisa y presenta a través del Informe Anual sobre Aplicación del Plan Estratégico, los informes anuales de explotación/funcionamiento y el informe sobre el Estado de la Unión. Los resultados se supervisan a través del Presupuesto basado en los </w:t>
      </w:r>
      <w:r w:rsidRPr="00E70501">
        <w:lastRenderedPageBreak/>
        <w:t>resultados y la Gestión basada en los resultados, presentándose el correspondiente informe a los miembros como orientación para el futuro.</w:t>
      </w:r>
    </w:p>
    <w:p w:rsidR="00147616" w:rsidRPr="00E70501" w:rsidRDefault="00147616" w:rsidP="00C55FF1">
      <w:pPr>
        <w:pStyle w:val="Headingb"/>
        <w:tabs>
          <w:tab w:val="clear" w:pos="567"/>
        </w:tabs>
        <w:ind w:left="0" w:firstLine="0"/>
      </w:pPr>
      <w:r w:rsidRPr="00E70501">
        <w:t>Pilar 2 - Controles internos y gestión de riesgos</w:t>
      </w:r>
    </w:p>
    <w:p w:rsidR="00147616" w:rsidRPr="00E70501" w:rsidRDefault="00147616" w:rsidP="00C55FF1">
      <w:r w:rsidRPr="00E70501">
        <w:t>10</w:t>
      </w:r>
      <w:r w:rsidRPr="00E70501">
        <w:tab/>
        <w:t>Este pilar tiene por objetivo armonizar los resultados con las políticas, reglas y reglamentos de la UIT así como con las normas éticas y de integridad, entre otras.</w:t>
      </w:r>
    </w:p>
    <w:p w:rsidR="00147616" w:rsidRPr="00E70501" w:rsidRDefault="00147616" w:rsidP="00C55FF1">
      <w:r w:rsidRPr="00E70501">
        <w:t>11</w:t>
      </w:r>
      <w:r w:rsidRPr="00E70501">
        <w:tab/>
        <w:t>Los componentes actuales de este pilar son los siguientes:</w:t>
      </w:r>
    </w:p>
    <w:p w:rsidR="00147616" w:rsidRPr="00E70501" w:rsidRDefault="00C55FF1" w:rsidP="00C55FF1">
      <w:pPr>
        <w:pStyle w:val="enumlev1"/>
        <w:rPr>
          <w:szCs w:val="24"/>
        </w:rPr>
      </w:pPr>
      <w:r w:rsidRPr="00E70501">
        <w:rPr>
          <w:szCs w:val="24"/>
        </w:rPr>
        <w:t>a)</w:t>
      </w:r>
      <w:r w:rsidRPr="00E70501">
        <w:rPr>
          <w:szCs w:val="24"/>
        </w:rPr>
        <w:tab/>
      </w:r>
      <w:r w:rsidR="00147616" w:rsidRPr="00E70501">
        <w:rPr>
          <w:szCs w:val="24"/>
        </w:rPr>
        <w:t>El Informe de Gestión Financiera y, en particular, la</w:t>
      </w:r>
      <w:r w:rsidR="00E70501">
        <w:rPr>
          <w:szCs w:val="24"/>
        </w:rPr>
        <w:t xml:space="preserve"> Declaración de Control Interno</w:t>
      </w:r>
      <w:r w:rsidR="00147616" w:rsidRPr="00E70501">
        <w:rPr>
          <w:szCs w:val="24"/>
        </w:rPr>
        <w:t xml:space="preserve"> </w:t>
      </w:r>
      <w:r w:rsidR="00584A3D">
        <w:rPr>
          <w:szCs w:val="24"/>
        </w:rPr>
        <w:t>y el Informe de Gestión;</w:t>
      </w:r>
    </w:p>
    <w:p w:rsidR="00147616" w:rsidRPr="00E70501" w:rsidRDefault="00C55FF1" w:rsidP="00C55FF1">
      <w:pPr>
        <w:pStyle w:val="enumlev1"/>
        <w:rPr>
          <w:szCs w:val="24"/>
        </w:rPr>
      </w:pPr>
      <w:r w:rsidRPr="00E70501">
        <w:rPr>
          <w:szCs w:val="24"/>
        </w:rPr>
        <w:t>b)</w:t>
      </w:r>
      <w:r w:rsidRPr="00E70501">
        <w:rPr>
          <w:szCs w:val="24"/>
        </w:rPr>
        <w:tab/>
      </w:r>
      <w:r w:rsidR="00147616" w:rsidRPr="00E70501">
        <w:rPr>
          <w:szCs w:val="24"/>
        </w:rPr>
        <w:t xml:space="preserve">Los resultados del COCO, el </w:t>
      </w:r>
      <w:proofErr w:type="spellStart"/>
      <w:r w:rsidR="00147616" w:rsidRPr="00E70501">
        <w:rPr>
          <w:szCs w:val="24"/>
        </w:rPr>
        <w:t>MCG</w:t>
      </w:r>
      <w:proofErr w:type="spellEnd"/>
      <w:r w:rsidR="00147616" w:rsidRPr="00E70501">
        <w:rPr>
          <w:szCs w:val="24"/>
        </w:rPr>
        <w:t xml:space="preserve">, las comisiones estatutarias y los Grupos Especiales </w:t>
      </w:r>
    </w:p>
    <w:p w:rsidR="00147616" w:rsidRPr="00E70501" w:rsidRDefault="00C55FF1" w:rsidP="00C55FF1">
      <w:pPr>
        <w:pStyle w:val="enumlev1"/>
        <w:rPr>
          <w:szCs w:val="24"/>
        </w:rPr>
      </w:pPr>
      <w:r w:rsidRPr="00E70501">
        <w:rPr>
          <w:szCs w:val="24"/>
        </w:rPr>
        <w:t>c)</w:t>
      </w:r>
      <w:r w:rsidRPr="00E70501">
        <w:rPr>
          <w:szCs w:val="24"/>
        </w:rPr>
        <w:tab/>
      </w:r>
      <w:r w:rsidR="00147616" w:rsidRPr="00E70501">
        <w:rPr>
          <w:szCs w:val="24"/>
        </w:rPr>
        <w:t>Los informes de auditoría interna;</w:t>
      </w:r>
    </w:p>
    <w:p w:rsidR="00147616" w:rsidRPr="00E70501" w:rsidRDefault="00C55FF1" w:rsidP="00C55FF1">
      <w:pPr>
        <w:pStyle w:val="enumlev1"/>
        <w:rPr>
          <w:szCs w:val="24"/>
        </w:rPr>
      </w:pPr>
      <w:r w:rsidRPr="00E70501">
        <w:rPr>
          <w:szCs w:val="24"/>
        </w:rPr>
        <w:t>d)</w:t>
      </w:r>
      <w:r w:rsidRPr="00E70501">
        <w:rPr>
          <w:szCs w:val="24"/>
        </w:rPr>
        <w:tab/>
      </w:r>
      <w:r w:rsidR="00147616" w:rsidRPr="00E70501">
        <w:rPr>
          <w:szCs w:val="24"/>
        </w:rPr>
        <w:t>Los informes de auditoría externa;</w:t>
      </w:r>
    </w:p>
    <w:p w:rsidR="00147616" w:rsidRPr="00E70501" w:rsidRDefault="00C55FF1" w:rsidP="00C55FF1">
      <w:pPr>
        <w:pStyle w:val="enumlev1"/>
        <w:rPr>
          <w:szCs w:val="24"/>
        </w:rPr>
      </w:pPr>
      <w:r w:rsidRPr="00E70501">
        <w:rPr>
          <w:szCs w:val="24"/>
        </w:rPr>
        <w:t>e)</w:t>
      </w:r>
      <w:r w:rsidRPr="00E70501">
        <w:rPr>
          <w:szCs w:val="24"/>
        </w:rPr>
        <w:tab/>
      </w:r>
      <w:r w:rsidR="00147616" w:rsidRPr="00E70501">
        <w:rPr>
          <w:szCs w:val="24"/>
        </w:rPr>
        <w:t xml:space="preserve">Los informes del </w:t>
      </w:r>
      <w:proofErr w:type="spellStart"/>
      <w:r w:rsidR="00147616" w:rsidRPr="00E70501">
        <w:rPr>
          <w:szCs w:val="24"/>
        </w:rPr>
        <w:t>CAIG</w:t>
      </w:r>
      <w:proofErr w:type="spellEnd"/>
      <w:r w:rsidR="00147616" w:rsidRPr="00E70501">
        <w:rPr>
          <w:szCs w:val="24"/>
        </w:rPr>
        <w:t>;</w:t>
      </w:r>
    </w:p>
    <w:p w:rsidR="00147616" w:rsidRPr="00E70501" w:rsidRDefault="00C55FF1" w:rsidP="00C55FF1">
      <w:pPr>
        <w:pStyle w:val="enumlev1"/>
        <w:rPr>
          <w:szCs w:val="24"/>
        </w:rPr>
      </w:pPr>
      <w:r w:rsidRPr="00E70501">
        <w:rPr>
          <w:szCs w:val="24"/>
        </w:rPr>
        <w:t>f)</w:t>
      </w:r>
      <w:r w:rsidRPr="00E70501">
        <w:rPr>
          <w:szCs w:val="24"/>
        </w:rPr>
        <w:tab/>
      </w:r>
      <w:r w:rsidR="00147616" w:rsidRPr="00E70501">
        <w:rPr>
          <w:szCs w:val="24"/>
        </w:rPr>
        <w:t>Las recomendaciones de la DCI aceptadas por el Secretario General;</w:t>
      </w:r>
    </w:p>
    <w:p w:rsidR="00147616" w:rsidRPr="00E70501" w:rsidRDefault="00C55FF1" w:rsidP="00C55FF1">
      <w:pPr>
        <w:pStyle w:val="enumlev1"/>
        <w:rPr>
          <w:szCs w:val="24"/>
        </w:rPr>
      </w:pPr>
      <w:r w:rsidRPr="00E70501">
        <w:rPr>
          <w:szCs w:val="24"/>
        </w:rPr>
        <w:t>g)</w:t>
      </w:r>
      <w:r w:rsidRPr="00E70501">
        <w:rPr>
          <w:szCs w:val="24"/>
        </w:rPr>
        <w:tab/>
      </w:r>
      <w:r w:rsidR="00147616" w:rsidRPr="00E70501">
        <w:rPr>
          <w:szCs w:val="24"/>
        </w:rPr>
        <w:t>La Política de Gestión de Riesgos y la Declaración de Asunción de Riesgos (que debe adoptar el C17);</w:t>
      </w:r>
    </w:p>
    <w:p w:rsidR="00147616" w:rsidRPr="00E70501" w:rsidRDefault="00C55FF1" w:rsidP="00C55FF1">
      <w:pPr>
        <w:pStyle w:val="enumlev1"/>
        <w:rPr>
          <w:szCs w:val="24"/>
        </w:rPr>
      </w:pPr>
      <w:r w:rsidRPr="00E70501">
        <w:rPr>
          <w:szCs w:val="24"/>
        </w:rPr>
        <w:t>h)</w:t>
      </w:r>
      <w:r w:rsidRPr="00E70501">
        <w:rPr>
          <w:szCs w:val="24"/>
        </w:rPr>
        <w:tab/>
      </w:r>
      <w:r w:rsidR="00147616" w:rsidRPr="00E70501">
        <w:rPr>
          <w:szCs w:val="24"/>
        </w:rPr>
        <w:t>La delegación de atribuciones;</w:t>
      </w:r>
    </w:p>
    <w:p w:rsidR="00147616" w:rsidRPr="00E70501" w:rsidRDefault="00C55FF1" w:rsidP="00C55FF1">
      <w:pPr>
        <w:pStyle w:val="enumlev1"/>
        <w:rPr>
          <w:szCs w:val="24"/>
        </w:rPr>
      </w:pPr>
      <w:r w:rsidRPr="00E70501">
        <w:rPr>
          <w:szCs w:val="24"/>
        </w:rPr>
        <w:t>i)</w:t>
      </w:r>
      <w:r w:rsidRPr="00E70501">
        <w:rPr>
          <w:szCs w:val="24"/>
        </w:rPr>
        <w:tab/>
      </w:r>
      <w:r w:rsidR="00147616" w:rsidRPr="00E70501">
        <w:rPr>
          <w:szCs w:val="24"/>
        </w:rPr>
        <w:t xml:space="preserve">El acceso al sistema </w:t>
      </w:r>
      <w:proofErr w:type="spellStart"/>
      <w:r w:rsidR="00147616" w:rsidRPr="00E70501">
        <w:rPr>
          <w:szCs w:val="24"/>
        </w:rPr>
        <w:t>ERP</w:t>
      </w:r>
      <w:proofErr w:type="spellEnd"/>
      <w:r w:rsidR="00147616" w:rsidRPr="00E70501">
        <w:rPr>
          <w:szCs w:val="24"/>
        </w:rPr>
        <w:t xml:space="preserve"> basado en la separación de funciones.</w:t>
      </w:r>
    </w:p>
    <w:p w:rsidR="00147616" w:rsidRPr="00E70501" w:rsidRDefault="00147616" w:rsidP="00C55FF1">
      <w:pPr>
        <w:pStyle w:val="Headingb"/>
        <w:tabs>
          <w:tab w:val="clear" w:pos="567"/>
        </w:tabs>
        <w:ind w:left="0" w:firstLine="0"/>
      </w:pPr>
      <w:r w:rsidRPr="00E70501">
        <w:t>Pilar 3 - Mecanismos de reclamación y de respuesta</w:t>
      </w:r>
    </w:p>
    <w:p w:rsidR="00147616" w:rsidRPr="00E70501" w:rsidRDefault="00147616" w:rsidP="00E70501">
      <w:r w:rsidRPr="00E70501">
        <w:t>12</w:t>
      </w:r>
      <w:r w:rsidRPr="00E70501">
        <w:tab/>
        <w:t xml:space="preserve">Como se especifica en el informe de la DCI, este pilar se basa en </w:t>
      </w:r>
      <w:r w:rsidR="00E70501">
        <w:t>"</w:t>
      </w:r>
      <w:r w:rsidRPr="00E70501">
        <w:t>el mecanismo por el que las partes interesadas pueden pedir cuentas a una organización cuestionando una decisión, actuación o política y obteniendo una respuesta adecuada a su queja. Los mecanismos de reclamación y de respuesta deben considerarse como último recurso para que las partes interesadas puedan exigir responsabilidades a la organización y para que las organizaciones tomen conciencia de las cuestiones a las que hay que dar respuesta</w:t>
      </w:r>
      <w:r w:rsidR="00E70501">
        <w:t>"</w:t>
      </w:r>
      <w:r w:rsidRPr="00E70501">
        <w:t>. En la UIT existen varios mecanismos de reclamación y respuesta, a saber:</w:t>
      </w:r>
    </w:p>
    <w:p w:rsidR="00147616" w:rsidRPr="00E70501" w:rsidRDefault="00C55FF1" w:rsidP="00C55FF1">
      <w:pPr>
        <w:pStyle w:val="enumlev1"/>
        <w:rPr>
          <w:szCs w:val="24"/>
        </w:rPr>
      </w:pPr>
      <w:r w:rsidRPr="00E70501">
        <w:rPr>
          <w:szCs w:val="24"/>
        </w:rPr>
        <w:t>a)</w:t>
      </w:r>
      <w:r w:rsidRPr="00E70501">
        <w:rPr>
          <w:szCs w:val="24"/>
        </w:rPr>
        <w:tab/>
      </w:r>
      <w:r w:rsidR="00147616" w:rsidRPr="00E70501">
        <w:rPr>
          <w:szCs w:val="24"/>
        </w:rPr>
        <w:t>El Oficial de Ética – Valor de la Ética y Normas de conducta;</w:t>
      </w:r>
    </w:p>
    <w:p w:rsidR="00147616" w:rsidRPr="00E70501" w:rsidRDefault="00C55FF1" w:rsidP="00C55FF1">
      <w:pPr>
        <w:pStyle w:val="enumlev1"/>
        <w:rPr>
          <w:szCs w:val="24"/>
        </w:rPr>
      </w:pPr>
      <w:r w:rsidRPr="00E70501">
        <w:rPr>
          <w:szCs w:val="24"/>
        </w:rPr>
        <w:t>b)</w:t>
      </w:r>
      <w:r w:rsidRPr="00E70501">
        <w:rPr>
          <w:szCs w:val="24"/>
        </w:rPr>
        <w:tab/>
      </w:r>
      <w:r w:rsidR="00147616" w:rsidRPr="00E70501">
        <w:rPr>
          <w:szCs w:val="24"/>
        </w:rPr>
        <w:t>El Consejo del Personal;</w:t>
      </w:r>
    </w:p>
    <w:p w:rsidR="00147616" w:rsidRPr="00E70501" w:rsidRDefault="00C55FF1" w:rsidP="00C55FF1">
      <w:pPr>
        <w:pStyle w:val="enumlev1"/>
        <w:rPr>
          <w:szCs w:val="24"/>
        </w:rPr>
      </w:pPr>
      <w:r w:rsidRPr="00E70501">
        <w:rPr>
          <w:szCs w:val="24"/>
        </w:rPr>
        <w:t>c)</w:t>
      </w:r>
      <w:r w:rsidRPr="00E70501">
        <w:rPr>
          <w:szCs w:val="24"/>
        </w:rPr>
        <w:tab/>
      </w:r>
      <w:r w:rsidR="00147616" w:rsidRPr="00E70501">
        <w:rPr>
          <w:szCs w:val="24"/>
        </w:rPr>
        <w:t>Los mediadores de la Unión;</w:t>
      </w:r>
    </w:p>
    <w:p w:rsidR="00147616" w:rsidRPr="00E70501" w:rsidRDefault="00C55FF1" w:rsidP="00C55FF1">
      <w:pPr>
        <w:pStyle w:val="enumlev1"/>
        <w:rPr>
          <w:szCs w:val="24"/>
        </w:rPr>
      </w:pPr>
      <w:r w:rsidRPr="00E70501">
        <w:rPr>
          <w:szCs w:val="24"/>
        </w:rPr>
        <w:t>d)</w:t>
      </w:r>
      <w:r w:rsidRPr="00E70501">
        <w:rPr>
          <w:szCs w:val="24"/>
        </w:rPr>
        <w:tab/>
      </w:r>
      <w:r w:rsidR="00147616" w:rsidRPr="00E70501">
        <w:rPr>
          <w:szCs w:val="24"/>
        </w:rPr>
        <w:t>La solicitud de reconsideración de un acuerdo, dirigida al Secretario General;</w:t>
      </w:r>
    </w:p>
    <w:p w:rsidR="00147616" w:rsidRPr="00E70501" w:rsidRDefault="00C55FF1" w:rsidP="00C55FF1">
      <w:pPr>
        <w:pStyle w:val="enumlev1"/>
        <w:rPr>
          <w:szCs w:val="24"/>
        </w:rPr>
      </w:pPr>
      <w:r w:rsidRPr="00E70501">
        <w:rPr>
          <w:szCs w:val="24"/>
        </w:rPr>
        <w:t>e)</w:t>
      </w:r>
      <w:r w:rsidRPr="00E70501">
        <w:rPr>
          <w:szCs w:val="24"/>
        </w:rPr>
        <w:tab/>
      </w:r>
      <w:r w:rsidR="00147616" w:rsidRPr="00E70501">
        <w:rPr>
          <w:szCs w:val="24"/>
        </w:rPr>
        <w:t>La Junta de Reclamaciones;</w:t>
      </w:r>
    </w:p>
    <w:p w:rsidR="00147616" w:rsidRPr="00E70501" w:rsidRDefault="00C55FF1" w:rsidP="00C55FF1">
      <w:pPr>
        <w:pStyle w:val="enumlev1"/>
        <w:rPr>
          <w:szCs w:val="24"/>
        </w:rPr>
      </w:pPr>
      <w:r w:rsidRPr="00E70501">
        <w:rPr>
          <w:szCs w:val="24"/>
        </w:rPr>
        <w:t>f)</w:t>
      </w:r>
      <w:r w:rsidRPr="00E70501">
        <w:rPr>
          <w:szCs w:val="24"/>
        </w:rPr>
        <w:tab/>
      </w:r>
      <w:r w:rsidR="00147616" w:rsidRPr="00E70501">
        <w:rPr>
          <w:szCs w:val="24"/>
        </w:rPr>
        <w:t>El Tribunal Administrativo de la Organización Internacional del Trabajo (</w:t>
      </w:r>
      <w:proofErr w:type="spellStart"/>
      <w:r w:rsidR="00147616" w:rsidRPr="00E70501">
        <w:rPr>
          <w:szCs w:val="24"/>
        </w:rPr>
        <w:t>TAOIT</w:t>
      </w:r>
      <w:proofErr w:type="spellEnd"/>
      <w:r w:rsidR="00147616" w:rsidRPr="00E70501">
        <w:rPr>
          <w:szCs w:val="24"/>
        </w:rPr>
        <w:t xml:space="preserve">): Según el Reglamento del Personal, todo funcionario de la Unión tendrá derecho a recurrir ante el </w:t>
      </w:r>
      <w:proofErr w:type="spellStart"/>
      <w:r w:rsidR="00147616" w:rsidRPr="00E70501">
        <w:rPr>
          <w:szCs w:val="24"/>
        </w:rPr>
        <w:t>TAOIT</w:t>
      </w:r>
      <w:proofErr w:type="spellEnd"/>
      <w:r w:rsidR="00147616" w:rsidRPr="00E70501">
        <w:rPr>
          <w:szCs w:val="24"/>
        </w:rPr>
        <w:t xml:space="preserve"> en las condiciones definidas en los Estatutos de dicho Tribunal;</w:t>
      </w:r>
    </w:p>
    <w:p w:rsidR="00147616" w:rsidRPr="00E70501" w:rsidRDefault="00C55FF1" w:rsidP="00C55FF1">
      <w:pPr>
        <w:pStyle w:val="enumlev1"/>
        <w:rPr>
          <w:szCs w:val="24"/>
        </w:rPr>
      </w:pPr>
      <w:r w:rsidRPr="00E70501">
        <w:rPr>
          <w:szCs w:val="24"/>
        </w:rPr>
        <w:t>g)</w:t>
      </w:r>
      <w:r w:rsidRPr="00E70501">
        <w:rPr>
          <w:szCs w:val="24"/>
        </w:rPr>
        <w:tab/>
      </w:r>
      <w:r w:rsidR="00147616" w:rsidRPr="00E70501">
        <w:rPr>
          <w:szCs w:val="24"/>
        </w:rPr>
        <w:t>El mecanismo de reparación de agravios de las Naciones Unidas, al que los funcionarios pueden apelar en asuntos relacionados con la Caja Común de Pensiones del Personal de las Naciones Unidas (</w:t>
      </w:r>
      <w:proofErr w:type="spellStart"/>
      <w:r w:rsidR="00147616" w:rsidRPr="00E70501">
        <w:rPr>
          <w:szCs w:val="24"/>
        </w:rPr>
        <w:t>CCPPNU</w:t>
      </w:r>
      <w:proofErr w:type="spellEnd"/>
      <w:r w:rsidR="00147616" w:rsidRPr="00E70501">
        <w:rPr>
          <w:szCs w:val="24"/>
        </w:rPr>
        <w:t>);</w:t>
      </w:r>
    </w:p>
    <w:p w:rsidR="00147616" w:rsidRPr="00E70501" w:rsidRDefault="00C55FF1" w:rsidP="00C55FF1">
      <w:pPr>
        <w:pStyle w:val="enumlev1"/>
        <w:rPr>
          <w:szCs w:val="24"/>
        </w:rPr>
      </w:pPr>
      <w:r w:rsidRPr="00E70501">
        <w:rPr>
          <w:szCs w:val="24"/>
        </w:rPr>
        <w:t>h)</w:t>
      </w:r>
      <w:r w:rsidRPr="00E70501">
        <w:rPr>
          <w:szCs w:val="24"/>
        </w:rPr>
        <w:tab/>
      </w:r>
      <w:r w:rsidR="00147616" w:rsidRPr="00E70501">
        <w:rPr>
          <w:szCs w:val="24"/>
        </w:rPr>
        <w:t>El Comité de Revisión de Clasificaciones; y</w:t>
      </w:r>
    </w:p>
    <w:p w:rsidR="00147616" w:rsidRPr="00E70501" w:rsidRDefault="00C55FF1" w:rsidP="00C55FF1">
      <w:pPr>
        <w:pStyle w:val="enumlev1"/>
        <w:rPr>
          <w:szCs w:val="24"/>
        </w:rPr>
      </w:pPr>
      <w:r w:rsidRPr="00E70501">
        <w:rPr>
          <w:szCs w:val="24"/>
        </w:rPr>
        <w:t>i)</w:t>
      </w:r>
      <w:r w:rsidRPr="00E70501">
        <w:rPr>
          <w:szCs w:val="24"/>
        </w:rPr>
        <w:tab/>
      </w:r>
      <w:r w:rsidR="00147616" w:rsidRPr="00E70501">
        <w:rPr>
          <w:szCs w:val="24"/>
        </w:rPr>
        <w:t>Las comisiones de investigación que se creen a tenor de las Órdenes de Servicio pertinentes (por ejemplo, SO 05/05 sobre Acoso y Abuso de autoridad).</w:t>
      </w:r>
    </w:p>
    <w:p w:rsidR="00147616" w:rsidRPr="00E70501" w:rsidRDefault="00147616" w:rsidP="00147616">
      <w:pPr>
        <w:pStyle w:val="Heading1"/>
        <w:rPr>
          <w:rFonts w:eastAsiaTheme="majorEastAsia"/>
        </w:rPr>
      </w:pPr>
      <w:r w:rsidRPr="00E70501">
        <w:rPr>
          <w:rFonts w:eastAsiaTheme="majorEastAsia"/>
        </w:rPr>
        <w:lastRenderedPageBreak/>
        <w:t>V</w:t>
      </w:r>
      <w:r w:rsidRPr="00E70501">
        <w:rPr>
          <w:rFonts w:eastAsiaTheme="majorEastAsia"/>
        </w:rPr>
        <w:tab/>
        <w:t>Criterios de la DCI para el Marco de Rendición de Cuentas</w:t>
      </w:r>
    </w:p>
    <w:p w:rsidR="00147616" w:rsidRPr="00E70501" w:rsidRDefault="00147616" w:rsidP="00C55FF1">
      <w:pPr>
        <w:rPr>
          <w:rFonts w:asciiTheme="majorHAnsi" w:eastAsiaTheme="majorEastAsia" w:hAnsiTheme="majorHAnsi" w:cstheme="majorBidi"/>
          <w:b/>
          <w:bCs/>
        </w:rPr>
      </w:pPr>
      <w:r w:rsidRPr="00E70501">
        <w:t>13</w:t>
      </w:r>
      <w:r w:rsidRPr="00E70501">
        <w:tab/>
        <w:t>El Informe 2011/5 de la DCI proporciona 17 criterios para medir un marco de rendición de cuentas que sea sólido y esté basado en la transparencia y en una cultura de rendición de cuentas. En el Anexo se presenta información detallada del estado de los criterios e instrumentos del Marco de Rendición de Cuentas de la UIT.</w:t>
      </w:r>
    </w:p>
    <w:p w:rsidR="00147616" w:rsidRPr="00E70501" w:rsidRDefault="00147616" w:rsidP="00147616">
      <w:pPr>
        <w:pStyle w:val="Heading1"/>
        <w:rPr>
          <w:rFonts w:eastAsiaTheme="majorEastAsia"/>
        </w:rPr>
      </w:pPr>
      <w:r w:rsidRPr="00E70501">
        <w:rPr>
          <w:rFonts w:eastAsiaTheme="majorEastAsia"/>
        </w:rPr>
        <w:t>VI</w:t>
      </w:r>
      <w:r w:rsidRPr="00E70501">
        <w:rPr>
          <w:rFonts w:eastAsiaTheme="majorEastAsia"/>
        </w:rPr>
        <w:tab/>
        <w:t>Conclusión</w:t>
      </w:r>
    </w:p>
    <w:p w:rsidR="00147616" w:rsidRPr="00E70501" w:rsidRDefault="00147616" w:rsidP="00C55FF1">
      <w:r w:rsidRPr="00E70501">
        <w:t>14</w:t>
      </w:r>
      <w:r w:rsidRPr="00E70501">
        <w:tab/>
        <w:t>La UIT continuará garantizando que el Marco de Rendición de Cuentas de la Unión responda a las circunstancias en evolución y tenga en cuenta las prácticas recomendadas en el sistema de las Naciones Unidas. El objetivo es disponer de un sistema de rendición de cuentas en la Unión que se centre cada vez más en la gestión basada en los resultados y el desempeño, que proporcione más flexibilidad y autonomía a los gestores a fin de alcanzar los mejores resultados posibles, y que haga hincapié en la transparencia como característica esencial de la rendición de cuentas.</w:t>
      </w:r>
    </w:p>
    <w:p w:rsidR="00147616" w:rsidRPr="00E70501" w:rsidRDefault="00147616" w:rsidP="00C55FF1">
      <w:r w:rsidRPr="00E70501">
        <w:t>15</w:t>
      </w:r>
      <w:r w:rsidRPr="00E70501">
        <w:tab/>
        <w:t xml:space="preserve">El Marco de Rendición de Cuentas de la UIT se revisará periódicamente para </w:t>
      </w:r>
      <w:r w:rsidR="00E70501">
        <w:t>fortalecer</w:t>
      </w:r>
      <w:r w:rsidRPr="00E70501">
        <w:t xml:space="preserve"> la capacidad institucional y garantizar la continuidad de su pertinencia. Se pondrá al día para recoger los nuevos requisitos o las mejoras que dimanen de las nuevas iniciativas o de las experiencias adquiridas. La UIT garantizará que el Marco de Rendición de Cuentas siga siendo pertinente al mandato y los objetivos de la Unión.</w:t>
      </w:r>
    </w:p>
    <w:p w:rsidR="006949D5" w:rsidRPr="00E70501" w:rsidRDefault="006949D5" w:rsidP="00C55FF1"/>
    <w:p w:rsidR="006949D5" w:rsidRPr="00E70501" w:rsidRDefault="006949D5" w:rsidP="00C55FF1"/>
    <w:p w:rsidR="00147616" w:rsidRPr="00E70501" w:rsidRDefault="00147616" w:rsidP="00372CEC">
      <w:pPr>
        <w:jc w:val="both"/>
      </w:pPr>
    </w:p>
    <w:p w:rsidR="00147616" w:rsidRPr="00E70501" w:rsidRDefault="00147616" w:rsidP="00372CEC">
      <w:pPr>
        <w:jc w:val="both"/>
        <w:sectPr w:rsidR="00147616" w:rsidRPr="00E70501" w:rsidSect="00AF62C2">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pPr>
    </w:p>
    <w:p w:rsidR="00147616" w:rsidRPr="00E70501" w:rsidRDefault="00147616" w:rsidP="008217D3">
      <w:pPr>
        <w:pStyle w:val="AnnexNo"/>
        <w:spacing w:before="0"/>
        <w:rPr>
          <w:rFonts w:eastAsiaTheme="majorEastAsia"/>
        </w:rPr>
      </w:pPr>
      <w:r w:rsidRPr="00E70501">
        <w:rPr>
          <w:rFonts w:eastAsiaTheme="majorEastAsia"/>
        </w:rPr>
        <w:lastRenderedPageBreak/>
        <w:t>ANEXO</w:t>
      </w:r>
    </w:p>
    <w:p w:rsidR="00147616" w:rsidRPr="00E70501" w:rsidRDefault="00147616" w:rsidP="009165D7">
      <w:pPr>
        <w:pStyle w:val="Annextitle"/>
        <w:rPr>
          <w:rFonts w:eastAsiaTheme="majorEastAsia"/>
        </w:rPr>
      </w:pPr>
      <w:r w:rsidRPr="00E70501">
        <w:rPr>
          <w:rFonts w:eastAsiaTheme="majorEastAsia"/>
        </w:rPr>
        <w:t>Progreso de la aplicación de los criterios de la DCI para el Marco de Rendición de Cuentas</w:t>
      </w:r>
    </w:p>
    <w:p w:rsidR="00147616" w:rsidRPr="00E70501" w:rsidRDefault="00147616" w:rsidP="009165D7">
      <w:pPr>
        <w:pStyle w:val="Headingb"/>
      </w:pPr>
      <w:r w:rsidRPr="00E70501">
        <w:t>Pilar 1</w:t>
      </w:r>
    </w:p>
    <w:tbl>
      <w:tblPr>
        <w:tblStyle w:val="TableGrid"/>
        <w:tblW w:w="14601" w:type="dxa"/>
        <w:tblInd w:w="-5" w:type="dxa"/>
        <w:tblLayout w:type="fixed"/>
        <w:tblLook w:val="04A0" w:firstRow="1" w:lastRow="0" w:firstColumn="1" w:lastColumn="0" w:noHBand="0" w:noVBand="1"/>
      </w:tblPr>
      <w:tblGrid>
        <w:gridCol w:w="2977"/>
        <w:gridCol w:w="3969"/>
        <w:gridCol w:w="1276"/>
        <w:gridCol w:w="6379"/>
      </w:tblGrid>
      <w:tr w:rsidR="00147616" w:rsidRPr="00E70501" w:rsidTr="00584451">
        <w:trPr>
          <w:tblHeader/>
        </w:trPr>
        <w:tc>
          <w:tcPr>
            <w:tcW w:w="2977" w:type="dxa"/>
            <w:shd w:val="clear" w:color="auto" w:fill="B8CCE4" w:themeFill="accent1" w:themeFillTint="66"/>
          </w:tcPr>
          <w:p w:rsidR="00147616" w:rsidRPr="00E70501" w:rsidRDefault="00147616" w:rsidP="006226A9">
            <w:pPr>
              <w:jc w:val="center"/>
              <w:rPr>
                <w:b/>
                <w:bCs/>
              </w:rPr>
            </w:pPr>
            <w:r w:rsidRPr="00E70501">
              <w:rPr>
                <w:b/>
                <w:bCs/>
              </w:rPr>
              <w:t>Criterio</w:t>
            </w:r>
          </w:p>
        </w:tc>
        <w:tc>
          <w:tcPr>
            <w:tcW w:w="3969" w:type="dxa"/>
            <w:shd w:val="clear" w:color="auto" w:fill="B8CCE4" w:themeFill="accent1" w:themeFillTint="66"/>
          </w:tcPr>
          <w:p w:rsidR="00147616" w:rsidRPr="00E70501" w:rsidRDefault="00147616" w:rsidP="006226A9">
            <w:pPr>
              <w:jc w:val="center"/>
              <w:rPr>
                <w:b/>
                <w:bCs/>
              </w:rPr>
            </w:pPr>
            <w:r w:rsidRPr="00E70501">
              <w:rPr>
                <w:b/>
                <w:bCs/>
              </w:rPr>
              <w:t>Instrumentos</w:t>
            </w:r>
          </w:p>
        </w:tc>
        <w:tc>
          <w:tcPr>
            <w:tcW w:w="1276" w:type="dxa"/>
            <w:shd w:val="clear" w:color="auto" w:fill="B8CCE4" w:themeFill="accent1" w:themeFillTint="66"/>
          </w:tcPr>
          <w:p w:rsidR="00147616" w:rsidRPr="00E70501" w:rsidRDefault="00147616" w:rsidP="006226A9">
            <w:pPr>
              <w:jc w:val="center"/>
              <w:rPr>
                <w:b/>
                <w:bCs/>
              </w:rPr>
            </w:pPr>
            <w:r w:rsidRPr="00E70501">
              <w:rPr>
                <w:b/>
                <w:bCs/>
              </w:rPr>
              <w:t>Estado</w:t>
            </w:r>
          </w:p>
        </w:tc>
        <w:tc>
          <w:tcPr>
            <w:tcW w:w="6379" w:type="dxa"/>
            <w:shd w:val="clear" w:color="auto" w:fill="B8CCE4" w:themeFill="accent1" w:themeFillTint="66"/>
          </w:tcPr>
          <w:p w:rsidR="00147616" w:rsidRPr="00E70501" w:rsidRDefault="00147616" w:rsidP="006226A9">
            <w:pPr>
              <w:jc w:val="center"/>
              <w:rPr>
                <w:b/>
                <w:bCs/>
              </w:rPr>
            </w:pPr>
            <w:r w:rsidRPr="00E70501">
              <w:rPr>
                <w:b/>
                <w:bCs/>
              </w:rPr>
              <w:t>Observaciones</w:t>
            </w:r>
          </w:p>
        </w:tc>
      </w:tr>
      <w:tr w:rsidR="00147616" w:rsidRPr="00E70501" w:rsidTr="00584451">
        <w:trPr>
          <w:trHeight w:val="255"/>
        </w:trPr>
        <w:tc>
          <w:tcPr>
            <w:tcW w:w="2977" w:type="dxa"/>
            <w:vMerge w:val="restart"/>
          </w:tcPr>
          <w:p w:rsidR="00147616" w:rsidRPr="00E70501" w:rsidRDefault="00147616" w:rsidP="00FC0DC4">
            <w:pPr>
              <w:rPr>
                <w:sz w:val="20"/>
                <w:szCs w:val="20"/>
              </w:rPr>
            </w:pPr>
            <w:r w:rsidRPr="00E70501">
              <w:rPr>
                <w:sz w:val="20"/>
                <w:szCs w:val="20"/>
              </w:rPr>
              <w:t>1. Existe un marco de rendición de cuentas claro, en el que se define la</w:t>
            </w:r>
            <w:r w:rsidR="00FC0DC4">
              <w:rPr>
                <w:sz w:val="20"/>
                <w:szCs w:val="20"/>
              </w:rPr>
              <w:t xml:space="preserve"> </w:t>
            </w:r>
            <w:r w:rsidRPr="00E70501">
              <w:rPr>
                <w:sz w:val="20"/>
                <w:szCs w:val="20"/>
              </w:rPr>
              <w:t>rendición de cuentas, se delimitan las responsabilidades relativas a la aplicación</w:t>
            </w:r>
            <w:r w:rsidR="00FC0DC4">
              <w:rPr>
                <w:sz w:val="20"/>
                <w:szCs w:val="20"/>
              </w:rPr>
              <w:t xml:space="preserve"> </w:t>
            </w:r>
            <w:r w:rsidRPr="00E70501">
              <w:rPr>
                <w:sz w:val="20"/>
                <w:szCs w:val="20"/>
              </w:rPr>
              <w:t>general del marco y se vinculan entre sí todos los componentes</w:t>
            </w:r>
          </w:p>
        </w:tc>
        <w:tc>
          <w:tcPr>
            <w:tcW w:w="3969" w:type="dxa"/>
          </w:tcPr>
          <w:p w:rsidR="00147616" w:rsidRPr="00E70501" w:rsidRDefault="00147616" w:rsidP="006226A9">
            <w:pPr>
              <w:rPr>
                <w:sz w:val="20"/>
                <w:szCs w:val="20"/>
              </w:rPr>
            </w:pPr>
            <w:r w:rsidRPr="00E70501">
              <w:rPr>
                <w:sz w:val="20"/>
                <w:szCs w:val="20"/>
              </w:rPr>
              <w:t>Documento de política sobre el marco</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val="restart"/>
            <w:vAlign w:val="center"/>
          </w:tcPr>
          <w:p w:rsidR="00147616" w:rsidRPr="00E70501" w:rsidRDefault="00147616" w:rsidP="006226A9">
            <w:pPr>
              <w:rPr>
                <w:sz w:val="20"/>
                <w:szCs w:val="20"/>
              </w:rPr>
            </w:pPr>
            <w:r w:rsidRPr="00E70501">
              <w:rPr>
                <w:sz w:val="20"/>
                <w:szCs w:val="20"/>
              </w:rPr>
              <w:t>A tenor de esta propuesta, la UIT está implementando este marco. Se complementará su implementación una vez adoptada</w:t>
            </w:r>
            <w:r w:rsidR="00584A3D">
              <w:rPr>
                <w:sz w:val="20"/>
                <w:szCs w:val="20"/>
              </w:rPr>
              <w:t xml:space="preserve"> por el Consejo en </w:t>
            </w:r>
            <w:r w:rsidRPr="00E70501">
              <w:rPr>
                <w:sz w:val="20"/>
                <w:szCs w:val="20"/>
              </w:rPr>
              <w:t>2017.</w:t>
            </w:r>
          </w:p>
        </w:tc>
      </w:tr>
      <w:tr w:rsidR="00147616" w:rsidRPr="00E70501" w:rsidTr="00584451">
        <w:trPr>
          <w:trHeight w:val="256"/>
        </w:trPr>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Definición de rendición de cuentas</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tcPr>
          <w:p w:rsidR="00147616" w:rsidRPr="00E70501" w:rsidRDefault="00147616" w:rsidP="006226A9">
            <w:pPr>
              <w:rPr>
                <w:sz w:val="20"/>
                <w:szCs w:val="20"/>
              </w:rPr>
            </w:pPr>
          </w:p>
        </w:tc>
      </w:tr>
      <w:tr w:rsidR="00147616" w:rsidRPr="00E70501" w:rsidTr="00584451">
        <w:trPr>
          <w:trHeight w:val="255"/>
        </w:trPr>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Funciones y responsabilidades de los directivos superiores, los departamentos de ejecución y el personal</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tcPr>
          <w:p w:rsidR="00147616" w:rsidRPr="00E70501" w:rsidRDefault="00147616" w:rsidP="006226A9">
            <w:pPr>
              <w:rPr>
                <w:sz w:val="20"/>
                <w:szCs w:val="20"/>
              </w:rPr>
            </w:pPr>
          </w:p>
        </w:tc>
      </w:tr>
      <w:tr w:rsidR="00147616" w:rsidRPr="00E70501" w:rsidTr="00584451">
        <w:trPr>
          <w:trHeight w:val="256"/>
        </w:trPr>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Documento de política disponible en el sitio web y para el personal</w:t>
            </w:r>
          </w:p>
        </w:tc>
        <w:tc>
          <w:tcPr>
            <w:tcW w:w="1276" w:type="dxa"/>
            <w:vAlign w:val="center"/>
          </w:tcPr>
          <w:p w:rsidR="00147616" w:rsidRPr="00E70501" w:rsidRDefault="00147616" w:rsidP="006226A9">
            <w:pPr>
              <w:jc w:val="center"/>
              <w:rPr>
                <w:sz w:val="20"/>
                <w:szCs w:val="20"/>
              </w:rPr>
            </w:pPr>
            <w:r w:rsidRPr="00E70501">
              <w:rPr>
                <w:sz w:val="20"/>
                <w:szCs w:val="20"/>
              </w:rPr>
              <w:t>En curso</w:t>
            </w:r>
          </w:p>
        </w:tc>
        <w:tc>
          <w:tcPr>
            <w:tcW w:w="6379" w:type="dxa"/>
            <w:vMerge/>
          </w:tcPr>
          <w:p w:rsidR="00147616" w:rsidRPr="00E70501" w:rsidRDefault="00147616" w:rsidP="006226A9">
            <w:pPr>
              <w:rPr>
                <w:sz w:val="20"/>
                <w:szCs w:val="20"/>
              </w:rPr>
            </w:pPr>
          </w:p>
        </w:tc>
      </w:tr>
      <w:tr w:rsidR="00147616" w:rsidRPr="00E70501" w:rsidTr="00584451">
        <w:trPr>
          <w:trHeight w:val="256"/>
        </w:trPr>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Inclusión en el marco de los componentes fundamentales de la rendición de cuentas.</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tcPr>
          <w:p w:rsidR="00147616" w:rsidRPr="00E70501" w:rsidRDefault="00147616" w:rsidP="006226A9">
            <w:pPr>
              <w:rPr>
                <w:sz w:val="20"/>
                <w:szCs w:val="20"/>
              </w:rPr>
            </w:pPr>
          </w:p>
        </w:tc>
      </w:tr>
      <w:tr w:rsidR="00147616" w:rsidRPr="00E70501" w:rsidTr="00584451">
        <w:trPr>
          <w:trHeight w:val="479"/>
        </w:trPr>
        <w:tc>
          <w:tcPr>
            <w:tcW w:w="2977" w:type="dxa"/>
            <w:vMerge w:val="restart"/>
          </w:tcPr>
          <w:p w:rsidR="00147616" w:rsidRPr="00E70501" w:rsidRDefault="00147616" w:rsidP="00FC0DC4">
            <w:pPr>
              <w:rPr>
                <w:sz w:val="20"/>
                <w:szCs w:val="20"/>
              </w:rPr>
            </w:pPr>
            <w:r w:rsidRPr="00E70501">
              <w:rPr>
                <w:sz w:val="20"/>
                <w:szCs w:val="20"/>
              </w:rPr>
              <w:t>2. La gestión basada en los resultados es operacional y coherente con los</w:t>
            </w:r>
            <w:r w:rsidR="00FC0DC4">
              <w:rPr>
                <w:sz w:val="20"/>
                <w:szCs w:val="20"/>
              </w:rPr>
              <w:t xml:space="preserve"> </w:t>
            </w:r>
            <w:r w:rsidRPr="00E70501">
              <w:rPr>
                <w:sz w:val="20"/>
                <w:szCs w:val="20"/>
              </w:rPr>
              <w:t>mandatos y los objetivos de la organización, y se traduce en planes de trabajo de las dependencias y personales</w:t>
            </w:r>
          </w:p>
        </w:tc>
        <w:tc>
          <w:tcPr>
            <w:tcW w:w="3969" w:type="dxa"/>
          </w:tcPr>
          <w:p w:rsidR="00147616" w:rsidRPr="00E70501" w:rsidRDefault="00147616" w:rsidP="006226A9">
            <w:pPr>
              <w:rPr>
                <w:sz w:val="20"/>
                <w:szCs w:val="20"/>
              </w:rPr>
            </w:pPr>
            <w:r w:rsidRPr="00E70501">
              <w:rPr>
                <w:sz w:val="20"/>
                <w:szCs w:val="20"/>
              </w:rPr>
              <w:t>Planes estratégicos</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val="restart"/>
            <w:vAlign w:val="center"/>
          </w:tcPr>
          <w:p w:rsidR="00147616" w:rsidRPr="00E70501" w:rsidRDefault="00147616" w:rsidP="006226A9">
            <w:pPr>
              <w:rPr>
                <w:sz w:val="20"/>
                <w:szCs w:val="20"/>
              </w:rPr>
            </w:pPr>
            <w:r w:rsidRPr="00E70501">
              <w:rPr>
                <w:sz w:val="20"/>
                <w:szCs w:val="20"/>
              </w:rPr>
              <w:t>La gestión basada en los resultados es operacional y coherente con los mandatos y los objetivos de la organización (objetivos y metas estratégicas, Objetivos/Resultados sectoriales e intersectoriales, Productos y Servicios de apoyo e instrumentales.</w:t>
            </w:r>
          </w:p>
          <w:p w:rsidR="00147616" w:rsidRPr="00E70501" w:rsidRDefault="00147616" w:rsidP="006226A9">
            <w:pPr>
              <w:rPr>
                <w:sz w:val="20"/>
                <w:szCs w:val="20"/>
              </w:rPr>
            </w:pPr>
            <w:r w:rsidRPr="00E70501">
              <w:rPr>
                <w:sz w:val="20"/>
                <w:szCs w:val="20"/>
              </w:rPr>
              <w:t xml:space="preserve">Se están elaborando planes de trabajo para las dependencias y </w:t>
            </w:r>
            <w:r w:rsidR="00E70501">
              <w:rPr>
                <w:sz w:val="20"/>
                <w:szCs w:val="20"/>
              </w:rPr>
              <w:t>las personas</w:t>
            </w:r>
            <w:r w:rsidRPr="00E70501">
              <w:rPr>
                <w:sz w:val="20"/>
                <w:szCs w:val="20"/>
              </w:rPr>
              <w:t xml:space="preserve"> tomando como base el marco de resultados de la organización.</w:t>
            </w:r>
          </w:p>
        </w:tc>
      </w:tr>
      <w:tr w:rsidR="00147616" w:rsidRPr="00E70501" w:rsidTr="00584451">
        <w:trPr>
          <w:trHeight w:val="454"/>
        </w:trPr>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Planes de trabajo de las dependencias</w:t>
            </w:r>
          </w:p>
        </w:tc>
        <w:tc>
          <w:tcPr>
            <w:tcW w:w="1276" w:type="dxa"/>
            <w:vAlign w:val="center"/>
          </w:tcPr>
          <w:p w:rsidR="00147616" w:rsidRPr="00E70501" w:rsidRDefault="00147616" w:rsidP="006226A9">
            <w:pPr>
              <w:jc w:val="center"/>
              <w:rPr>
                <w:sz w:val="20"/>
                <w:szCs w:val="20"/>
              </w:rPr>
            </w:pPr>
            <w:r w:rsidRPr="00E70501">
              <w:rPr>
                <w:sz w:val="20"/>
                <w:szCs w:val="20"/>
              </w:rPr>
              <w:t>En curso</w:t>
            </w:r>
          </w:p>
        </w:tc>
        <w:tc>
          <w:tcPr>
            <w:tcW w:w="6379" w:type="dxa"/>
            <w:vMerge/>
            <w:vAlign w:val="center"/>
          </w:tcPr>
          <w:p w:rsidR="00147616" w:rsidRPr="00E70501" w:rsidRDefault="00147616" w:rsidP="006226A9">
            <w:pPr>
              <w:rPr>
                <w:sz w:val="20"/>
                <w:szCs w:val="20"/>
              </w:rPr>
            </w:pPr>
          </w:p>
        </w:tc>
      </w:tr>
      <w:tr w:rsidR="00147616" w:rsidRPr="00E70501" w:rsidTr="00584451">
        <w:trPr>
          <w:trHeight w:val="287"/>
        </w:trPr>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Objetivos personales de trabajo</w:t>
            </w:r>
          </w:p>
        </w:tc>
        <w:tc>
          <w:tcPr>
            <w:tcW w:w="1276" w:type="dxa"/>
            <w:vAlign w:val="center"/>
          </w:tcPr>
          <w:p w:rsidR="00147616" w:rsidRPr="00E70501" w:rsidRDefault="00147616" w:rsidP="006226A9">
            <w:pPr>
              <w:jc w:val="center"/>
              <w:rPr>
                <w:sz w:val="20"/>
                <w:szCs w:val="20"/>
              </w:rPr>
            </w:pPr>
            <w:r w:rsidRPr="00E70501">
              <w:rPr>
                <w:sz w:val="20"/>
                <w:szCs w:val="20"/>
              </w:rPr>
              <w:t>En curso</w:t>
            </w:r>
          </w:p>
        </w:tc>
        <w:tc>
          <w:tcPr>
            <w:tcW w:w="6379" w:type="dxa"/>
            <w:vMerge/>
            <w:vAlign w:val="center"/>
          </w:tcPr>
          <w:p w:rsidR="00147616" w:rsidRPr="00E70501" w:rsidRDefault="00147616" w:rsidP="006226A9">
            <w:pPr>
              <w:rPr>
                <w:sz w:val="20"/>
                <w:szCs w:val="20"/>
              </w:rPr>
            </w:pPr>
          </w:p>
        </w:tc>
      </w:tr>
      <w:tr w:rsidR="00147616" w:rsidRPr="00E70501" w:rsidTr="00584451">
        <w:tc>
          <w:tcPr>
            <w:tcW w:w="2977" w:type="dxa"/>
          </w:tcPr>
          <w:p w:rsidR="00147616" w:rsidRPr="00E70501" w:rsidRDefault="00147616" w:rsidP="00FC0DC4">
            <w:pPr>
              <w:rPr>
                <w:sz w:val="20"/>
                <w:szCs w:val="20"/>
              </w:rPr>
            </w:pPr>
            <w:r w:rsidRPr="00E70501">
              <w:rPr>
                <w:sz w:val="20"/>
                <w:szCs w:val="20"/>
              </w:rPr>
              <w:t>3. Las organizaciones realizan evaluaciones creíbles y útiles y comunican las</w:t>
            </w:r>
            <w:r w:rsidR="00FC0DC4">
              <w:rPr>
                <w:sz w:val="20"/>
                <w:szCs w:val="20"/>
              </w:rPr>
              <w:t xml:space="preserve"> </w:t>
            </w:r>
            <w:r w:rsidRPr="00E70501">
              <w:rPr>
                <w:sz w:val="20"/>
                <w:szCs w:val="20"/>
              </w:rPr>
              <w:t>constataciones, conclusiones y recomendaciones a las partes interesadas</w:t>
            </w:r>
          </w:p>
        </w:tc>
        <w:tc>
          <w:tcPr>
            <w:tcW w:w="3969" w:type="dxa"/>
          </w:tcPr>
          <w:p w:rsidR="00147616" w:rsidRPr="00E70501" w:rsidRDefault="00147616" w:rsidP="006226A9">
            <w:pPr>
              <w:rPr>
                <w:sz w:val="20"/>
                <w:szCs w:val="20"/>
              </w:rPr>
            </w:pPr>
            <w:r w:rsidRPr="00E70501">
              <w:rPr>
                <w:sz w:val="20"/>
                <w:szCs w:val="20"/>
              </w:rPr>
              <w:t>Función de evaluación</w:t>
            </w:r>
          </w:p>
        </w:tc>
        <w:tc>
          <w:tcPr>
            <w:tcW w:w="1276" w:type="dxa"/>
            <w:vAlign w:val="center"/>
          </w:tcPr>
          <w:p w:rsidR="00147616" w:rsidRPr="00E70501" w:rsidRDefault="00147616" w:rsidP="006226A9">
            <w:pPr>
              <w:jc w:val="center"/>
              <w:rPr>
                <w:sz w:val="20"/>
                <w:szCs w:val="20"/>
              </w:rPr>
            </w:pPr>
            <w:r w:rsidRPr="00E70501">
              <w:rPr>
                <w:sz w:val="20"/>
                <w:szCs w:val="20"/>
              </w:rPr>
              <w:t>En estudio</w:t>
            </w:r>
          </w:p>
        </w:tc>
        <w:tc>
          <w:tcPr>
            <w:tcW w:w="6379" w:type="dxa"/>
            <w:vAlign w:val="center"/>
          </w:tcPr>
          <w:p w:rsidR="00147616" w:rsidRPr="00E70501" w:rsidRDefault="00147616" w:rsidP="006226A9">
            <w:pPr>
              <w:rPr>
                <w:sz w:val="20"/>
                <w:szCs w:val="20"/>
              </w:rPr>
            </w:pPr>
            <w:r w:rsidRPr="00E70501">
              <w:rPr>
                <w:sz w:val="20"/>
                <w:szCs w:val="20"/>
              </w:rPr>
              <w:t>Se está llevando a cabo un estudio de viabilidad de la evaluación en la UIT que se plasme en: a) Un breve informe sobre el desempeño identificado y recomendado para su inclusión en el proceso de evaluación, b) Un breve informe sobre la necesidades de evaluación en la UIT, tomando como base el alcance y los objetivos de la evaluación recomendados, y c) Un documento con la política de evaluación, las directrices, el plan de trabajo y las fases adicionales.</w:t>
            </w:r>
          </w:p>
        </w:tc>
      </w:tr>
      <w:tr w:rsidR="00147616" w:rsidRPr="00E70501" w:rsidTr="00584451">
        <w:trPr>
          <w:trHeight w:val="576"/>
        </w:trPr>
        <w:tc>
          <w:tcPr>
            <w:tcW w:w="2977" w:type="dxa"/>
            <w:vMerge w:val="restart"/>
          </w:tcPr>
          <w:p w:rsidR="00147616" w:rsidRPr="00E70501" w:rsidRDefault="00147616" w:rsidP="006226A9">
            <w:pPr>
              <w:rPr>
                <w:sz w:val="20"/>
                <w:szCs w:val="20"/>
              </w:rPr>
            </w:pPr>
            <w:r w:rsidRPr="00E70501">
              <w:rPr>
                <w:sz w:val="20"/>
                <w:szCs w:val="20"/>
              </w:rPr>
              <w:t xml:space="preserve">4. Las organizaciones han establecido una política de divulgación de información que aplican de forma efectiva y por la </w:t>
            </w:r>
            <w:r w:rsidRPr="00E70501">
              <w:rPr>
                <w:sz w:val="20"/>
                <w:szCs w:val="20"/>
              </w:rPr>
              <w:lastRenderedPageBreak/>
              <w:t>que se comunican periódicamente los resultados de las actividades de la organización a los órganos legislativos, los Estados miembros y otros interesados, en particular los donantes, los beneficiarios y el público en general</w:t>
            </w:r>
          </w:p>
        </w:tc>
        <w:tc>
          <w:tcPr>
            <w:tcW w:w="3969" w:type="dxa"/>
          </w:tcPr>
          <w:p w:rsidR="00147616" w:rsidRPr="00E70501" w:rsidRDefault="00147616" w:rsidP="006226A9">
            <w:pPr>
              <w:rPr>
                <w:sz w:val="20"/>
                <w:szCs w:val="20"/>
              </w:rPr>
            </w:pPr>
            <w:r w:rsidRPr="00E70501">
              <w:rPr>
                <w:sz w:val="20"/>
                <w:szCs w:val="20"/>
              </w:rPr>
              <w:lastRenderedPageBreak/>
              <w:t>Política de divulgación de información</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val="restart"/>
            <w:vAlign w:val="center"/>
          </w:tcPr>
          <w:p w:rsidR="00147616" w:rsidRPr="00E70501" w:rsidRDefault="00147616" w:rsidP="00E70501">
            <w:pPr>
              <w:rPr>
                <w:sz w:val="20"/>
                <w:szCs w:val="20"/>
              </w:rPr>
            </w:pPr>
            <w:r w:rsidRPr="00E70501">
              <w:rPr>
                <w:sz w:val="20"/>
                <w:szCs w:val="20"/>
              </w:rPr>
              <w:t xml:space="preserve">Con el ánimo de conseguir una mayor transparencia en la rendición de cuentas, el Consejo de la UIT adoptó en su reunión de 2016 una política de acceso a la información y los documentos de la UIT que </w:t>
            </w:r>
            <w:r w:rsidR="00E70501">
              <w:rPr>
                <w:sz w:val="20"/>
                <w:szCs w:val="20"/>
              </w:rPr>
              <w:t>"</w:t>
            </w:r>
            <w:r w:rsidRPr="00E70501">
              <w:rPr>
                <w:sz w:val="20"/>
                <w:szCs w:val="20"/>
              </w:rPr>
              <w:t xml:space="preserve">asegura que el público pueda acceder a la información guardada, gestionada o generada </w:t>
            </w:r>
            <w:r w:rsidRPr="00E70501">
              <w:rPr>
                <w:sz w:val="20"/>
                <w:szCs w:val="20"/>
              </w:rPr>
              <w:lastRenderedPageBreak/>
              <w:t>por la UIT</w:t>
            </w:r>
            <w:r w:rsidR="00E70501">
              <w:rPr>
                <w:sz w:val="20"/>
                <w:szCs w:val="20"/>
              </w:rPr>
              <w:t xml:space="preserve">"; </w:t>
            </w:r>
            <w:r w:rsidRPr="00E70501">
              <w:rPr>
                <w:sz w:val="20"/>
                <w:szCs w:val="20"/>
              </w:rPr>
              <w:t>esta política entrará en vigor el 1 de enero de 2017 con carácter provisional.</w:t>
            </w:r>
          </w:p>
        </w:tc>
      </w:tr>
      <w:tr w:rsidR="00147616" w:rsidRPr="00E70501" w:rsidTr="00584451">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Resultados de las evaluaciones y auditorías</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vAlign w:val="center"/>
          </w:tcPr>
          <w:p w:rsidR="00147616" w:rsidRPr="00E70501" w:rsidRDefault="00147616" w:rsidP="006226A9">
            <w:pPr>
              <w:rPr>
                <w:sz w:val="20"/>
                <w:szCs w:val="20"/>
              </w:rPr>
            </w:pPr>
          </w:p>
        </w:tc>
      </w:tr>
      <w:tr w:rsidR="00147616" w:rsidRPr="00E70501" w:rsidTr="00584451">
        <w:tc>
          <w:tcPr>
            <w:tcW w:w="2977" w:type="dxa"/>
            <w:vMerge/>
          </w:tcPr>
          <w:p w:rsidR="00147616" w:rsidRPr="00E70501" w:rsidRDefault="00147616" w:rsidP="006226A9">
            <w:pPr>
              <w:rPr>
                <w:sz w:val="20"/>
                <w:szCs w:val="20"/>
              </w:rPr>
            </w:pPr>
          </w:p>
        </w:tc>
        <w:tc>
          <w:tcPr>
            <w:tcW w:w="3969" w:type="dxa"/>
          </w:tcPr>
          <w:p w:rsidR="00147616" w:rsidRPr="00E70501" w:rsidRDefault="00147616" w:rsidP="006226A9">
            <w:pPr>
              <w:rPr>
                <w:sz w:val="20"/>
                <w:szCs w:val="20"/>
              </w:rPr>
            </w:pPr>
            <w:r w:rsidRPr="00E70501">
              <w:rPr>
                <w:sz w:val="20"/>
                <w:szCs w:val="20"/>
              </w:rPr>
              <w:t>Informes financieros anuales consolidados</w:t>
            </w:r>
          </w:p>
        </w:tc>
        <w:tc>
          <w:tcPr>
            <w:tcW w:w="1276" w:type="dxa"/>
            <w:vAlign w:val="center"/>
          </w:tcPr>
          <w:p w:rsidR="00147616" w:rsidRPr="00E70501" w:rsidRDefault="00147616" w:rsidP="006226A9">
            <w:pPr>
              <w:jc w:val="center"/>
              <w:rPr>
                <w:sz w:val="20"/>
                <w:szCs w:val="20"/>
              </w:rPr>
            </w:pPr>
            <w:r w:rsidRPr="00E70501">
              <w:rPr>
                <w:sz w:val="20"/>
                <w:szCs w:val="20"/>
              </w:rPr>
              <w:sym w:font="Wingdings" w:char="F0FC"/>
            </w:r>
          </w:p>
        </w:tc>
        <w:tc>
          <w:tcPr>
            <w:tcW w:w="6379" w:type="dxa"/>
            <w:vMerge w:val="restart"/>
            <w:vAlign w:val="center"/>
          </w:tcPr>
          <w:p w:rsidR="00147616" w:rsidRPr="00E70501" w:rsidRDefault="00147616" w:rsidP="006226A9">
            <w:pPr>
              <w:rPr>
                <w:sz w:val="20"/>
                <w:szCs w:val="20"/>
              </w:rPr>
            </w:pPr>
            <w:r w:rsidRPr="00E70501">
              <w:rPr>
                <w:sz w:val="20"/>
                <w:szCs w:val="20"/>
              </w:rPr>
              <w:t>Se presentan al Consejo informes anuales consolidados</w:t>
            </w:r>
          </w:p>
        </w:tc>
      </w:tr>
      <w:tr w:rsidR="00147616" w:rsidRPr="00E70501" w:rsidTr="00584451">
        <w:tc>
          <w:tcPr>
            <w:tcW w:w="2977" w:type="dxa"/>
            <w:vMerge/>
          </w:tcPr>
          <w:p w:rsidR="00147616" w:rsidRPr="00E70501" w:rsidRDefault="00147616" w:rsidP="00C24847">
            <w:pPr>
              <w:spacing w:before="40" w:after="40"/>
              <w:rPr>
                <w:sz w:val="18"/>
                <w:szCs w:val="18"/>
              </w:rPr>
            </w:pPr>
          </w:p>
        </w:tc>
        <w:tc>
          <w:tcPr>
            <w:tcW w:w="3969" w:type="dxa"/>
          </w:tcPr>
          <w:p w:rsidR="00147616" w:rsidRPr="00E70501" w:rsidRDefault="00147616" w:rsidP="00C24847">
            <w:pPr>
              <w:spacing w:before="40" w:after="40"/>
              <w:rPr>
                <w:sz w:val="18"/>
                <w:szCs w:val="18"/>
              </w:rPr>
            </w:pPr>
            <w:r w:rsidRPr="00E70501">
              <w:rPr>
                <w:sz w:val="18"/>
                <w:szCs w:val="18"/>
              </w:rPr>
              <w:t>Resultados de los programas</w:t>
            </w:r>
          </w:p>
        </w:tc>
        <w:tc>
          <w:tcPr>
            <w:tcW w:w="1276" w:type="dxa"/>
            <w:vAlign w:val="center"/>
          </w:tcPr>
          <w:p w:rsidR="00147616" w:rsidRPr="00E70501" w:rsidRDefault="00147616" w:rsidP="00C24847">
            <w:pPr>
              <w:spacing w:before="40" w:after="40"/>
              <w:jc w:val="center"/>
              <w:rPr>
                <w:sz w:val="18"/>
                <w:szCs w:val="18"/>
              </w:rPr>
            </w:pPr>
            <w:r w:rsidRPr="00E70501">
              <w:rPr>
                <w:sz w:val="18"/>
                <w:szCs w:val="18"/>
              </w:rPr>
              <w:sym w:font="Wingdings" w:char="F0FC"/>
            </w:r>
          </w:p>
        </w:tc>
        <w:tc>
          <w:tcPr>
            <w:tcW w:w="6379" w:type="dxa"/>
            <w:vMerge/>
          </w:tcPr>
          <w:p w:rsidR="00147616" w:rsidRPr="00E70501" w:rsidRDefault="00147616" w:rsidP="00C24847">
            <w:pPr>
              <w:spacing w:before="40" w:after="40"/>
              <w:rPr>
                <w:sz w:val="18"/>
                <w:szCs w:val="18"/>
              </w:rPr>
            </w:pPr>
          </w:p>
        </w:tc>
      </w:tr>
    </w:tbl>
    <w:p w:rsidR="00147616" w:rsidRPr="00E70501" w:rsidRDefault="00147616" w:rsidP="009165D7">
      <w:r w:rsidRPr="00E70501">
        <w:br w:type="page"/>
      </w:r>
    </w:p>
    <w:p w:rsidR="00147616" w:rsidRPr="00E70501" w:rsidRDefault="00147616" w:rsidP="00CA1CB8">
      <w:pPr>
        <w:pStyle w:val="Headingb"/>
      </w:pPr>
      <w:r w:rsidRPr="00E70501">
        <w:lastRenderedPageBreak/>
        <w:t>Pilar 2</w:t>
      </w:r>
    </w:p>
    <w:tbl>
      <w:tblPr>
        <w:tblStyle w:val="TableGrid"/>
        <w:tblW w:w="14602" w:type="dxa"/>
        <w:tblInd w:w="-5" w:type="dxa"/>
        <w:tblLayout w:type="fixed"/>
        <w:tblLook w:val="04A0" w:firstRow="1" w:lastRow="0" w:firstColumn="1" w:lastColumn="0" w:noHBand="0" w:noVBand="1"/>
      </w:tblPr>
      <w:tblGrid>
        <w:gridCol w:w="2977"/>
        <w:gridCol w:w="3969"/>
        <w:gridCol w:w="1134"/>
        <w:gridCol w:w="6522"/>
      </w:tblGrid>
      <w:tr w:rsidR="00147616" w:rsidRPr="00E70501" w:rsidTr="00584451">
        <w:trPr>
          <w:tblHeader/>
        </w:trPr>
        <w:tc>
          <w:tcPr>
            <w:tcW w:w="2977" w:type="dxa"/>
            <w:shd w:val="clear" w:color="auto" w:fill="B8CCE4" w:themeFill="accent1" w:themeFillTint="66"/>
          </w:tcPr>
          <w:p w:rsidR="00147616" w:rsidRPr="00E70501" w:rsidRDefault="00147616" w:rsidP="00D00579">
            <w:pPr>
              <w:jc w:val="center"/>
              <w:rPr>
                <w:b/>
                <w:bCs/>
              </w:rPr>
            </w:pPr>
            <w:r w:rsidRPr="00E70501">
              <w:rPr>
                <w:b/>
                <w:bCs/>
              </w:rPr>
              <w:t>Criterio</w:t>
            </w:r>
          </w:p>
        </w:tc>
        <w:tc>
          <w:tcPr>
            <w:tcW w:w="3969" w:type="dxa"/>
            <w:shd w:val="clear" w:color="auto" w:fill="B8CCE4" w:themeFill="accent1" w:themeFillTint="66"/>
          </w:tcPr>
          <w:p w:rsidR="00147616" w:rsidRPr="00E70501" w:rsidRDefault="00147616" w:rsidP="00D00579">
            <w:pPr>
              <w:jc w:val="center"/>
              <w:rPr>
                <w:b/>
                <w:bCs/>
              </w:rPr>
            </w:pPr>
            <w:r w:rsidRPr="00E70501">
              <w:rPr>
                <w:b/>
                <w:bCs/>
              </w:rPr>
              <w:t>Instrumentos</w:t>
            </w:r>
          </w:p>
        </w:tc>
        <w:tc>
          <w:tcPr>
            <w:tcW w:w="1134" w:type="dxa"/>
            <w:shd w:val="clear" w:color="auto" w:fill="B8CCE4" w:themeFill="accent1" w:themeFillTint="66"/>
          </w:tcPr>
          <w:p w:rsidR="00147616" w:rsidRPr="00E70501" w:rsidRDefault="00147616" w:rsidP="00D00579">
            <w:pPr>
              <w:jc w:val="center"/>
              <w:rPr>
                <w:b/>
                <w:bCs/>
              </w:rPr>
            </w:pPr>
            <w:r w:rsidRPr="00E70501">
              <w:rPr>
                <w:b/>
                <w:bCs/>
              </w:rPr>
              <w:t>Estado</w:t>
            </w:r>
          </w:p>
        </w:tc>
        <w:tc>
          <w:tcPr>
            <w:tcW w:w="6522" w:type="dxa"/>
            <w:shd w:val="clear" w:color="auto" w:fill="B8CCE4" w:themeFill="accent1" w:themeFillTint="66"/>
          </w:tcPr>
          <w:p w:rsidR="00147616" w:rsidRPr="00E70501" w:rsidRDefault="00147616" w:rsidP="00D00579">
            <w:pPr>
              <w:jc w:val="center"/>
              <w:rPr>
                <w:b/>
                <w:bCs/>
              </w:rPr>
            </w:pPr>
            <w:r w:rsidRPr="00E70501">
              <w:rPr>
                <w:b/>
                <w:bCs/>
              </w:rPr>
              <w:t>Observaciones</w:t>
            </w:r>
          </w:p>
        </w:tc>
      </w:tr>
      <w:tr w:rsidR="00147616" w:rsidRPr="00E70501" w:rsidTr="00584451">
        <w:tc>
          <w:tcPr>
            <w:tcW w:w="2977" w:type="dxa"/>
            <w:vMerge w:val="restart"/>
          </w:tcPr>
          <w:p w:rsidR="00147616" w:rsidRPr="00E70501" w:rsidRDefault="00147616" w:rsidP="00694F5A">
            <w:pPr>
              <w:rPr>
                <w:sz w:val="20"/>
                <w:szCs w:val="20"/>
              </w:rPr>
            </w:pPr>
            <w:r w:rsidRPr="00E70501">
              <w:rPr>
                <w:sz w:val="20"/>
                <w:szCs w:val="20"/>
              </w:rPr>
              <w:t>5. Existen y se aplican políticas en materia de conducta ética, integridad y lucha contra la corrupción y el fraude</w:t>
            </w:r>
          </w:p>
        </w:tc>
        <w:tc>
          <w:tcPr>
            <w:tcW w:w="3969" w:type="dxa"/>
          </w:tcPr>
          <w:p w:rsidR="00147616" w:rsidRPr="00E70501" w:rsidRDefault="00147616" w:rsidP="00694F5A">
            <w:pPr>
              <w:rPr>
                <w:sz w:val="20"/>
                <w:szCs w:val="20"/>
              </w:rPr>
            </w:pPr>
            <w:r w:rsidRPr="00E70501">
              <w:rPr>
                <w:sz w:val="20"/>
                <w:szCs w:val="20"/>
              </w:rPr>
              <w:t>Reglamentos y códigos de conducta para el personal, incluidas normas referentes al acoso</w:t>
            </w:r>
          </w:p>
        </w:tc>
        <w:tc>
          <w:tcPr>
            <w:tcW w:w="1134" w:type="dxa"/>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val="restart"/>
            <w:vAlign w:val="center"/>
          </w:tcPr>
          <w:p w:rsidR="00147616" w:rsidRPr="00E70501" w:rsidRDefault="00147616" w:rsidP="00476222">
            <w:pPr>
              <w:rPr>
                <w:sz w:val="20"/>
                <w:szCs w:val="20"/>
              </w:rPr>
            </w:pPr>
            <w:r w:rsidRPr="00E70501">
              <w:rPr>
                <w:sz w:val="20"/>
                <w:szCs w:val="20"/>
              </w:rPr>
              <w:t>Nombramiento de un nuevo Oficial de Ética el 1 de noviembre de 2016.</w:t>
            </w:r>
          </w:p>
        </w:tc>
      </w:tr>
      <w:tr w:rsidR="00147616" w:rsidRPr="00E70501" w:rsidTr="00584451">
        <w:tc>
          <w:tcPr>
            <w:tcW w:w="2977" w:type="dxa"/>
            <w:vMerge/>
          </w:tcPr>
          <w:p w:rsidR="00147616" w:rsidRPr="00E70501" w:rsidRDefault="00147616" w:rsidP="007D2DA5">
            <w:pPr>
              <w:rPr>
                <w:sz w:val="20"/>
                <w:szCs w:val="20"/>
              </w:rPr>
            </w:pPr>
          </w:p>
        </w:tc>
        <w:tc>
          <w:tcPr>
            <w:tcW w:w="3969" w:type="dxa"/>
          </w:tcPr>
          <w:p w:rsidR="00147616" w:rsidRPr="00E70501" w:rsidRDefault="00147616" w:rsidP="007D2DA5">
            <w:pPr>
              <w:rPr>
                <w:sz w:val="20"/>
                <w:szCs w:val="20"/>
              </w:rPr>
            </w:pPr>
            <w:r w:rsidRPr="00E70501">
              <w:rPr>
                <w:sz w:val="20"/>
                <w:szCs w:val="20"/>
              </w:rPr>
              <w:t>Función de ética</w:t>
            </w:r>
          </w:p>
        </w:tc>
        <w:tc>
          <w:tcPr>
            <w:tcW w:w="1134" w:type="dxa"/>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tcPr>
          <w:p w:rsidR="00147616" w:rsidRPr="00E70501" w:rsidRDefault="00147616" w:rsidP="007D2DA5">
            <w:pPr>
              <w:rPr>
                <w:sz w:val="20"/>
                <w:szCs w:val="20"/>
              </w:rPr>
            </w:pPr>
          </w:p>
        </w:tc>
      </w:tr>
      <w:tr w:rsidR="00147616" w:rsidRPr="00E70501" w:rsidTr="00584451">
        <w:tc>
          <w:tcPr>
            <w:tcW w:w="2977" w:type="dxa"/>
            <w:vMerge/>
          </w:tcPr>
          <w:p w:rsidR="00147616" w:rsidRPr="00E70501" w:rsidRDefault="00147616" w:rsidP="00732706">
            <w:pPr>
              <w:rPr>
                <w:sz w:val="20"/>
                <w:szCs w:val="20"/>
              </w:rPr>
            </w:pPr>
          </w:p>
        </w:tc>
        <w:tc>
          <w:tcPr>
            <w:tcW w:w="3969" w:type="dxa"/>
          </w:tcPr>
          <w:p w:rsidR="00147616" w:rsidRPr="00E70501" w:rsidRDefault="00147616" w:rsidP="00732706">
            <w:pPr>
              <w:rPr>
                <w:sz w:val="20"/>
                <w:szCs w:val="20"/>
              </w:rPr>
            </w:pPr>
            <w:r w:rsidRPr="00E70501">
              <w:rPr>
                <w:sz w:val="20"/>
                <w:szCs w:val="20"/>
              </w:rPr>
              <w:t>Política en materia de obsequios, distinciones y atenciones sociales</w:t>
            </w:r>
          </w:p>
        </w:tc>
        <w:tc>
          <w:tcPr>
            <w:tcW w:w="1134" w:type="dxa"/>
            <w:vAlign w:val="center"/>
          </w:tcPr>
          <w:p w:rsidR="00147616" w:rsidRPr="00E70501" w:rsidRDefault="00147616" w:rsidP="00476222">
            <w:pPr>
              <w:jc w:val="center"/>
              <w:rPr>
                <w:sz w:val="20"/>
                <w:szCs w:val="20"/>
              </w:rPr>
            </w:pPr>
            <w:r w:rsidRPr="00E70501">
              <w:rPr>
                <w:sz w:val="20"/>
                <w:szCs w:val="20"/>
              </w:rPr>
              <w:t>En curso</w:t>
            </w:r>
          </w:p>
        </w:tc>
        <w:tc>
          <w:tcPr>
            <w:tcW w:w="6522" w:type="dxa"/>
          </w:tcPr>
          <w:p w:rsidR="00147616" w:rsidRPr="00E70501" w:rsidRDefault="00147616" w:rsidP="00476222">
            <w:pPr>
              <w:rPr>
                <w:sz w:val="20"/>
                <w:szCs w:val="20"/>
              </w:rPr>
            </w:pPr>
            <w:r w:rsidRPr="00E70501">
              <w:rPr>
                <w:sz w:val="20"/>
                <w:szCs w:val="20"/>
              </w:rPr>
              <w:t>Se está preparando una política mejorada.</w:t>
            </w:r>
          </w:p>
        </w:tc>
      </w:tr>
      <w:tr w:rsidR="00147616" w:rsidRPr="00E70501" w:rsidTr="00584451">
        <w:tc>
          <w:tcPr>
            <w:tcW w:w="2977" w:type="dxa"/>
            <w:vMerge/>
          </w:tcPr>
          <w:p w:rsidR="00147616" w:rsidRPr="00E70501" w:rsidRDefault="00147616" w:rsidP="00732706">
            <w:pPr>
              <w:rPr>
                <w:sz w:val="20"/>
                <w:szCs w:val="20"/>
              </w:rPr>
            </w:pPr>
          </w:p>
        </w:tc>
        <w:tc>
          <w:tcPr>
            <w:tcW w:w="3969" w:type="dxa"/>
          </w:tcPr>
          <w:p w:rsidR="00147616" w:rsidRPr="00E70501" w:rsidRDefault="00147616" w:rsidP="00694F5A">
            <w:pPr>
              <w:rPr>
                <w:sz w:val="20"/>
                <w:szCs w:val="20"/>
              </w:rPr>
            </w:pPr>
            <w:r w:rsidRPr="00E70501">
              <w:rPr>
                <w:sz w:val="20"/>
                <w:szCs w:val="20"/>
              </w:rPr>
              <w:t>Protección contra represalias por la denuncia de faltas de conducta (política de protección de los denunciantes de irregularidades)</w:t>
            </w:r>
          </w:p>
        </w:tc>
        <w:tc>
          <w:tcPr>
            <w:tcW w:w="1134" w:type="dxa"/>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val="restart"/>
          </w:tcPr>
          <w:p w:rsidR="00147616" w:rsidRPr="00E70501" w:rsidRDefault="00147616" w:rsidP="00732706">
            <w:pPr>
              <w:rPr>
                <w:sz w:val="20"/>
                <w:szCs w:val="20"/>
              </w:rPr>
            </w:pPr>
          </w:p>
        </w:tc>
      </w:tr>
      <w:tr w:rsidR="00147616" w:rsidRPr="00E70501" w:rsidTr="00584451">
        <w:tc>
          <w:tcPr>
            <w:tcW w:w="2977" w:type="dxa"/>
            <w:vMerge/>
          </w:tcPr>
          <w:p w:rsidR="00147616" w:rsidRPr="00E70501" w:rsidRDefault="00147616" w:rsidP="00732706">
            <w:pPr>
              <w:rPr>
                <w:sz w:val="20"/>
                <w:szCs w:val="20"/>
              </w:rPr>
            </w:pPr>
          </w:p>
        </w:tc>
        <w:tc>
          <w:tcPr>
            <w:tcW w:w="3969" w:type="dxa"/>
          </w:tcPr>
          <w:p w:rsidR="00147616" w:rsidRPr="00E70501" w:rsidRDefault="00147616" w:rsidP="00732706">
            <w:pPr>
              <w:rPr>
                <w:sz w:val="20"/>
                <w:szCs w:val="20"/>
              </w:rPr>
            </w:pPr>
            <w:r w:rsidRPr="00E70501">
              <w:rPr>
                <w:sz w:val="20"/>
                <w:szCs w:val="20"/>
              </w:rPr>
              <w:t>Política relativa a las actividades externas (conflicto de intereses)</w:t>
            </w:r>
          </w:p>
        </w:tc>
        <w:tc>
          <w:tcPr>
            <w:tcW w:w="1134" w:type="dxa"/>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tcPr>
          <w:p w:rsidR="00147616" w:rsidRPr="00E70501" w:rsidRDefault="00147616" w:rsidP="00732706">
            <w:pPr>
              <w:rPr>
                <w:sz w:val="20"/>
                <w:szCs w:val="20"/>
              </w:rPr>
            </w:pPr>
          </w:p>
        </w:tc>
      </w:tr>
      <w:tr w:rsidR="00147616" w:rsidRPr="00E70501" w:rsidTr="004F479B">
        <w:tc>
          <w:tcPr>
            <w:tcW w:w="2977" w:type="dxa"/>
            <w:vMerge/>
          </w:tcPr>
          <w:p w:rsidR="00147616" w:rsidRPr="00E70501" w:rsidRDefault="00147616" w:rsidP="00732706">
            <w:pPr>
              <w:rPr>
                <w:sz w:val="20"/>
                <w:szCs w:val="20"/>
              </w:rPr>
            </w:pPr>
          </w:p>
        </w:tc>
        <w:tc>
          <w:tcPr>
            <w:tcW w:w="3969" w:type="dxa"/>
          </w:tcPr>
          <w:p w:rsidR="00147616" w:rsidRPr="00E70501" w:rsidRDefault="00147616" w:rsidP="00732706">
            <w:pPr>
              <w:rPr>
                <w:sz w:val="20"/>
                <w:szCs w:val="20"/>
              </w:rPr>
            </w:pPr>
            <w:r w:rsidRPr="00E70501">
              <w:rPr>
                <w:sz w:val="20"/>
                <w:szCs w:val="20"/>
              </w:rPr>
              <w:t>Política contra el fraude y la corrupción</w:t>
            </w:r>
          </w:p>
        </w:tc>
        <w:tc>
          <w:tcPr>
            <w:tcW w:w="1134" w:type="dxa"/>
          </w:tcPr>
          <w:p w:rsidR="00147616" w:rsidRPr="00E70501" w:rsidRDefault="00147616">
            <w:pPr>
              <w:rPr>
                <w:sz w:val="20"/>
                <w:szCs w:val="20"/>
              </w:rPr>
            </w:pPr>
            <w:r w:rsidRPr="00E70501">
              <w:rPr>
                <w:sz w:val="20"/>
                <w:szCs w:val="20"/>
              </w:rPr>
              <w:t>En curso</w:t>
            </w:r>
          </w:p>
        </w:tc>
        <w:tc>
          <w:tcPr>
            <w:tcW w:w="6522" w:type="dxa"/>
            <w:vMerge/>
          </w:tcPr>
          <w:p w:rsidR="00147616" w:rsidRPr="00E70501" w:rsidRDefault="00147616" w:rsidP="00732706">
            <w:pPr>
              <w:rPr>
                <w:sz w:val="20"/>
                <w:szCs w:val="20"/>
                <w:highlight w:val="yellow"/>
              </w:rPr>
            </w:pPr>
          </w:p>
        </w:tc>
      </w:tr>
      <w:tr w:rsidR="00147616" w:rsidRPr="00E70501" w:rsidTr="004F479B">
        <w:tc>
          <w:tcPr>
            <w:tcW w:w="2977" w:type="dxa"/>
            <w:vMerge/>
          </w:tcPr>
          <w:p w:rsidR="00147616" w:rsidRPr="00E70501" w:rsidRDefault="00147616" w:rsidP="00732706">
            <w:pPr>
              <w:rPr>
                <w:sz w:val="20"/>
                <w:szCs w:val="20"/>
              </w:rPr>
            </w:pPr>
          </w:p>
        </w:tc>
        <w:tc>
          <w:tcPr>
            <w:tcW w:w="3969" w:type="dxa"/>
          </w:tcPr>
          <w:p w:rsidR="00147616" w:rsidRPr="00E70501" w:rsidRDefault="00147616" w:rsidP="00732706">
            <w:pPr>
              <w:rPr>
                <w:sz w:val="20"/>
                <w:szCs w:val="20"/>
              </w:rPr>
            </w:pPr>
            <w:r w:rsidRPr="00E70501">
              <w:rPr>
                <w:sz w:val="20"/>
                <w:szCs w:val="20"/>
              </w:rPr>
              <w:t>Capacitación.</w:t>
            </w:r>
          </w:p>
        </w:tc>
        <w:tc>
          <w:tcPr>
            <w:tcW w:w="1134" w:type="dxa"/>
          </w:tcPr>
          <w:p w:rsidR="00147616" w:rsidRPr="00E70501" w:rsidRDefault="00147616">
            <w:pPr>
              <w:rPr>
                <w:sz w:val="20"/>
                <w:szCs w:val="20"/>
              </w:rPr>
            </w:pPr>
            <w:r w:rsidRPr="00E70501">
              <w:rPr>
                <w:sz w:val="20"/>
                <w:szCs w:val="20"/>
              </w:rPr>
              <w:t>En curso</w:t>
            </w:r>
          </w:p>
        </w:tc>
        <w:tc>
          <w:tcPr>
            <w:tcW w:w="6522" w:type="dxa"/>
            <w:vMerge/>
          </w:tcPr>
          <w:p w:rsidR="00147616" w:rsidRPr="00E70501" w:rsidRDefault="00147616" w:rsidP="00732706">
            <w:pPr>
              <w:rPr>
                <w:sz w:val="20"/>
                <w:szCs w:val="20"/>
              </w:rPr>
            </w:pPr>
          </w:p>
        </w:tc>
      </w:tr>
      <w:tr w:rsidR="00147616" w:rsidRPr="00E70501" w:rsidTr="00584451">
        <w:tc>
          <w:tcPr>
            <w:tcW w:w="2977" w:type="dxa"/>
            <w:vMerge w:val="restart"/>
          </w:tcPr>
          <w:p w:rsidR="00147616" w:rsidRPr="00E70501" w:rsidRDefault="00147616" w:rsidP="00476222">
            <w:pPr>
              <w:rPr>
                <w:sz w:val="20"/>
                <w:szCs w:val="20"/>
              </w:rPr>
            </w:pPr>
            <w:r w:rsidRPr="00E70501">
              <w:rPr>
                <w:sz w:val="20"/>
                <w:szCs w:val="20"/>
              </w:rPr>
              <w:t xml:space="preserve">6. El incumplimiento de las políticas o reglamentos establecidos tiene consecuencias inequívocas. Las sanciones han de ser claras y proporcionadas y aplicarse en todos los niveles. Además, las actuaciones profesionales destacadas se deberían distinguir mediante reconocimientos, premios o recompensas </w:t>
            </w:r>
          </w:p>
        </w:tc>
        <w:tc>
          <w:tcPr>
            <w:tcW w:w="3969" w:type="dxa"/>
          </w:tcPr>
          <w:p w:rsidR="00147616" w:rsidRPr="00E70501" w:rsidRDefault="00147616" w:rsidP="001D7C3E">
            <w:pPr>
              <w:rPr>
                <w:sz w:val="20"/>
                <w:szCs w:val="20"/>
              </w:rPr>
            </w:pPr>
            <w:r w:rsidRPr="00E70501">
              <w:rPr>
                <w:sz w:val="20"/>
                <w:szCs w:val="20"/>
              </w:rPr>
              <w:t>Documentos de política sobre sanciones y medidas disciplinarias</w:t>
            </w:r>
          </w:p>
        </w:tc>
        <w:tc>
          <w:tcPr>
            <w:tcW w:w="1134" w:type="dxa"/>
            <w:vAlign w:val="center"/>
          </w:tcPr>
          <w:p w:rsidR="00147616" w:rsidRPr="00E70501" w:rsidRDefault="00147616" w:rsidP="003411F7">
            <w:pPr>
              <w:jc w:val="center"/>
              <w:rPr>
                <w:sz w:val="20"/>
                <w:szCs w:val="20"/>
              </w:rPr>
            </w:pPr>
            <w:r w:rsidRPr="00E70501">
              <w:rPr>
                <w:sz w:val="20"/>
                <w:szCs w:val="20"/>
              </w:rPr>
              <w:t>No aplicable</w:t>
            </w:r>
          </w:p>
        </w:tc>
        <w:tc>
          <w:tcPr>
            <w:tcW w:w="6522" w:type="dxa"/>
          </w:tcPr>
          <w:p w:rsidR="00147616" w:rsidRPr="00E70501" w:rsidRDefault="00147616" w:rsidP="001D7C3E">
            <w:pPr>
              <w:rPr>
                <w:sz w:val="20"/>
                <w:szCs w:val="20"/>
              </w:rPr>
            </w:pPr>
            <w:r w:rsidRPr="00E70501">
              <w:rPr>
                <w:sz w:val="20"/>
                <w:szCs w:val="20"/>
              </w:rPr>
              <w:t>Se aplica el Capítulo X de los Estatutos y Reglamento del Personal.</w:t>
            </w:r>
          </w:p>
          <w:p w:rsidR="00147616" w:rsidRPr="00E70501" w:rsidRDefault="00147616" w:rsidP="001D7C3E">
            <w:pPr>
              <w:rPr>
                <w:sz w:val="20"/>
                <w:szCs w:val="20"/>
              </w:rPr>
            </w:pPr>
          </w:p>
        </w:tc>
      </w:tr>
      <w:tr w:rsidR="00147616" w:rsidRPr="00E70501" w:rsidTr="00584451">
        <w:tc>
          <w:tcPr>
            <w:tcW w:w="2977" w:type="dxa"/>
            <w:vMerge/>
          </w:tcPr>
          <w:p w:rsidR="00147616" w:rsidRPr="00E70501" w:rsidRDefault="00147616" w:rsidP="001D7C3E">
            <w:pPr>
              <w:rPr>
                <w:sz w:val="20"/>
                <w:szCs w:val="20"/>
              </w:rPr>
            </w:pPr>
          </w:p>
        </w:tc>
        <w:tc>
          <w:tcPr>
            <w:tcW w:w="3969" w:type="dxa"/>
          </w:tcPr>
          <w:p w:rsidR="00147616" w:rsidRPr="00E70501" w:rsidRDefault="00147616" w:rsidP="00476222">
            <w:pPr>
              <w:rPr>
                <w:sz w:val="20"/>
                <w:szCs w:val="20"/>
              </w:rPr>
            </w:pPr>
            <w:r w:rsidRPr="00E70501">
              <w:rPr>
                <w:sz w:val="20"/>
                <w:szCs w:val="20"/>
              </w:rPr>
              <w:t>Publicación en los informes anuales de las sanciones impuestas por el jefe ejecutivo;</w:t>
            </w:r>
          </w:p>
        </w:tc>
        <w:tc>
          <w:tcPr>
            <w:tcW w:w="1134" w:type="dxa"/>
            <w:vAlign w:val="center"/>
          </w:tcPr>
          <w:p w:rsidR="00147616" w:rsidRPr="00E70501" w:rsidRDefault="00147616" w:rsidP="003411F7">
            <w:pPr>
              <w:jc w:val="center"/>
              <w:rPr>
                <w:sz w:val="20"/>
                <w:szCs w:val="20"/>
              </w:rPr>
            </w:pPr>
            <w:r w:rsidRPr="00E70501">
              <w:rPr>
                <w:sz w:val="20"/>
                <w:szCs w:val="20"/>
              </w:rPr>
              <w:t>No se ha aplicado</w:t>
            </w:r>
          </w:p>
        </w:tc>
        <w:tc>
          <w:tcPr>
            <w:tcW w:w="6522" w:type="dxa"/>
            <w:vAlign w:val="center"/>
          </w:tcPr>
          <w:p w:rsidR="00147616" w:rsidRPr="00E70501" w:rsidRDefault="00147616" w:rsidP="00476222">
            <w:pPr>
              <w:rPr>
                <w:sz w:val="20"/>
                <w:szCs w:val="20"/>
              </w:rPr>
            </w:pPr>
            <w:r w:rsidRPr="00E70501">
              <w:rPr>
                <w:sz w:val="20"/>
                <w:szCs w:val="20"/>
              </w:rPr>
              <w:t>No la imponen los instrumentos fundamentales de la UIT.</w:t>
            </w:r>
          </w:p>
        </w:tc>
      </w:tr>
      <w:tr w:rsidR="00147616" w:rsidRPr="00E70501" w:rsidTr="00584451">
        <w:tc>
          <w:tcPr>
            <w:tcW w:w="2977" w:type="dxa"/>
            <w:vMerge/>
          </w:tcPr>
          <w:p w:rsidR="00147616" w:rsidRPr="00E70501" w:rsidRDefault="00147616" w:rsidP="001D7C3E">
            <w:pPr>
              <w:rPr>
                <w:sz w:val="20"/>
                <w:szCs w:val="20"/>
              </w:rPr>
            </w:pPr>
          </w:p>
        </w:tc>
        <w:tc>
          <w:tcPr>
            <w:tcW w:w="3969" w:type="dxa"/>
          </w:tcPr>
          <w:p w:rsidR="00147616" w:rsidRPr="00E70501" w:rsidRDefault="00147616" w:rsidP="00476222">
            <w:pPr>
              <w:rPr>
                <w:sz w:val="20"/>
                <w:szCs w:val="20"/>
              </w:rPr>
            </w:pPr>
            <w:r w:rsidRPr="00E70501">
              <w:rPr>
                <w:sz w:val="20"/>
                <w:szCs w:val="20"/>
              </w:rPr>
              <w:t>Programas de premios o recompensas concedidos por comités o grupos especiales sobre la base de criterios claros;</w:t>
            </w:r>
          </w:p>
        </w:tc>
        <w:tc>
          <w:tcPr>
            <w:tcW w:w="1134" w:type="dxa"/>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val="restart"/>
            <w:vAlign w:val="center"/>
          </w:tcPr>
          <w:p w:rsidR="00147616" w:rsidRPr="00E70501" w:rsidRDefault="00147616" w:rsidP="009D764D">
            <w:pPr>
              <w:rPr>
                <w:sz w:val="20"/>
                <w:szCs w:val="20"/>
              </w:rPr>
            </w:pPr>
            <w:r w:rsidRPr="00E70501">
              <w:rPr>
                <w:sz w:val="20"/>
                <w:szCs w:val="20"/>
              </w:rPr>
              <w:t>Se conceden anualmente premios por desempeño sobresaliente del personal y se les da publicidad.</w:t>
            </w:r>
          </w:p>
          <w:p w:rsidR="00147616" w:rsidRPr="00E70501" w:rsidRDefault="00147616" w:rsidP="009D764D">
            <w:pPr>
              <w:rPr>
                <w:sz w:val="20"/>
                <w:szCs w:val="20"/>
              </w:rPr>
            </w:pPr>
          </w:p>
        </w:tc>
      </w:tr>
      <w:tr w:rsidR="00147616" w:rsidRPr="00E70501" w:rsidTr="00584451">
        <w:tc>
          <w:tcPr>
            <w:tcW w:w="2977" w:type="dxa"/>
            <w:vMerge/>
          </w:tcPr>
          <w:p w:rsidR="00147616" w:rsidRPr="00E70501" w:rsidRDefault="00147616" w:rsidP="001D7C3E">
            <w:pPr>
              <w:rPr>
                <w:sz w:val="20"/>
                <w:szCs w:val="20"/>
              </w:rPr>
            </w:pPr>
          </w:p>
        </w:tc>
        <w:tc>
          <w:tcPr>
            <w:tcW w:w="3969" w:type="dxa"/>
          </w:tcPr>
          <w:p w:rsidR="00147616" w:rsidRPr="00E70501" w:rsidRDefault="00147616" w:rsidP="00476222">
            <w:pPr>
              <w:rPr>
                <w:sz w:val="20"/>
                <w:szCs w:val="20"/>
              </w:rPr>
            </w:pPr>
            <w:r w:rsidRPr="00E70501">
              <w:rPr>
                <w:sz w:val="20"/>
                <w:szCs w:val="20"/>
              </w:rPr>
              <w:t>Publicación de los nombres de los funcionarios que reciban premios y recompensas</w:t>
            </w:r>
          </w:p>
        </w:tc>
        <w:tc>
          <w:tcPr>
            <w:tcW w:w="1134" w:type="dxa"/>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tcPr>
          <w:p w:rsidR="00147616" w:rsidRPr="00E70501" w:rsidRDefault="00147616" w:rsidP="001D7C3E">
            <w:pPr>
              <w:rPr>
                <w:sz w:val="20"/>
                <w:szCs w:val="20"/>
              </w:rPr>
            </w:pPr>
          </w:p>
        </w:tc>
      </w:tr>
      <w:tr w:rsidR="00147616" w:rsidRPr="00E70501" w:rsidTr="00584451">
        <w:trPr>
          <w:cantSplit/>
        </w:trPr>
        <w:tc>
          <w:tcPr>
            <w:tcW w:w="2977" w:type="dxa"/>
            <w:vMerge w:val="restart"/>
          </w:tcPr>
          <w:p w:rsidR="00147616" w:rsidRPr="00E70501" w:rsidRDefault="00147616" w:rsidP="00D00579">
            <w:pPr>
              <w:rPr>
                <w:sz w:val="20"/>
                <w:szCs w:val="20"/>
              </w:rPr>
            </w:pPr>
            <w:r w:rsidRPr="00E70501">
              <w:rPr>
                <w:sz w:val="20"/>
                <w:szCs w:val="20"/>
              </w:rPr>
              <w:t>7. Todo el personal ha de rendir cuentas de su trabajo sobre la base de una descripción de las funciones actualizada y por escrito que refleje fielmente sus tareas</w:t>
            </w:r>
            <w:r w:rsidR="00D00579" w:rsidRPr="00E70501">
              <w:rPr>
                <w:sz w:val="20"/>
                <w:szCs w:val="20"/>
              </w:rPr>
              <w:t xml:space="preserve"> </w:t>
            </w:r>
            <w:r w:rsidRPr="00E70501">
              <w:rPr>
                <w:sz w:val="20"/>
                <w:szCs w:val="20"/>
              </w:rPr>
              <w:t>concretas</w:t>
            </w:r>
          </w:p>
        </w:tc>
        <w:tc>
          <w:tcPr>
            <w:tcW w:w="3969" w:type="dxa"/>
          </w:tcPr>
          <w:p w:rsidR="00147616" w:rsidRPr="00E70501" w:rsidRDefault="00147616" w:rsidP="001D7C3E">
            <w:pPr>
              <w:rPr>
                <w:sz w:val="20"/>
                <w:szCs w:val="20"/>
              </w:rPr>
            </w:pPr>
            <w:r w:rsidRPr="00E70501">
              <w:rPr>
                <w:sz w:val="20"/>
                <w:szCs w:val="20"/>
              </w:rPr>
              <w:t>Descripción de las funciones para todo el personal</w:t>
            </w:r>
          </w:p>
        </w:tc>
        <w:tc>
          <w:tcPr>
            <w:tcW w:w="1134" w:type="dxa"/>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val="restart"/>
            <w:vAlign w:val="center"/>
          </w:tcPr>
          <w:p w:rsidR="00147616" w:rsidRPr="00E70501" w:rsidRDefault="00147616" w:rsidP="000C5552">
            <w:pPr>
              <w:rPr>
                <w:sz w:val="20"/>
                <w:szCs w:val="20"/>
              </w:rPr>
            </w:pPr>
            <w:r w:rsidRPr="00E70501">
              <w:rPr>
                <w:sz w:val="20"/>
                <w:szCs w:val="20"/>
              </w:rPr>
              <w:t>No siempre es viable la conexión total entre el trabajo real y la descripción de las funciones, sin embargo la evaluación anual del desempeño personal define los objetivos y las tareas diarias de los funcionarios así como su participación en las comisiones estatutarias y grupos especiales.</w:t>
            </w:r>
          </w:p>
          <w:p w:rsidR="00147616" w:rsidRPr="00E70501" w:rsidRDefault="00147616" w:rsidP="000C5552">
            <w:pPr>
              <w:rPr>
                <w:sz w:val="20"/>
                <w:szCs w:val="20"/>
              </w:rPr>
            </w:pPr>
          </w:p>
        </w:tc>
      </w:tr>
      <w:tr w:rsidR="00147616" w:rsidRPr="00E70501" w:rsidTr="00584451">
        <w:trPr>
          <w:trHeight w:val="732"/>
        </w:trPr>
        <w:tc>
          <w:tcPr>
            <w:tcW w:w="2977" w:type="dxa"/>
            <w:vMerge/>
          </w:tcPr>
          <w:p w:rsidR="00147616" w:rsidRPr="00E70501" w:rsidRDefault="00147616" w:rsidP="00732706">
            <w:pPr>
              <w:rPr>
                <w:sz w:val="20"/>
                <w:szCs w:val="20"/>
              </w:rPr>
            </w:pPr>
          </w:p>
        </w:tc>
        <w:tc>
          <w:tcPr>
            <w:tcW w:w="3969" w:type="dxa"/>
          </w:tcPr>
          <w:p w:rsidR="00147616" w:rsidRPr="00E70501" w:rsidRDefault="00147616" w:rsidP="00732706">
            <w:pPr>
              <w:rPr>
                <w:sz w:val="20"/>
                <w:szCs w:val="20"/>
              </w:rPr>
            </w:pPr>
            <w:r w:rsidRPr="00E70501">
              <w:rPr>
                <w:sz w:val="20"/>
                <w:szCs w:val="20"/>
              </w:rPr>
              <w:t>Coherencia entre la descripción de las funciones y el trabajo diario</w:t>
            </w:r>
          </w:p>
        </w:tc>
        <w:tc>
          <w:tcPr>
            <w:tcW w:w="1134" w:type="dxa"/>
            <w:shd w:val="clear" w:color="auto" w:fill="FFFFFF" w:themeFill="background1"/>
            <w:vAlign w:val="center"/>
          </w:tcPr>
          <w:p w:rsidR="00147616" w:rsidRPr="00E70501" w:rsidRDefault="00147616" w:rsidP="003411F7">
            <w:pPr>
              <w:jc w:val="center"/>
              <w:rPr>
                <w:sz w:val="20"/>
                <w:szCs w:val="20"/>
              </w:rPr>
            </w:pPr>
            <w:r w:rsidRPr="00E70501">
              <w:rPr>
                <w:sz w:val="20"/>
                <w:szCs w:val="20"/>
              </w:rPr>
              <w:t>En curso</w:t>
            </w:r>
          </w:p>
        </w:tc>
        <w:tc>
          <w:tcPr>
            <w:tcW w:w="6522" w:type="dxa"/>
            <w:vMerge/>
          </w:tcPr>
          <w:p w:rsidR="00147616" w:rsidRPr="00E70501" w:rsidRDefault="00147616" w:rsidP="00732706">
            <w:pPr>
              <w:rPr>
                <w:sz w:val="20"/>
                <w:szCs w:val="20"/>
                <w:highlight w:val="yellow"/>
              </w:rPr>
            </w:pPr>
          </w:p>
        </w:tc>
      </w:tr>
      <w:tr w:rsidR="00147616" w:rsidRPr="00E70501" w:rsidTr="00584451">
        <w:trPr>
          <w:trHeight w:val="218"/>
        </w:trPr>
        <w:tc>
          <w:tcPr>
            <w:tcW w:w="2977" w:type="dxa"/>
            <w:vMerge w:val="restart"/>
          </w:tcPr>
          <w:p w:rsidR="00147616" w:rsidRPr="00E70501" w:rsidRDefault="00147616" w:rsidP="001C1D98">
            <w:pPr>
              <w:rPr>
                <w:sz w:val="20"/>
                <w:szCs w:val="20"/>
              </w:rPr>
            </w:pPr>
            <w:r w:rsidRPr="00E70501">
              <w:rPr>
                <w:sz w:val="20"/>
                <w:szCs w:val="20"/>
              </w:rPr>
              <w:lastRenderedPageBreak/>
              <w:t>8. Concretización de las políticas de selección, de contratación y de restricciones posteriores a la separación del servicio</w:t>
            </w:r>
          </w:p>
        </w:tc>
        <w:tc>
          <w:tcPr>
            <w:tcW w:w="3969" w:type="dxa"/>
            <w:shd w:val="clear" w:color="auto" w:fill="auto"/>
          </w:tcPr>
          <w:p w:rsidR="00147616" w:rsidRPr="00E70501" w:rsidRDefault="00147616" w:rsidP="00521468">
            <w:pPr>
              <w:rPr>
                <w:sz w:val="20"/>
                <w:szCs w:val="20"/>
              </w:rPr>
            </w:pPr>
            <w:r w:rsidRPr="00E70501">
              <w:rPr>
                <w:sz w:val="20"/>
                <w:szCs w:val="20"/>
              </w:rPr>
              <w:t>Política de contratación por la que se restringe la contratación de familiares y parientes</w:t>
            </w:r>
          </w:p>
        </w:tc>
        <w:tc>
          <w:tcPr>
            <w:tcW w:w="1134" w:type="dxa"/>
            <w:shd w:val="clear" w:color="auto" w:fill="auto"/>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shd w:val="clear" w:color="auto" w:fill="auto"/>
            <w:vAlign w:val="center"/>
          </w:tcPr>
          <w:p w:rsidR="00147616" w:rsidRPr="00E70501" w:rsidRDefault="00147616" w:rsidP="00521468">
            <w:pPr>
              <w:rPr>
                <w:sz w:val="20"/>
                <w:szCs w:val="20"/>
              </w:rPr>
            </w:pPr>
            <w:r w:rsidRPr="00E70501">
              <w:rPr>
                <w:sz w:val="20"/>
                <w:szCs w:val="20"/>
              </w:rPr>
              <w:t>Artículo 4.7.1 de los Estatutos y Reglamento del Personal.</w:t>
            </w:r>
          </w:p>
        </w:tc>
      </w:tr>
      <w:tr w:rsidR="00147616" w:rsidRPr="00E70501" w:rsidTr="00584451">
        <w:trPr>
          <w:trHeight w:val="217"/>
        </w:trPr>
        <w:tc>
          <w:tcPr>
            <w:tcW w:w="2977" w:type="dxa"/>
            <w:vMerge/>
          </w:tcPr>
          <w:p w:rsidR="00147616" w:rsidRPr="00E70501" w:rsidRDefault="00147616" w:rsidP="00732706">
            <w:pPr>
              <w:rPr>
                <w:sz w:val="20"/>
                <w:szCs w:val="20"/>
              </w:rPr>
            </w:pPr>
          </w:p>
        </w:tc>
        <w:tc>
          <w:tcPr>
            <w:tcW w:w="3969" w:type="dxa"/>
            <w:shd w:val="clear" w:color="auto" w:fill="auto"/>
          </w:tcPr>
          <w:p w:rsidR="00147616" w:rsidRPr="00E70501" w:rsidRDefault="00147616" w:rsidP="00521468">
            <w:pPr>
              <w:rPr>
                <w:sz w:val="20"/>
                <w:szCs w:val="20"/>
              </w:rPr>
            </w:pPr>
            <w:r w:rsidRPr="00E70501">
              <w:rPr>
                <w:sz w:val="20"/>
                <w:szCs w:val="20"/>
              </w:rPr>
              <w:t>Restricciones posteriores a la separación del servicio para el personal que se jubila o renuncia</w:t>
            </w:r>
          </w:p>
        </w:tc>
        <w:tc>
          <w:tcPr>
            <w:tcW w:w="1134" w:type="dxa"/>
            <w:shd w:val="clear" w:color="auto" w:fill="auto"/>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shd w:val="clear" w:color="auto" w:fill="auto"/>
            <w:vAlign w:val="center"/>
          </w:tcPr>
          <w:p w:rsidR="00147616" w:rsidRPr="00E70501" w:rsidRDefault="00147616" w:rsidP="00521468">
            <w:pPr>
              <w:rPr>
                <w:sz w:val="20"/>
                <w:szCs w:val="20"/>
              </w:rPr>
            </w:pPr>
            <w:r w:rsidRPr="00E70501">
              <w:rPr>
                <w:sz w:val="20"/>
                <w:szCs w:val="20"/>
              </w:rPr>
              <w:t xml:space="preserve">Ya hay definida una política para los jubilados (la UIT aplica las limitaciones de las Naciones Unidas) y para los funcionarios que abandonan la organización en el marco de un programa de separación anticipada. </w:t>
            </w:r>
          </w:p>
        </w:tc>
      </w:tr>
      <w:tr w:rsidR="00147616" w:rsidRPr="00E70501" w:rsidTr="00584451">
        <w:tc>
          <w:tcPr>
            <w:tcW w:w="2977" w:type="dxa"/>
            <w:shd w:val="clear" w:color="auto" w:fill="FFFFFF" w:themeFill="background1"/>
          </w:tcPr>
          <w:p w:rsidR="00147616" w:rsidRPr="00E70501" w:rsidRDefault="00147616" w:rsidP="001C1D98">
            <w:pPr>
              <w:rPr>
                <w:sz w:val="20"/>
                <w:szCs w:val="20"/>
              </w:rPr>
            </w:pPr>
            <w:r w:rsidRPr="00E70501">
              <w:rPr>
                <w:sz w:val="20"/>
                <w:szCs w:val="20"/>
              </w:rPr>
              <w:t xml:space="preserve">9. La organización tiene una política formal en materia de </w:t>
            </w:r>
            <w:proofErr w:type="spellStart"/>
            <w:r w:rsidRPr="00E70501">
              <w:rPr>
                <w:sz w:val="20"/>
                <w:szCs w:val="20"/>
              </w:rPr>
              <w:t>GRI</w:t>
            </w:r>
            <w:proofErr w:type="spellEnd"/>
            <w:r w:rsidRPr="00E70501">
              <w:rPr>
                <w:sz w:val="20"/>
                <w:szCs w:val="20"/>
              </w:rPr>
              <w:t xml:space="preserve"> que se aplica con una metodología coherente.</w:t>
            </w:r>
          </w:p>
        </w:tc>
        <w:tc>
          <w:tcPr>
            <w:tcW w:w="3969" w:type="dxa"/>
            <w:shd w:val="clear" w:color="auto" w:fill="FFFFFF" w:themeFill="background1"/>
          </w:tcPr>
          <w:p w:rsidR="00147616" w:rsidRPr="00E70501" w:rsidRDefault="00147616" w:rsidP="001C1D98">
            <w:pPr>
              <w:rPr>
                <w:sz w:val="20"/>
                <w:szCs w:val="20"/>
              </w:rPr>
            </w:pPr>
            <w:r w:rsidRPr="00E70501">
              <w:rPr>
                <w:sz w:val="20"/>
                <w:szCs w:val="20"/>
              </w:rPr>
              <w:t>En cada dependencia, proyecto o proceso se lleva a cabo un análisis del riesgo y la</w:t>
            </w:r>
          </w:p>
          <w:p w:rsidR="00147616" w:rsidRPr="00E70501" w:rsidRDefault="00147616" w:rsidP="001C1D98">
            <w:pPr>
              <w:rPr>
                <w:sz w:val="20"/>
                <w:szCs w:val="20"/>
              </w:rPr>
            </w:pPr>
            <w:r w:rsidRPr="00E70501">
              <w:rPr>
                <w:sz w:val="20"/>
                <w:szCs w:val="20"/>
              </w:rPr>
              <w:t>organización cuenta con un plan general de gestión del riesgo</w:t>
            </w:r>
          </w:p>
        </w:tc>
        <w:tc>
          <w:tcPr>
            <w:tcW w:w="1134" w:type="dxa"/>
            <w:shd w:val="clear" w:color="auto" w:fill="FFFFFF" w:themeFill="background1"/>
            <w:vAlign w:val="center"/>
          </w:tcPr>
          <w:p w:rsidR="00147616" w:rsidRPr="00E70501" w:rsidRDefault="00147616" w:rsidP="00476222">
            <w:pPr>
              <w:jc w:val="center"/>
              <w:rPr>
                <w:sz w:val="20"/>
                <w:szCs w:val="20"/>
              </w:rPr>
            </w:pPr>
            <w:r w:rsidRPr="00E70501">
              <w:rPr>
                <w:sz w:val="20"/>
                <w:szCs w:val="20"/>
              </w:rPr>
              <w:t>En curso</w:t>
            </w:r>
          </w:p>
        </w:tc>
        <w:tc>
          <w:tcPr>
            <w:tcW w:w="6522" w:type="dxa"/>
            <w:shd w:val="clear" w:color="auto" w:fill="FFFFFF" w:themeFill="background1"/>
          </w:tcPr>
          <w:p w:rsidR="00147616" w:rsidRPr="00E70501" w:rsidRDefault="00147616" w:rsidP="003411F7">
            <w:pPr>
              <w:rPr>
                <w:sz w:val="20"/>
                <w:szCs w:val="20"/>
              </w:rPr>
            </w:pPr>
            <w:r w:rsidRPr="00E70501">
              <w:rPr>
                <w:sz w:val="20"/>
                <w:szCs w:val="20"/>
              </w:rPr>
              <w:t>Se llevan registros y se elaboran informes a través de los Planes Operacionales de los Sectores y la Secretaría General.</w:t>
            </w:r>
          </w:p>
          <w:p w:rsidR="00147616" w:rsidRPr="00E70501" w:rsidRDefault="00147616" w:rsidP="003411F7">
            <w:pPr>
              <w:rPr>
                <w:sz w:val="20"/>
                <w:szCs w:val="20"/>
              </w:rPr>
            </w:pPr>
            <w:r w:rsidRPr="00E70501">
              <w:rPr>
                <w:sz w:val="20"/>
                <w:szCs w:val="20"/>
              </w:rPr>
              <w:t>En la Reunión del Consejo correspondiente a 2017 se refrendará la Política de Gestión de Riesgos y de Asunción de Riesgos.</w:t>
            </w:r>
          </w:p>
          <w:p w:rsidR="00147616" w:rsidRPr="00E70501" w:rsidRDefault="00147616" w:rsidP="003411F7">
            <w:pPr>
              <w:rPr>
                <w:sz w:val="20"/>
                <w:szCs w:val="20"/>
              </w:rPr>
            </w:pPr>
          </w:p>
        </w:tc>
      </w:tr>
      <w:tr w:rsidR="00147616" w:rsidRPr="00E70501" w:rsidTr="00584451">
        <w:tc>
          <w:tcPr>
            <w:tcW w:w="2977" w:type="dxa"/>
            <w:vMerge w:val="restart"/>
            <w:shd w:val="clear" w:color="auto" w:fill="FFFFFF" w:themeFill="background1"/>
          </w:tcPr>
          <w:p w:rsidR="00147616" w:rsidRPr="00E70501" w:rsidRDefault="00147616" w:rsidP="00FC0DC4">
            <w:pPr>
              <w:rPr>
                <w:sz w:val="20"/>
                <w:szCs w:val="20"/>
              </w:rPr>
            </w:pPr>
            <w:r w:rsidRPr="00E70501">
              <w:rPr>
                <w:sz w:val="20"/>
                <w:szCs w:val="20"/>
              </w:rPr>
              <w:t>10. La cadena de mando y la delegación de autoridad son claras y coherentes</w:t>
            </w:r>
            <w:r w:rsidR="00FC0DC4">
              <w:rPr>
                <w:sz w:val="20"/>
                <w:szCs w:val="20"/>
              </w:rPr>
              <w:t xml:space="preserve"> </w:t>
            </w:r>
            <w:r w:rsidRPr="00E70501">
              <w:rPr>
                <w:sz w:val="20"/>
                <w:szCs w:val="20"/>
              </w:rPr>
              <w:t>y se integran en los sistemas existentes de planificación de los recursos institucionales</w:t>
            </w:r>
          </w:p>
        </w:tc>
        <w:tc>
          <w:tcPr>
            <w:tcW w:w="3969" w:type="dxa"/>
            <w:shd w:val="clear" w:color="auto" w:fill="FFFFFF" w:themeFill="background1"/>
          </w:tcPr>
          <w:p w:rsidR="00147616" w:rsidRPr="00E70501" w:rsidRDefault="00147616" w:rsidP="00FE158C">
            <w:pPr>
              <w:rPr>
                <w:sz w:val="20"/>
                <w:szCs w:val="20"/>
              </w:rPr>
            </w:pPr>
            <w:r w:rsidRPr="00E70501">
              <w:rPr>
                <w:sz w:val="20"/>
                <w:szCs w:val="20"/>
              </w:rPr>
              <w:t>Definición clara de la delegación de autoridad</w:t>
            </w:r>
          </w:p>
        </w:tc>
        <w:tc>
          <w:tcPr>
            <w:tcW w:w="1134" w:type="dxa"/>
            <w:shd w:val="clear" w:color="auto" w:fill="auto"/>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shd w:val="clear" w:color="auto" w:fill="auto"/>
          </w:tcPr>
          <w:p w:rsidR="00147616" w:rsidRPr="00E70501" w:rsidRDefault="00147616" w:rsidP="00BA124C">
            <w:pPr>
              <w:rPr>
                <w:sz w:val="20"/>
                <w:szCs w:val="20"/>
              </w:rPr>
            </w:pPr>
          </w:p>
        </w:tc>
      </w:tr>
      <w:tr w:rsidR="00147616" w:rsidRPr="00E70501" w:rsidTr="00584451">
        <w:tc>
          <w:tcPr>
            <w:tcW w:w="2977" w:type="dxa"/>
            <w:vMerge/>
            <w:shd w:val="clear" w:color="auto" w:fill="FFFFFF" w:themeFill="background1"/>
          </w:tcPr>
          <w:p w:rsidR="00147616" w:rsidRPr="00E70501" w:rsidRDefault="00147616" w:rsidP="009B4CB4">
            <w:pPr>
              <w:rPr>
                <w:sz w:val="20"/>
                <w:szCs w:val="20"/>
              </w:rPr>
            </w:pPr>
          </w:p>
        </w:tc>
        <w:tc>
          <w:tcPr>
            <w:tcW w:w="3969" w:type="dxa"/>
            <w:shd w:val="clear" w:color="auto" w:fill="FFFFFF" w:themeFill="background1"/>
          </w:tcPr>
          <w:p w:rsidR="00147616" w:rsidRPr="00E70501" w:rsidRDefault="00147616" w:rsidP="001C1D98">
            <w:pPr>
              <w:rPr>
                <w:sz w:val="20"/>
                <w:szCs w:val="20"/>
              </w:rPr>
            </w:pPr>
            <w:r w:rsidRPr="00E70501">
              <w:rPr>
                <w:sz w:val="20"/>
                <w:szCs w:val="20"/>
              </w:rPr>
              <w:t>Coherencia entre la línea de gestión y la delegación de autoridad, y líneas</w:t>
            </w:r>
          </w:p>
          <w:p w:rsidR="00147616" w:rsidRPr="00E70501" w:rsidRDefault="00147616" w:rsidP="001C1D98">
            <w:pPr>
              <w:rPr>
                <w:sz w:val="20"/>
                <w:szCs w:val="20"/>
              </w:rPr>
            </w:pPr>
            <w:r w:rsidRPr="00E70501">
              <w:rPr>
                <w:sz w:val="20"/>
                <w:szCs w:val="20"/>
              </w:rPr>
              <w:t>claras de presentación de informes</w:t>
            </w:r>
          </w:p>
        </w:tc>
        <w:tc>
          <w:tcPr>
            <w:tcW w:w="1134" w:type="dxa"/>
            <w:shd w:val="clear" w:color="auto" w:fill="auto"/>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shd w:val="clear" w:color="auto" w:fill="auto"/>
          </w:tcPr>
          <w:p w:rsidR="00147616" w:rsidRPr="00E70501" w:rsidRDefault="00147616" w:rsidP="00FE158C">
            <w:pPr>
              <w:rPr>
                <w:sz w:val="20"/>
                <w:szCs w:val="20"/>
              </w:rPr>
            </w:pPr>
          </w:p>
        </w:tc>
      </w:tr>
      <w:tr w:rsidR="00147616" w:rsidRPr="00E70501" w:rsidTr="00584451">
        <w:tc>
          <w:tcPr>
            <w:tcW w:w="2977" w:type="dxa"/>
            <w:vMerge/>
            <w:shd w:val="clear" w:color="auto" w:fill="FFFFFF" w:themeFill="background1"/>
          </w:tcPr>
          <w:p w:rsidR="00147616" w:rsidRPr="00E70501" w:rsidRDefault="00147616" w:rsidP="009B4CB4">
            <w:pPr>
              <w:rPr>
                <w:sz w:val="20"/>
                <w:szCs w:val="20"/>
              </w:rPr>
            </w:pPr>
          </w:p>
        </w:tc>
        <w:tc>
          <w:tcPr>
            <w:tcW w:w="3969" w:type="dxa"/>
            <w:shd w:val="clear" w:color="auto" w:fill="FFFFFF" w:themeFill="background1"/>
          </w:tcPr>
          <w:p w:rsidR="00147616" w:rsidRPr="00E70501" w:rsidRDefault="00147616" w:rsidP="009D01DF">
            <w:pPr>
              <w:rPr>
                <w:sz w:val="20"/>
                <w:szCs w:val="20"/>
              </w:rPr>
            </w:pPr>
            <w:r w:rsidRPr="00E70501">
              <w:rPr>
                <w:sz w:val="20"/>
                <w:szCs w:val="20"/>
              </w:rPr>
              <w:t>Delegación de autoridad incorporada a los sistemas existentes de planificación de los recursos institucionales</w:t>
            </w:r>
          </w:p>
        </w:tc>
        <w:tc>
          <w:tcPr>
            <w:tcW w:w="1134" w:type="dxa"/>
            <w:shd w:val="clear" w:color="auto" w:fill="auto"/>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shd w:val="clear" w:color="auto" w:fill="auto"/>
          </w:tcPr>
          <w:p w:rsidR="00147616" w:rsidRPr="00E70501" w:rsidRDefault="00147616" w:rsidP="009D01DF">
            <w:pPr>
              <w:rPr>
                <w:sz w:val="20"/>
                <w:szCs w:val="20"/>
              </w:rPr>
            </w:pPr>
            <w:r w:rsidRPr="00E70501">
              <w:rPr>
                <w:sz w:val="20"/>
                <w:szCs w:val="20"/>
              </w:rPr>
              <w:t>El acceso al sistema de planificación de los recursos se basa en la separación de funciones</w:t>
            </w:r>
          </w:p>
        </w:tc>
      </w:tr>
      <w:tr w:rsidR="00147616" w:rsidRPr="00E70501" w:rsidTr="00584451">
        <w:tc>
          <w:tcPr>
            <w:tcW w:w="2977" w:type="dxa"/>
            <w:vMerge w:val="restart"/>
            <w:shd w:val="clear" w:color="auto" w:fill="FFFFFF" w:themeFill="background1"/>
          </w:tcPr>
          <w:p w:rsidR="00147616" w:rsidRPr="00E70501" w:rsidRDefault="00147616" w:rsidP="002B608C">
            <w:pPr>
              <w:rPr>
                <w:sz w:val="20"/>
                <w:szCs w:val="20"/>
              </w:rPr>
            </w:pPr>
            <w:r w:rsidRPr="00E70501">
              <w:rPr>
                <w:sz w:val="20"/>
                <w:szCs w:val="20"/>
              </w:rPr>
              <w:t>11. Los reglamentos financieros y las reglamentaciones financieras detalladas de las organizaciones del sistema de las Naciones Unidas comprenden políticas contra el fraude y las faltas de conducta en materia financiera y se aplican en la práctica</w:t>
            </w:r>
          </w:p>
        </w:tc>
        <w:tc>
          <w:tcPr>
            <w:tcW w:w="3969" w:type="dxa"/>
            <w:shd w:val="clear" w:color="auto" w:fill="FFFFFF" w:themeFill="background1"/>
          </w:tcPr>
          <w:p w:rsidR="00147616" w:rsidRPr="00E70501" w:rsidRDefault="00147616" w:rsidP="00FE158C">
            <w:pPr>
              <w:rPr>
                <w:sz w:val="20"/>
                <w:szCs w:val="20"/>
              </w:rPr>
            </w:pPr>
            <w:r w:rsidRPr="00E70501">
              <w:rPr>
                <w:sz w:val="20"/>
                <w:szCs w:val="20"/>
              </w:rPr>
              <w:t>Reglamentos financieros y reglamentaciones financieras detalladas</w:t>
            </w:r>
          </w:p>
        </w:tc>
        <w:tc>
          <w:tcPr>
            <w:tcW w:w="1134" w:type="dxa"/>
            <w:shd w:val="clear" w:color="auto" w:fill="auto"/>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shd w:val="clear" w:color="auto" w:fill="auto"/>
          </w:tcPr>
          <w:p w:rsidR="00147616" w:rsidRPr="00E70501" w:rsidRDefault="00147616" w:rsidP="00FE158C">
            <w:pPr>
              <w:rPr>
                <w:sz w:val="20"/>
                <w:szCs w:val="20"/>
              </w:rPr>
            </w:pPr>
          </w:p>
        </w:tc>
      </w:tr>
      <w:tr w:rsidR="00147616" w:rsidRPr="00E70501" w:rsidTr="00584451">
        <w:tc>
          <w:tcPr>
            <w:tcW w:w="2977" w:type="dxa"/>
            <w:vMerge/>
            <w:shd w:val="clear" w:color="auto" w:fill="FFFFFF" w:themeFill="background1"/>
          </w:tcPr>
          <w:p w:rsidR="00147616" w:rsidRPr="00E70501" w:rsidRDefault="00147616" w:rsidP="009B4CB4">
            <w:pPr>
              <w:rPr>
                <w:sz w:val="20"/>
                <w:szCs w:val="20"/>
              </w:rPr>
            </w:pPr>
          </w:p>
        </w:tc>
        <w:tc>
          <w:tcPr>
            <w:tcW w:w="3969" w:type="dxa"/>
            <w:shd w:val="clear" w:color="auto" w:fill="FFFFFF" w:themeFill="background1"/>
          </w:tcPr>
          <w:p w:rsidR="00147616" w:rsidRPr="00E70501" w:rsidRDefault="00147616" w:rsidP="00FE158C">
            <w:pPr>
              <w:rPr>
                <w:sz w:val="20"/>
                <w:szCs w:val="20"/>
              </w:rPr>
            </w:pPr>
            <w:r w:rsidRPr="00E70501">
              <w:rPr>
                <w:sz w:val="20"/>
                <w:szCs w:val="20"/>
              </w:rPr>
              <w:t>Declaraciones de conflictos de intereses</w:t>
            </w:r>
          </w:p>
        </w:tc>
        <w:tc>
          <w:tcPr>
            <w:tcW w:w="1134" w:type="dxa"/>
            <w:shd w:val="clear" w:color="auto" w:fill="FFFFFF" w:themeFill="background1"/>
            <w:vAlign w:val="center"/>
          </w:tcPr>
          <w:p w:rsidR="00147616" w:rsidRPr="00E70501" w:rsidRDefault="00147616" w:rsidP="003411F7">
            <w:pPr>
              <w:jc w:val="center"/>
              <w:rPr>
                <w:sz w:val="20"/>
                <w:szCs w:val="20"/>
              </w:rPr>
            </w:pPr>
            <w:r w:rsidRPr="00E70501">
              <w:rPr>
                <w:sz w:val="20"/>
                <w:szCs w:val="20"/>
              </w:rPr>
              <w:sym w:font="Wingdings" w:char="F0FC"/>
            </w:r>
          </w:p>
        </w:tc>
        <w:tc>
          <w:tcPr>
            <w:tcW w:w="6522" w:type="dxa"/>
            <w:vMerge w:val="restart"/>
            <w:shd w:val="clear" w:color="auto" w:fill="FFFFFF" w:themeFill="background1"/>
          </w:tcPr>
          <w:p w:rsidR="00147616" w:rsidRPr="00E70501" w:rsidRDefault="00147616" w:rsidP="00926316">
            <w:pPr>
              <w:rPr>
                <w:sz w:val="20"/>
                <w:szCs w:val="20"/>
              </w:rPr>
            </w:pPr>
            <w:r w:rsidRPr="00E70501">
              <w:rPr>
                <w:sz w:val="20"/>
                <w:szCs w:val="20"/>
              </w:rPr>
              <w:t>La UIT presenta anualmente una declaración de posibles conflictos de intereses que afecten a cuestiones financieras o de adquisiciones con arreglo a las normas éticas.</w:t>
            </w:r>
          </w:p>
          <w:p w:rsidR="00147616" w:rsidRPr="00E70501" w:rsidRDefault="00147616" w:rsidP="00926316">
            <w:pPr>
              <w:rPr>
                <w:sz w:val="20"/>
                <w:szCs w:val="20"/>
              </w:rPr>
            </w:pPr>
          </w:p>
        </w:tc>
      </w:tr>
      <w:tr w:rsidR="00147616" w:rsidRPr="00E70501" w:rsidTr="00584451">
        <w:tc>
          <w:tcPr>
            <w:tcW w:w="2977" w:type="dxa"/>
            <w:vMerge/>
            <w:shd w:val="clear" w:color="auto" w:fill="FFFFFF" w:themeFill="background1"/>
          </w:tcPr>
          <w:p w:rsidR="00147616" w:rsidRPr="00E70501" w:rsidRDefault="00147616" w:rsidP="009B4CB4">
            <w:pPr>
              <w:rPr>
                <w:sz w:val="20"/>
                <w:szCs w:val="20"/>
              </w:rPr>
            </w:pPr>
          </w:p>
        </w:tc>
        <w:tc>
          <w:tcPr>
            <w:tcW w:w="3969" w:type="dxa"/>
            <w:shd w:val="clear" w:color="auto" w:fill="FFFFFF" w:themeFill="background1"/>
          </w:tcPr>
          <w:p w:rsidR="00147616" w:rsidRPr="00E70501" w:rsidRDefault="00147616" w:rsidP="00FE158C">
            <w:pPr>
              <w:rPr>
                <w:sz w:val="20"/>
                <w:szCs w:val="20"/>
              </w:rPr>
            </w:pPr>
            <w:r w:rsidRPr="00E70501">
              <w:rPr>
                <w:sz w:val="20"/>
                <w:szCs w:val="20"/>
              </w:rPr>
              <w:t>Declaraciones de la situación financiera</w:t>
            </w:r>
          </w:p>
        </w:tc>
        <w:tc>
          <w:tcPr>
            <w:tcW w:w="1134" w:type="dxa"/>
            <w:shd w:val="clear" w:color="auto" w:fill="FFFFFF" w:themeFill="background1"/>
          </w:tcPr>
          <w:p w:rsidR="00147616" w:rsidRPr="00E70501" w:rsidRDefault="00147616" w:rsidP="009B4CB4">
            <w:pPr>
              <w:jc w:val="center"/>
              <w:rPr>
                <w:sz w:val="20"/>
                <w:szCs w:val="20"/>
              </w:rPr>
            </w:pPr>
            <w:r w:rsidRPr="00E70501">
              <w:rPr>
                <w:sz w:val="20"/>
                <w:szCs w:val="20"/>
              </w:rPr>
              <w:sym w:font="Wingdings" w:char="F0FC"/>
            </w:r>
          </w:p>
        </w:tc>
        <w:tc>
          <w:tcPr>
            <w:tcW w:w="6522" w:type="dxa"/>
            <w:vMerge/>
            <w:shd w:val="clear" w:color="auto" w:fill="FFFFFF" w:themeFill="background1"/>
          </w:tcPr>
          <w:p w:rsidR="00147616" w:rsidRPr="00E70501" w:rsidRDefault="00147616" w:rsidP="00FE158C">
            <w:pPr>
              <w:rPr>
                <w:sz w:val="20"/>
                <w:szCs w:val="20"/>
              </w:rPr>
            </w:pPr>
          </w:p>
        </w:tc>
      </w:tr>
      <w:tr w:rsidR="00147616" w:rsidRPr="00E70501" w:rsidTr="00584451">
        <w:tc>
          <w:tcPr>
            <w:tcW w:w="2977" w:type="dxa"/>
            <w:vMerge/>
            <w:shd w:val="clear" w:color="auto" w:fill="FFFFFF" w:themeFill="background1"/>
          </w:tcPr>
          <w:p w:rsidR="00147616" w:rsidRPr="00E70501" w:rsidRDefault="00147616" w:rsidP="009B4CB4">
            <w:pPr>
              <w:rPr>
                <w:sz w:val="20"/>
                <w:szCs w:val="20"/>
              </w:rPr>
            </w:pPr>
          </w:p>
        </w:tc>
        <w:tc>
          <w:tcPr>
            <w:tcW w:w="3969" w:type="dxa"/>
            <w:shd w:val="clear" w:color="auto" w:fill="FFFFFF" w:themeFill="background1"/>
          </w:tcPr>
          <w:p w:rsidR="00147616" w:rsidRPr="00E70501" w:rsidRDefault="00147616" w:rsidP="00FE158C">
            <w:pPr>
              <w:rPr>
                <w:sz w:val="20"/>
                <w:szCs w:val="20"/>
              </w:rPr>
            </w:pPr>
            <w:r w:rsidRPr="00E70501">
              <w:rPr>
                <w:sz w:val="20"/>
                <w:szCs w:val="20"/>
              </w:rPr>
              <w:t>Políticas de lucha contra el fraude</w:t>
            </w:r>
          </w:p>
        </w:tc>
        <w:tc>
          <w:tcPr>
            <w:tcW w:w="1134" w:type="dxa"/>
            <w:tcBorders>
              <w:bottom w:val="single" w:sz="4" w:space="0" w:color="auto"/>
            </w:tcBorders>
            <w:shd w:val="clear" w:color="auto" w:fill="auto"/>
          </w:tcPr>
          <w:p w:rsidR="00147616" w:rsidRPr="00E70501" w:rsidRDefault="00147616" w:rsidP="009B4CB4">
            <w:pPr>
              <w:jc w:val="center"/>
              <w:rPr>
                <w:sz w:val="20"/>
                <w:szCs w:val="20"/>
              </w:rPr>
            </w:pPr>
            <w:r w:rsidRPr="00E70501">
              <w:rPr>
                <w:sz w:val="20"/>
                <w:szCs w:val="20"/>
              </w:rPr>
              <w:t>En curso</w:t>
            </w:r>
          </w:p>
        </w:tc>
        <w:tc>
          <w:tcPr>
            <w:tcW w:w="6522" w:type="dxa"/>
            <w:tcBorders>
              <w:bottom w:val="single" w:sz="4" w:space="0" w:color="auto"/>
            </w:tcBorders>
            <w:shd w:val="clear" w:color="auto" w:fill="auto"/>
          </w:tcPr>
          <w:p w:rsidR="00147616" w:rsidRPr="00E70501" w:rsidRDefault="00147616" w:rsidP="00926316">
            <w:pPr>
              <w:rPr>
                <w:sz w:val="20"/>
                <w:szCs w:val="20"/>
              </w:rPr>
            </w:pPr>
            <w:r w:rsidRPr="00E70501">
              <w:rPr>
                <w:sz w:val="20"/>
                <w:szCs w:val="20"/>
              </w:rPr>
              <w:t>En estudio.</w:t>
            </w:r>
          </w:p>
        </w:tc>
      </w:tr>
      <w:tr w:rsidR="00147616" w:rsidRPr="00E70501" w:rsidTr="00584451">
        <w:tc>
          <w:tcPr>
            <w:tcW w:w="2977" w:type="dxa"/>
            <w:shd w:val="clear" w:color="auto" w:fill="FFFFFF" w:themeFill="background1"/>
          </w:tcPr>
          <w:p w:rsidR="00147616" w:rsidRPr="00E70501" w:rsidRDefault="00147616" w:rsidP="00CD783C">
            <w:pPr>
              <w:rPr>
                <w:sz w:val="20"/>
                <w:szCs w:val="20"/>
              </w:rPr>
            </w:pPr>
            <w:r w:rsidRPr="00E70501">
              <w:rPr>
                <w:sz w:val="20"/>
                <w:szCs w:val="20"/>
              </w:rPr>
              <w:t>12. Los directivos velan por la aplicación de los controles internos en el marco de su autoridad delegada</w:t>
            </w:r>
          </w:p>
        </w:tc>
        <w:tc>
          <w:tcPr>
            <w:tcW w:w="3969" w:type="dxa"/>
            <w:shd w:val="clear" w:color="auto" w:fill="FFFFFF" w:themeFill="background1"/>
          </w:tcPr>
          <w:p w:rsidR="00147616" w:rsidRPr="00E70501" w:rsidRDefault="00147616" w:rsidP="00CD783C">
            <w:pPr>
              <w:rPr>
                <w:sz w:val="20"/>
                <w:szCs w:val="20"/>
              </w:rPr>
            </w:pPr>
            <w:r w:rsidRPr="00E70501">
              <w:rPr>
                <w:sz w:val="20"/>
                <w:szCs w:val="20"/>
              </w:rPr>
              <w:t>Carta o formulario de representación/garantía/afirmación presentada anualmente al jefe ejecutivo</w:t>
            </w:r>
          </w:p>
        </w:tc>
        <w:tc>
          <w:tcPr>
            <w:tcW w:w="1134" w:type="dxa"/>
            <w:shd w:val="clear" w:color="auto" w:fill="FFFFFF" w:themeFill="background1"/>
          </w:tcPr>
          <w:p w:rsidR="00147616" w:rsidRPr="00E70501" w:rsidRDefault="00147616" w:rsidP="00926316">
            <w:pPr>
              <w:jc w:val="center"/>
              <w:rPr>
                <w:sz w:val="20"/>
                <w:szCs w:val="20"/>
              </w:rPr>
            </w:pPr>
            <w:r w:rsidRPr="00E70501">
              <w:rPr>
                <w:sz w:val="20"/>
                <w:szCs w:val="20"/>
              </w:rPr>
              <w:sym w:font="Wingdings" w:char="F0FC"/>
            </w:r>
          </w:p>
        </w:tc>
        <w:tc>
          <w:tcPr>
            <w:tcW w:w="6522" w:type="dxa"/>
            <w:shd w:val="clear" w:color="auto" w:fill="FFFFFF" w:themeFill="background1"/>
          </w:tcPr>
          <w:p w:rsidR="00147616" w:rsidRPr="00E70501" w:rsidRDefault="00147616" w:rsidP="008F27F5">
            <w:pPr>
              <w:rPr>
                <w:sz w:val="20"/>
                <w:szCs w:val="20"/>
              </w:rPr>
            </w:pPr>
            <w:r w:rsidRPr="00E70501">
              <w:rPr>
                <w:sz w:val="20"/>
                <w:szCs w:val="20"/>
              </w:rPr>
              <w:t>Se exige a cada funcionario de elección, jefe de departamento y jefe de dependencia de SG que presente una Carta Interna de Representación que constituya la confirmación por escrito de que han ejercido debidamente las atribuciones y responsabilidades delegadas.</w:t>
            </w:r>
          </w:p>
        </w:tc>
      </w:tr>
      <w:tr w:rsidR="00147616" w:rsidRPr="00E70501" w:rsidTr="00226FD1">
        <w:tc>
          <w:tcPr>
            <w:tcW w:w="2977" w:type="dxa"/>
            <w:vMerge w:val="restart"/>
            <w:shd w:val="clear" w:color="auto" w:fill="FFFFFF" w:themeFill="background1"/>
          </w:tcPr>
          <w:p w:rsidR="00147616" w:rsidRPr="00E70501" w:rsidRDefault="00147616" w:rsidP="00FC0DC4">
            <w:pPr>
              <w:rPr>
                <w:sz w:val="20"/>
                <w:szCs w:val="20"/>
              </w:rPr>
            </w:pPr>
            <w:r w:rsidRPr="00E70501">
              <w:rPr>
                <w:sz w:val="20"/>
                <w:szCs w:val="20"/>
              </w:rPr>
              <w:lastRenderedPageBreak/>
              <w:t>13. El personal tiene acceso a toda la información pertinente y fiable que</w:t>
            </w:r>
            <w:r w:rsidR="00FC0DC4">
              <w:rPr>
                <w:sz w:val="20"/>
                <w:szCs w:val="20"/>
              </w:rPr>
              <w:t xml:space="preserve"> </w:t>
            </w:r>
            <w:r w:rsidRPr="00E70501">
              <w:rPr>
                <w:sz w:val="20"/>
                <w:szCs w:val="20"/>
              </w:rPr>
              <w:t>pueda facilitar la adopción de decisiones de conformidad con su autoridad delegada, y la organización cuenta con un sistema de comunicación interna y externa</w:t>
            </w:r>
          </w:p>
        </w:tc>
        <w:tc>
          <w:tcPr>
            <w:tcW w:w="3969" w:type="dxa"/>
            <w:shd w:val="clear" w:color="auto" w:fill="FFFFFF" w:themeFill="background1"/>
          </w:tcPr>
          <w:p w:rsidR="00147616" w:rsidRPr="00E70501" w:rsidRDefault="00147616" w:rsidP="00F84E4F">
            <w:pPr>
              <w:rPr>
                <w:sz w:val="20"/>
                <w:szCs w:val="20"/>
              </w:rPr>
            </w:pPr>
            <w:r w:rsidRPr="00E70501">
              <w:rPr>
                <w:sz w:val="20"/>
                <w:szCs w:val="20"/>
              </w:rPr>
              <w:t>Existencia de un sistema de planificación de los recursos institucionales o sistema similar para reunir y documentar la información pertinente</w:t>
            </w:r>
          </w:p>
        </w:tc>
        <w:tc>
          <w:tcPr>
            <w:tcW w:w="1134" w:type="dxa"/>
            <w:shd w:val="clear" w:color="auto" w:fill="auto"/>
          </w:tcPr>
          <w:p w:rsidR="00147616" w:rsidRPr="00E70501" w:rsidRDefault="00147616" w:rsidP="00FD2A1C">
            <w:pPr>
              <w:jc w:val="center"/>
              <w:rPr>
                <w:sz w:val="20"/>
                <w:szCs w:val="20"/>
              </w:rPr>
            </w:pPr>
            <w:r w:rsidRPr="00E70501">
              <w:rPr>
                <w:sz w:val="20"/>
                <w:szCs w:val="20"/>
              </w:rPr>
              <w:t>En curso</w:t>
            </w:r>
          </w:p>
        </w:tc>
        <w:tc>
          <w:tcPr>
            <w:tcW w:w="6522" w:type="dxa"/>
            <w:vMerge w:val="restart"/>
            <w:shd w:val="clear" w:color="auto" w:fill="auto"/>
            <w:vAlign w:val="center"/>
          </w:tcPr>
          <w:p w:rsidR="00147616" w:rsidRPr="00E70501" w:rsidRDefault="00147616" w:rsidP="004022BE">
            <w:pPr>
              <w:rPr>
                <w:sz w:val="20"/>
                <w:szCs w:val="20"/>
              </w:rPr>
            </w:pPr>
            <w:r w:rsidRPr="00E70501">
              <w:rPr>
                <w:sz w:val="20"/>
                <w:szCs w:val="20"/>
              </w:rPr>
              <w:t xml:space="preserve">La UIT gestiona la información y el conocimiento a través de un sistema de gestión de la información normalizado, a saber, </w:t>
            </w:r>
            <w:proofErr w:type="spellStart"/>
            <w:r w:rsidRPr="00E70501">
              <w:rPr>
                <w:sz w:val="20"/>
                <w:szCs w:val="20"/>
              </w:rPr>
              <w:t>ERP</w:t>
            </w:r>
            <w:proofErr w:type="spellEnd"/>
            <w:r w:rsidRPr="00E70501">
              <w:rPr>
                <w:sz w:val="20"/>
                <w:szCs w:val="20"/>
              </w:rPr>
              <w:t>, SharePo</w:t>
            </w:r>
            <w:r w:rsidR="00E70501">
              <w:rPr>
                <w:sz w:val="20"/>
                <w:szCs w:val="20"/>
              </w:rPr>
              <w:t>int, repositorios de ficheros y</w:t>
            </w:r>
            <w:r w:rsidRPr="00E70501">
              <w:rPr>
                <w:sz w:val="20"/>
                <w:szCs w:val="20"/>
              </w:rPr>
              <w:t xml:space="preserve"> herramientas de BI, que facilita al personal el acceso a la información dependiendo de su misión y funciones.</w:t>
            </w:r>
          </w:p>
        </w:tc>
      </w:tr>
      <w:tr w:rsidR="00147616" w:rsidRPr="00E70501" w:rsidTr="00226FD1">
        <w:tc>
          <w:tcPr>
            <w:tcW w:w="2977" w:type="dxa"/>
            <w:vMerge/>
            <w:shd w:val="clear" w:color="auto" w:fill="FFFFFF" w:themeFill="background1"/>
          </w:tcPr>
          <w:p w:rsidR="00147616" w:rsidRPr="00E70501" w:rsidRDefault="00147616" w:rsidP="003E6656">
            <w:pPr>
              <w:rPr>
                <w:sz w:val="20"/>
                <w:szCs w:val="20"/>
              </w:rPr>
            </w:pPr>
          </w:p>
        </w:tc>
        <w:tc>
          <w:tcPr>
            <w:tcW w:w="3969" w:type="dxa"/>
            <w:shd w:val="clear" w:color="auto" w:fill="FFFFFF" w:themeFill="background1"/>
          </w:tcPr>
          <w:p w:rsidR="00147616" w:rsidRPr="00E70501" w:rsidRDefault="00147616" w:rsidP="003E6656">
            <w:pPr>
              <w:rPr>
                <w:sz w:val="20"/>
                <w:szCs w:val="20"/>
              </w:rPr>
            </w:pPr>
            <w:r w:rsidRPr="00E70501">
              <w:rPr>
                <w:sz w:val="20"/>
                <w:szCs w:val="20"/>
              </w:rPr>
              <w:t>Pleno aprovechamiento de los canales de comunicación interna</w:t>
            </w:r>
          </w:p>
        </w:tc>
        <w:tc>
          <w:tcPr>
            <w:tcW w:w="1134" w:type="dxa"/>
            <w:shd w:val="clear" w:color="auto" w:fill="auto"/>
          </w:tcPr>
          <w:p w:rsidR="00147616" w:rsidRPr="00E70501" w:rsidRDefault="00147616" w:rsidP="00FD2A1C">
            <w:pPr>
              <w:jc w:val="center"/>
              <w:rPr>
                <w:sz w:val="20"/>
                <w:szCs w:val="20"/>
              </w:rPr>
            </w:pPr>
            <w:r w:rsidRPr="00E70501">
              <w:rPr>
                <w:sz w:val="20"/>
                <w:szCs w:val="20"/>
              </w:rPr>
              <w:t>En curso</w:t>
            </w:r>
          </w:p>
        </w:tc>
        <w:tc>
          <w:tcPr>
            <w:tcW w:w="6522" w:type="dxa"/>
            <w:vMerge/>
            <w:shd w:val="clear" w:color="auto" w:fill="FFFF00"/>
          </w:tcPr>
          <w:p w:rsidR="00147616" w:rsidRPr="00E70501" w:rsidRDefault="00147616" w:rsidP="003E6656">
            <w:pPr>
              <w:rPr>
                <w:sz w:val="20"/>
                <w:szCs w:val="20"/>
              </w:rPr>
            </w:pPr>
          </w:p>
        </w:tc>
      </w:tr>
      <w:tr w:rsidR="00147616" w:rsidRPr="00E70501" w:rsidTr="00226FD1">
        <w:tc>
          <w:tcPr>
            <w:tcW w:w="2977" w:type="dxa"/>
            <w:vMerge/>
            <w:shd w:val="clear" w:color="auto" w:fill="FFFFFF" w:themeFill="background1"/>
          </w:tcPr>
          <w:p w:rsidR="00147616" w:rsidRPr="00E70501" w:rsidRDefault="00147616" w:rsidP="003E6656">
            <w:pPr>
              <w:rPr>
                <w:sz w:val="20"/>
                <w:szCs w:val="20"/>
              </w:rPr>
            </w:pPr>
          </w:p>
        </w:tc>
        <w:tc>
          <w:tcPr>
            <w:tcW w:w="3969" w:type="dxa"/>
            <w:shd w:val="clear" w:color="auto" w:fill="FFFFFF" w:themeFill="background1"/>
          </w:tcPr>
          <w:p w:rsidR="00147616" w:rsidRPr="00E70501" w:rsidRDefault="00147616" w:rsidP="003E6656">
            <w:pPr>
              <w:rPr>
                <w:sz w:val="20"/>
                <w:szCs w:val="20"/>
              </w:rPr>
            </w:pPr>
            <w:r w:rsidRPr="00E70501">
              <w:rPr>
                <w:sz w:val="20"/>
                <w:szCs w:val="20"/>
              </w:rPr>
              <w:t>Funcionamiento de un sistema de divulgación de información</w:t>
            </w:r>
          </w:p>
        </w:tc>
        <w:tc>
          <w:tcPr>
            <w:tcW w:w="1134" w:type="dxa"/>
            <w:shd w:val="clear" w:color="auto" w:fill="auto"/>
          </w:tcPr>
          <w:p w:rsidR="00147616" w:rsidRPr="00E70501" w:rsidRDefault="00147616" w:rsidP="00FD2A1C">
            <w:pPr>
              <w:jc w:val="center"/>
              <w:rPr>
                <w:sz w:val="20"/>
                <w:szCs w:val="20"/>
              </w:rPr>
            </w:pPr>
            <w:r w:rsidRPr="00E70501">
              <w:rPr>
                <w:sz w:val="20"/>
                <w:szCs w:val="20"/>
              </w:rPr>
              <w:t>En curso</w:t>
            </w:r>
          </w:p>
        </w:tc>
        <w:tc>
          <w:tcPr>
            <w:tcW w:w="6522" w:type="dxa"/>
            <w:vMerge/>
            <w:shd w:val="clear" w:color="auto" w:fill="FFFF00"/>
          </w:tcPr>
          <w:p w:rsidR="00147616" w:rsidRPr="00E70501" w:rsidRDefault="00147616" w:rsidP="003E6656">
            <w:pPr>
              <w:rPr>
                <w:sz w:val="20"/>
                <w:szCs w:val="20"/>
              </w:rPr>
            </w:pPr>
          </w:p>
        </w:tc>
      </w:tr>
      <w:tr w:rsidR="00147616" w:rsidRPr="00E70501" w:rsidTr="00226FD1">
        <w:tc>
          <w:tcPr>
            <w:tcW w:w="2977" w:type="dxa"/>
            <w:vMerge w:val="restart"/>
            <w:shd w:val="clear" w:color="auto" w:fill="FFFFFF" w:themeFill="background1"/>
          </w:tcPr>
          <w:p w:rsidR="00147616" w:rsidRPr="00E70501" w:rsidRDefault="00147616" w:rsidP="00FC0DC4">
            <w:pPr>
              <w:rPr>
                <w:sz w:val="20"/>
                <w:szCs w:val="20"/>
              </w:rPr>
            </w:pPr>
            <w:r w:rsidRPr="00E70501">
              <w:rPr>
                <w:sz w:val="20"/>
                <w:szCs w:val="20"/>
              </w:rPr>
              <w:t>14. Se supervisa la actuación profesional de los jefes ejecutivos, los directivos superiores y los funcionarios y se adoptan cuando es necesario las medidas correctivas</w:t>
            </w:r>
            <w:r w:rsidR="00FC0DC4">
              <w:rPr>
                <w:sz w:val="20"/>
                <w:szCs w:val="20"/>
              </w:rPr>
              <w:t xml:space="preserve"> </w:t>
            </w:r>
            <w:r w:rsidRPr="00E70501">
              <w:rPr>
                <w:sz w:val="20"/>
                <w:szCs w:val="20"/>
              </w:rPr>
              <w:t>pertinentes</w:t>
            </w:r>
          </w:p>
        </w:tc>
        <w:tc>
          <w:tcPr>
            <w:tcW w:w="3969" w:type="dxa"/>
            <w:shd w:val="clear" w:color="auto" w:fill="FFFFFF" w:themeFill="background1"/>
          </w:tcPr>
          <w:p w:rsidR="00147616" w:rsidRPr="00E70501" w:rsidRDefault="00147616" w:rsidP="00BB3CB4">
            <w:pPr>
              <w:rPr>
                <w:sz w:val="20"/>
                <w:szCs w:val="20"/>
              </w:rPr>
            </w:pPr>
            <w:r w:rsidRPr="00E70501">
              <w:rPr>
                <w:sz w:val="20"/>
                <w:szCs w:val="20"/>
              </w:rPr>
              <w:t>Evaluaciones de la actuación profesional del personal de todas las categorías, incluida retroinformación de 360 grados</w:t>
            </w:r>
          </w:p>
        </w:tc>
        <w:tc>
          <w:tcPr>
            <w:tcW w:w="1134" w:type="dxa"/>
            <w:shd w:val="clear" w:color="auto" w:fill="FFFFFF" w:themeFill="background1"/>
          </w:tcPr>
          <w:p w:rsidR="00147616" w:rsidRPr="00E70501" w:rsidRDefault="00147616" w:rsidP="00FD2A1C">
            <w:pPr>
              <w:jc w:val="center"/>
              <w:rPr>
                <w:sz w:val="20"/>
                <w:szCs w:val="20"/>
              </w:rPr>
            </w:pPr>
            <w:r w:rsidRPr="00E70501">
              <w:rPr>
                <w:sz w:val="20"/>
                <w:szCs w:val="20"/>
              </w:rPr>
              <w:t>En curso</w:t>
            </w:r>
          </w:p>
        </w:tc>
        <w:tc>
          <w:tcPr>
            <w:tcW w:w="6522" w:type="dxa"/>
            <w:shd w:val="clear" w:color="auto" w:fill="auto"/>
            <w:vAlign w:val="center"/>
          </w:tcPr>
          <w:p w:rsidR="00147616" w:rsidRPr="00E70501" w:rsidRDefault="00147616" w:rsidP="00D013F4">
            <w:pPr>
              <w:rPr>
                <w:sz w:val="20"/>
                <w:szCs w:val="20"/>
              </w:rPr>
            </w:pPr>
            <w:r w:rsidRPr="00E70501">
              <w:rPr>
                <w:sz w:val="20"/>
                <w:szCs w:val="20"/>
              </w:rPr>
              <w:t>El nuevo sistema de evaluación que tiene que implementarse durante 2017 no incluye retroinformación de 360 grados.</w:t>
            </w:r>
          </w:p>
        </w:tc>
      </w:tr>
      <w:tr w:rsidR="00147616" w:rsidRPr="00E70501" w:rsidTr="00584451">
        <w:tc>
          <w:tcPr>
            <w:tcW w:w="2977" w:type="dxa"/>
            <w:vMerge/>
            <w:shd w:val="clear" w:color="auto" w:fill="FFFFFF" w:themeFill="background1"/>
          </w:tcPr>
          <w:p w:rsidR="00147616" w:rsidRPr="00E70501" w:rsidRDefault="00147616" w:rsidP="00B25CC6">
            <w:pPr>
              <w:rPr>
                <w:sz w:val="20"/>
                <w:szCs w:val="20"/>
              </w:rPr>
            </w:pPr>
          </w:p>
        </w:tc>
        <w:tc>
          <w:tcPr>
            <w:tcW w:w="3969" w:type="dxa"/>
            <w:shd w:val="clear" w:color="auto" w:fill="FFFFFF" w:themeFill="background1"/>
          </w:tcPr>
          <w:p w:rsidR="00147616" w:rsidRPr="00E70501" w:rsidRDefault="00147616" w:rsidP="00FE158C">
            <w:pPr>
              <w:rPr>
                <w:sz w:val="20"/>
                <w:szCs w:val="20"/>
              </w:rPr>
            </w:pPr>
            <w:r w:rsidRPr="00E70501">
              <w:rPr>
                <w:sz w:val="20"/>
                <w:szCs w:val="20"/>
              </w:rPr>
              <w:t>Pactos del personal directivo superior o sistemas de puntuación</w:t>
            </w:r>
          </w:p>
        </w:tc>
        <w:tc>
          <w:tcPr>
            <w:tcW w:w="1134" w:type="dxa"/>
            <w:shd w:val="clear" w:color="auto" w:fill="auto"/>
            <w:vAlign w:val="center"/>
          </w:tcPr>
          <w:p w:rsidR="00147616" w:rsidRPr="00E70501" w:rsidRDefault="00147616" w:rsidP="00926316">
            <w:pPr>
              <w:jc w:val="center"/>
              <w:rPr>
                <w:sz w:val="20"/>
                <w:szCs w:val="20"/>
              </w:rPr>
            </w:pPr>
            <w:r w:rsidRPr="00E70501">
              <w:rPr>
                <w:sz w:val="20"/>
                <w:szCs w:val="20"/>
              </w:rPr>
              <w:t>No se ha aplicado</w:t>
            </w:r>
          </w:p>
        </w:tc>
        <w:tc>
          <w:tcPr>
            <w:tcW w:w="6522" w:type="dxa"/>
            <w:shd w:val="clear" w:color="auto" w:fill="auto"/>
            <w:vAlign w:val="center"/>
          </w:tcPr>
          <w:p w:rsidR="00147616" w:rsidRPr="00E70501" w:rsidRDefault="00147616" w:rsidP="00926316">
            <w:pPr>
              <w:rPr>
                <w:sz w:val="20"/>
                <w:szCs w:val="20"/>
              </w:rPr>
            </w:pPr>
          </w:p>
        </w:tc>
      </w:tr>
      <w:tr w:rsidR="00147616" w:rsidRPr="00E70501" w:rsidTr="00584451">
        <w:tc>
          <w:tcPr>
            <w:tcW w:w="2977" w:type="dxa"/>
            <w:vMerge/>
            <w:shd w:val="clear" w:color="auto" w:fill="FFFFFF" w:themeFill="background1"/>
          </w:tcPr>
          <w:p w:rsidR="00147616" w:rsidRPr="00E70501" w:rsidRDefault="00147616" w:rsidP="00B25CC6">
            <w:pPr>
              <w:rPr>
                <w:sz w:val="20"/>
                <w:szCs w:val="20"/>
              </w:rPr>
            </w:pPr>
          </w:p>
        </w:tc>
        <w:tc>
          <w:tcPr>
            <w:tcW w:w="3969" w:type="dxa"/>
            <w:shd w:val="clear" w:color="auto" w:fill="FFFFFF" w:themeFill="background1"/>
          </w:tcPr>
          <w:p w:rsidR="00147616" w:rsidRPr="00E70501" w:rsidRDefault="00147616" w:rsidP="00FE158C">
            <w:pPr>
              <w:rPr>
                <w:sz w:val="20"/>
                <w:szCs w:val="20"/>
              </w:rPr>
            </w:pPr>
            <w:r w:rsidRPr="00E70501">
              <w:rPr>
                <w:sz w:val="20"/>
                <w:szCs w:val="20"/>
              </w:rPr>
              <w:t>Medidas correctivas para el personal que no rinda lo suficiente</w:t>
            </w:r>
          </w:p>
        </w:tc>
        <w:tc>
          <w:tcPr>
            <w:tcW w:w="1134" w:type="dxa"/>
            <w:shd w:val="clear" w:color="auto" w:fill="auto"/>
            <w:vAlign w:val="center"/>
          </w:tcPr>
          <w:p w:rsidR="00147616" w:rsidRPr="00E70501" w:rsidRDefault="00147616" w:rsidP="00926316">
            <w:pPr>
              <w:jc w:val="center"/>
              <w:rPr>
                <w:sz w:val="20"/>
                <w:szCs w:val="20"/>
              </w:rPr>
            </w:pPr>
            <w:r w:rsidRPr="00E70501">
              <w:rPr>
                <w:sz w:val="20"/>
                <w:szCs w:val="20"/>
              </w:rPr>
              <w:sym w:font="Wingdings" w:char="F0FC"/>
            </w:r>
          </w:p>
        </w:tc>
        <w:tc>
          <w:tcPr>
            <w:tcW w:w="6522" w:type="dxa"/>
            <w:shd w:val="clear" w:color="auto" w:fill="auto"/>
            <w:vAlign w:val="center"/>
          </w:tcPr>
          <w:p w:rsidR="00147616" w:rsidRPr="00E70501" w:rsidRDefault="00147616" w:rsidP="00CC0231">
            <w:pPr>
              <w:rPr>
                <w:sz w:val="20"/>
                <w:szCs w:val="20"/>
              </w:rPr>
            </w:pPr>
            <w:r w:rsidRPr="00E70501">
              <w:rPr>
                <w:sz w:val="20"/>
                <w:szCs w:val="20"/>
              </w:rPr>
              <w:t>Se invita a los funcionarios a adoptar medidas a través del establecimiento de planes formativos para subsanar esta situación, en colaboración con sus supervisores.</w:t>
            </w:r>
          </w:p>
        </w:tc>
      </w:tr>
      <w:tr w:rsidR="00147616" w:rsidRPr="00E70501" w:rsidTr="0050023E">
        <w:tc>
          <w:tcPr>
            <w:tcW w:w="2977" w:type="dxa"/>
            <w:vMerge w:val="restart"/>
            <w:shd w:val="clear" w:color="auto" w:fill="FFFFFF" w:themeFill="background1"/>
          </w:tcPr>
          <w:p w:rsidR="00147616" w:rsidRPr="00E70501" w:rsidRDefault="00147616" w:rsidP="00FC0DC4">
            <w:pPr>
              <w:rPr>
                <w:sz w:val="20"/>
                <w:szCs w:val="20"/>
              </w:rPr>
            </w:pPr>
            <w:r w:rsidRPr="00E70501">
              <w:rPr>
                <w:sz w:val="20"/>
                <w:szCs w:val="20"/>
              </w:rPr>
              <w:t>15. Las recomendaciones de los órganos de supervisión/auditorías y</w:t>
            </w:r>
            <w:r w:rsidR="00FC0DC4">
              <w:rPr>
                <w:sz w:val="20"/>
                <w:szCs w:val="20"/>
              </w:rPr>
              <w:t xml:space="preserve"> </w:t>
            </w:r>
            <w:r w:rsidRPr="00E70501">
              <w:rPr>
                <w:sz w:val="20"/>
                <w:szCs w:val="20"/>
              </w:rPr>
              <w:t>evaluaciones internas se aplican y son objeto de seguimiento, y en caso contrario se aporta una justificación clara</w:t>
            </w:r>
          </w:p>
        </w:tc>
        <w:tc>
          <w:tcPr>
            <w:tcW w:w="3969" w:type="dxa"/>
            <w:shd w:val="clear" w:color="auto" w:fill="FFFFFF" w:themeFill="background1"/>
          </w:tcPr>
          <w:p w:rsidR="00147616" w:rsidRPr="00E70501" w:rsidRDefault="00147616" w:rsidP="00FE158C">
            <w:pPr>
              <w:rPr>
                <w:sz w:val="20"/>
                <w:szCs w:val="20"/>
              </w:rPr>
            </w:pPr>
            <w:r w:rsidRPr="00E70501">
              <w:rPr>
                <w:sz w:val="20"/>
                <w:szCs w:val="20"/>
              </w:rPr>
              <w:t>Política de divulgación de información</w:t>
            </w:r>
          </w:p>
        </w:tc>
        <w:tc>
          <w:tcPr>
            <w:tcW w:w="1134" w:type="dxa"/>
            <w:shd w:val="clear" w:color="auto" w:fill="auto"/>
          </w:tcPr>
          <w:p w:rsidR="00147616" w:rsidRPr="00E70501" w:rsidRDefault="00147616" w:rsidP="00FD2A1C">
            <w:pPr>
              <w:jc w:val="center"/>
              <w:rPr>
                <w:sz w:val="20"/>
                <w:szCs w:val="20"/>
              </w:rPr>
            </w:pPr>
            <w:r w:rsidRPr="00E70501">
              <w:rPr>
                <w:sz w:val="20"/>
                <w:szCs w:val="20"/>
              </w:rPr>
              <w:t>En curso</w:t>
            </w:r>
          </w:p>
        </w:tc>
        <w:tc>
          <w:tcPr>
            <w:tcW w:w="6522" w:type="dxa"/>
            <w:shd w:val="clear" w:color="auto" w:fill="auto"/>
          </w:tcPr>
          <w:p w:rsidR="00147616" w:rsidRPr="00E70501" w:rsidRDefault="00147616" w:rsidP="00E70501">
            <w:pPr>
              <w:rPr>
                <w:sz w:val="20"/>
                <w:szCs w:val="20"/>
              </w:rPr>
            </w:pPr>
            <w:r w:rsidRPr="00E70501">
              <w:rPr>
                <w:sz w:val="20"/>
                <w:szCs w:val="20"/>
              </w:rPr>
              <w:t xml:space="preserve">El Consejo de la UIT adoptó en su reunión de 2016 la política de acceso a la información y los documentos de la UIT que </w:t>
            </w:r>
            <w:r w:rsidR="00E70501">
              <w:rPr>
                <w:sz w:val="20"/>
                <w:szCs w:val="20"/>
              </w:rPr>
              <w:t>"</w:t>
            </w:r>
            <w:r w:rsidRPr="00E70501">
              <w:rPr>
                <w:sz w:val="20"/>
                <w:szCs w:val="20"/>
              </w:rPr>
              <w:t>asegura que el público pueda acceder a la información guardada, gestionada o generada por la UIT</w:t>
            </w:r>
            <w:r w:rsidR="00E70501">
              <w:rPr>
                <w:sz w:val="20"/>
                <w:szCs w:val="20"/>
              </w:rPr>
              <w:t>";</w:t>
            </w:r>
            <w:r w:rsidRPr="00E70501">
              <w:rPr>
                <w:sz w:val="20"/>
                <w:szCs w:val="20"/>
              </w:rPr>
              <w:t xml:space="preserve"> esta política entrará en vigor el 1 de enero de 2017 con carácter provisional.</w:t>
            </w:r>
          </w:p>
        </w:tc>
      </w:tr>
      <w:tr w:rsidR="00147616" w:rsidRPr="00E70501" w:rsidTr="00584451">
        <w:tc>
          <w:tcPr>
            <w:tcW w:w="2977" w:type="dxa"/>
            <w:vMerge/>
            <w:shd w:val="clear" w:color="auto" w:fill="FFFFFF" w:themeFill="background1"/>
          </w:tcPr>
          <w:p w:rsidR="00147616" w:rsidRPr="00E70501" w:rsidRDefault="00147616" w:rsidP="00B25CC6">
            <w:pPr>
              <w:rPr>
                <w:sz w:val="20"/>
                <w:szCs w:val="20"/>
              </w:rPr>
            </w:pPr>
          </w:p>
        </w:tc>
        <w:tc>
          <w:tcPr>
            <w:tcW w:w="3969" w:type="dxa"/>
            <w:shd w:val="clear" w:color="auto" w:fill="FFFFFF" w:themeFill="background1"/>
          </w:tcPr>
          <w:p w:rsidR="00147616" w:rsidRPr="00E70501" w:rsidRDefault="00147616" w:rsidP="00C81E32">
            <w:pPr>
              <w:rPr>
                <w:sz w:val="20"/>
                <w:szCs w:val="20"/>
              </w:rPr>
            </w:pPr>
            <w:r w:rsidRPr="00E70501">
              <w:rPr>
                <w:sz w:val="20"/>
                <w:szCs w:val="20"/>
              </w:rPr>
              <w:t>Presentación de informes sobre las recomendaciones de supervisión externa e interna</w:t>
            </w:r>
          </w:p>
        </w:tc>
        <w:tc>
          <w:tcPr>
            <w:tcW w:w="1134" w:type="dxa"/>
            <w:shd w:val="clear" w:color="auto" w:fill="auto"/>
            <w:vAlign w:val="center"/>
          </w:tcPr>
          <w:p w:rsidR="00147616" w:rsidRPr="00E70501" w:rsidRDefault="00147616" w:rsidP="00926316">
            <w:pPr>
              <w:jc w:val="center"/>
              <w:rPr>
                <w:sz w:val="20"/>
                <w:szCs w:val="20"/>
              </w:rPr>
            </w:pPr>
            <w:r w:rsidRPr="00E70501">
              <w:rPr>
                <w:sz w:val="20"/>
                <w:szCs w:val="20"/>
              </w:rPr>
              <w:sym w:font="Wingdings" w:char="F0FC"/>
            </w:r>
          </w:p>
        </w:tc>
        <w:tc>
          <w:tcPr>
            <w:tcW w:w="6522" w:type="dxa"/>
            <w:shd w:val="clear" w:color="auto" w:fill="auto"/>
          </w:tcPr>
          <w:p w:rsidR="00147616" w:rsidRPr="00E70501" w:rsidRDefault="00147616" w:rsidP="00807ED3">
            <w:pPr>
              <w:rPr>
                <w:sz w:val="20"/>
                <w:szCs w:val="20"/>
              </w:rPr>
            </w:pPr>
            <w:r w:rsidRPr="00E70501">
              <w:rPr>
                <w:sz w:val="20"/>
                <w:szCs w:val="20"/>
              </w:rPr>
              <w:t xml:space="preserve">La SG y el </w:t>
            </w:r>
            <w:proofErr w:type="spellStart"/>
            <w:r w:rsidRPr="00E70501">
              <w:rPr>
                <w:sz w:val="20"/>
                <w:szCs w:val="20"/>
              </w:rPr>
              <w:t>CAIG</w:t>
            </w:r>
            <w:proofErr w:type="spellEnd"/>
            <w:r w:rsidRPr="00E70501">
              <w:rPr>
                <w:sz w:val="20"/>
                <w:szCs w:val="20"/>
              </w:rPr>
              <w:t xml:space="preserve"> r</w:t>
            </w:r>
            <w:r w:rsidR="00E70501">
              <w:rPr>
                <w:sz w:val="20"/>
                <w:szCs w:val="20"/>
              </w:rPr>
              <w:t>eciben periódicamente novedades</w:t>
            </w:r>
            <w:r w:rsidRPr="00E70501">
              <w:rPr>
                <w:sz w:val="20"/>
                <w:szCs w:val="20"/>
              </w:rPr>
              <w:t xml:space="preserve"> sobre la implementación de las recomendaciones de los auditores externos e internos.</w:t>
            </w:r>
          </w:p>
        </w:tc>
      </w:tr>
      <w:tr w:rsidR="00147616" w:rsidRPr="00E70501" w:rsidTr="00584451">
        <w:tc>
          <w:tcPr>
            <w:tcW w:w="2977" w:type="dxa"/>
            <w:vMerge/>
            <w:shd w:val="clear" w:color="auto" w:fill="FFFFFF" w:themeFill="background1"/>
          </w:tcPr>
          <w:p w:rsidR="00147616" w:rsidRPr="00E70501" w:rsidRDefault="00147616" w:rsidP="00B25CC6">
            <w:pPr>
              <w:rPr>
                <w:sz w:val="20"/>
                <w:szCs w:val="20"/>
              </w:rPr>
            </w:pPr>
          </w:p>
        </w:tc>
        <w:tc>
          <w:tcPr>
            <w:tcW w:w="3969" w:type="dxa"/>
            <w:shd w:val="clear" w:color="auto" w:fill="FFFFFF" w:themeFill="background1"/>
          </w:tcPr>
          <w:p w:rsidR="00147616" w:rsidRPr="00E70501" w:rsidRDefault="00147616" w:rsidP="00C81E32">
            <w:pPr>
              <w:rPr>
                <w:sz w:val="20"/>
                <w:szCs w:val="20"/>
              </w:rPr>
            </w:pPr>
            <w:r w:rsidRPr="00E70501">
              <w:rPr>
                <w:sz w:val="20"/>
                <w:szCs w:val="20"/>
              </w:rPr>
              <w:t>Seguimiento de las recomendaciones de las auditorías internas y externas, de los órganos de supervisión y de las evaluaciones internas, las evaluaciones independientes y las autoevaluaciones</w:t>
            </w:r>
          </w:p>
        </w:tc>
        <w:tc>
          <w:tcPr>
            <w:tcW w:w="1134" w:type="dxa"/>
            <w:shd w:val="clear" w:color="auto" w:fill="auto"/>
            <w:vAlign w:val="center"/>
          </w:tcPr>
          <w:p w:rsidR="00147616" w:rsidRPr="00E70501" w:rsidRDefault="00147616" w:rsidP="00926316">
            <w:pPr>
              <w:jc w:val="center"/>
              <w:rPr>
                <w:sz w:val="20"/>
                <w:szCs w:val="20"/>
              </w:rPr>
            </w:pPr>
            <w:r w:rsidRPr="00E70501">
              <w:rPr>
                <w:sz w:val="20"/>
                <w:szCs w:val="20"/>
              </w:rPr>
              <w:sym w:font="Wingdings" w:char="F0FC"/>
            </w:r>
          </w:p>
        </w:tc>
        <w:tc>
          <w:tcPr>
            <w:tcW w:w="6522" w:type="dxa"/>
            <w:shd w:val="clear" w:color="auto" w:fill="auto"/>
          </w:tcPr>
          <w:p w:rsidR="00147616" w:rsidRPr="00E70501" w:rsidRDefault="00147616" w:rsidP="00CC0231">
            <w:pPr>
              <w:rPr>
                <w:sz w:val="20"/>
                <w:szCs w:val="20"/>
              </w:rPr>
            </w:pPr>
            <w:r w:rsidRPr="00E70501">
              <w:rPr>
                <w:sz w:val="20"/>
                <w:szCs w:val="20"/>
              </w:rPr>
              <w:t xml:space="preserve">El GTC-RHF está controlando y supervisando todas las recomendaciones de los auditores externos y el </w:t>
            </w:r>
            <w:proofErr w:type="spellStart"/>
            <w:r w:rsidRPr="00E70501">
              <w:rPr>
                <w:sz w:val="20"/>
                <w:szCs w:val="20"/>
              </w:rPr>
              <w:t>CAIG</w:t>
            </w:r>
            <w:proofErr w:type="spellEnd"/>
            <w:r w:rsidRPr="00E70501">
              <w:rPr>
                <w:sz w:val="20"/>
                <w:szCs w:val="20"/>
              </w:rPr>
              <w:t>.</w:t>
            </w:r>
          </w:p>
        </w:tc>
      </w:tr>
    </w:tbl>
    <w:p w:rsidR="00B84F84" w:rsidRDefault="00B84F84" w:rsidP="00D80D3F">
      <w:pPr>
        <w:spacing w:after="120"/>
        <w:rPr>
          <w:b/>
          <w:bCs/>
        </w:rPr>
      </w:pPr>
    </w:p>
    <w:p w:rsidR="00B84F84" w:rsidRDefault="00B84F84">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rsidR="00147616" w:rsidRPr="00E70501" w:rsidRDefault="00147616" w:rsidP="00D80D3F">
      <w:pPr>
        <w:spacing w:after="120"/>
        <w:rPr>
          <w:b/>
          <w:bCs/>
        </w:rPr>
      </w:pPr>
      <w:r w:rsidRPr="00E70501">
        <w:rPr>
          <w:b/>
          <w:bCs/>
        </w:rPr>
        <w:lastRenderedPageBreak/>
        <w:t>Pilar 3</w:t>
      </w:r>
    </w:p>
    <w:tbl>
      <w:tblPr>
        <w:tblStyle w:val="TableGrid"/>
        <w:tblW w:w="14601" w:type="dxa"/>
        <w:tblInd w:w="-5" w:type="dxa"/>
        <w:tblLayout w:type="fixed"/>
        <w:tblLook w:val="04A0" w:firstRow="1" w:lastRow="0" w:firstColumn="1" w:lastColumn="0" w:noHBand="0" w:noVBand="1"/>
      </w:tblPr>
      <w:tblGrid>
        <w:gridCol w:w="2694"/>
        <w:gridCol w:w="4252"/>
        <w:gridCol w:w="1134"/>
        <w:gridCol w:w="6521"/>
      </w:tblGrid>
      <w:tr w:rsidR="00147616" w:rsidRPr="00E70501" w:rsidTr="00584451">
        <w:tc>
          <w:tcPr>
            <w:tcW w:w="2694" w:type="dxa"/>
            <w:shd w:val="clear" w:color="auto" w:fill="B8CCE4" w:themeFill="accent1" w:themeFillTint="66"/>
          </w:tcPr>
          <w:p w:rsidR="00147616" w:rsidRPr="00E70501" w:rsidRDefault="00147616" w:rsidP="00D00579">
            <w:pPr>
              <w:jc w:val="center"/>
              <w:rPr>
                <w:b/>
                <w:bCs/>
              </w:rPr>
            </w:pPr>
            <w:r w:rsidRPr="00E70501">
              <w:rPr>
                <w:b/>
                <w:bCs/>
              </w:rPr>
              <w:t>Criterio</w:t>
            </w:r>
          </w:p>
        </w:tc>
        <w:tc>
          <w:tcPr>
            <w:tcW w:w="4252" w:type="dxa"/>
            <w:shd w:val="clear" w:color="auto" w:fill="B8CCE4" w:themeFill="accent1" w:themeFillTint="66"/>
          </w:tcPr>
          <w:p w:rsidR="00147616" w:rsidRPr="00E70501" w:rsidRDefault="00147616" w:rsidP="00D00579">
            <w:pPr>
              <w:jc w:val="center"/>
              <w:rPr>
                <w:b/>
                <w:bCs/>
              </w:rPr>
            </w:pPr>
            <w:r w:rsidRPr="00E70501">
              <w:rPr>
                <w:b/>
                <w:bCs/>
              </w:rPr>
              <w:t>Instrumentos</w:t>
            </w:r>
          </w:p>
        </w:tc>
        <w:tc>
          <w:tcPr>
            <w:tcW w:w="1134" w:type="dxa"/>
            <w:shd w:val="clear" w:color="auto" w:fill="B8CCE4" w:themeFill="accent1" w:themeFillTint="66"/>
          </w:tcPr>
          <w:p w:rsidR="00147616" w:rsidRPr="00E70501" w:rsidRDefault="00147616" w:rsidP="00D00579">
            <w:pPr>
              <w:jc w:val="center"/>
              <w:rPr>
                <w:b/>
                <w:bCs/>
              </w:rPr>
            </w:pPr>
            <w:r w:rsidRPr="00E70501">
              <w:rPr>
                <w:b/>
                <w:bCs/>
              </w:rPr>
              <w:t>Estado</w:t>
            </w:r>
          </w:p>
        </w:tc>
        <w:tc>
          <w:tcPr>
            <w:tcW w:w="6521" w:type="dxa"/>
            <w:shd w:val="clear" w:color="auto" w:fill="B8CCE4" w:themeFill="accent1" w:themeFillTint="66"/>
          </w:tcPr>
          <w:p w:rsidR="00147616" w:rsidRPr="00E70501" w:rsidRDefault="00147616" w:rsidP="00D00579">
            <w:pPr>
              <w:jc w:val="center"/>
              <w:rPr>
                <w:b/>
                <w:bCs/>
              </w:rPr>
            </w:pPr>
            <w:r w:rsidRPr="00E70501">
              <w:rPr>
                <w:b/>
                <w:bCs/>
              </w:rPr>
              <w:t>Observaciones</w:t>
            </w:r>
          </w:p>
        </w:tc>
      </w:tr>
      <w:tr w:rsidR="00147616" w:rsidRPr="00E70501" w:rsidTr="00584451">
        <w:tc>
          <w:tcPr>
            <w:tcW w:w="2694" w:type="dxa"/>
            <w:vMerge w:val="restart"/>
            <w:shd w:val="clear" w:color="auto" w:fill="FFFFFF" w:themeFill="background1"/>
          </w:tcPr>
          <w:p w:rsidR="00147616" w:rsidRPr="00E70501" w:rsidRDefault="00147616" w:rsidP="00FD520A">
            <w:pPr>
              <w:rPr>
                <w:sz w:val="20"/>
                <w:szCs w:val="20"/>
              </w:rPr>
            </w:pPr>
            <w:r w:rsidRPr="00E70501">
              <w:rPr>
                <w:sz w:val="20"/>
                <w:szCs w:val="20"/>
              </w:rPr>
              <w:t>16. Los funcionarios pueden recurrir a mecanismos informales de reclamación</w:t>
            </w:r>
          </w:p>
        </w:tc>
        <w:tc>
          <w:tcPr>
            <w:tcW w:w="4252" w:type="dxa"/>
            <w:shd w:val="clear" w:color="auto" w:fill="FFFFFF" w:themeFill="background1"/>
          </w:tcPr>
          <w:p w:rsidR="00147616" w:rsidRPr="00E70501" w:rsidRDefault="00147616" w:rsidP="00FD520A">
            <w:pPr>
              <w:rPr>
                <w:sz w:val="20"/>
                <w:szCs w:val="20"/>
              </w:rPr>
            </w:pPr>
            <w:r w:rsidRPr="00E70501">
              <w:rPr>
                <w:sz w:val="20"/>
                <w:szCs w:val="20"/>
              </w:rPr>
              <w:t>Documento de política y/o manual en el que se esbozan procedimientos para la presentación de reclamaciones/impugnaciones informales</w:t>
            </w:r>
          </w:p>
        </w:tc>
        <w:tc>
          <w:tcPr>
            <w:tcW w:w="1134" w:type="dxa"/>
            <w:shd w:val="clear" w:color="auto" w:fill="auto"/>
            <w:vAlign w:val="center"/>
          </w:tcPr>
          <w:p w:rsidR="00147616" w:rsidRPr="00E70501" w:rsidRDefault="00147616" w:rsidP="00926316">
            <w:pPr>
              <w:jc w:val="center"/>
              <w:rPr>
                <w:sz w:val="20"/>
                <w:szCs w:val="20"/>
              </w:rPr>
            </w:pPr>
            <w:r w:rsidRPr="00E70501">
              <w:rPr>
                <w:sz w:val="20"/>
                <w:szCs w:val="20"/>
              </w:rPr>
              <w:t>No se ha aplicado</w:t>
            </w:r>
          </w:p>
        </w:tc>
        <w:tc>
          <w:tcPr>
            <w:tcW w:w="6521" w:type="dxa"/>
            <w:shd w:val="clear" w:color="auto" w:fill="auto"/>
          </w:tcPr>
          <w:p w:rsidR="00147616" w:rsidRPr="00E70501" w:rsidRDefault="00147616" w:rsidP="00FE158C">
            <w:pPr>
              <w:rPr>
                <w:b/>
                <w:bCs/>
                <w:sz w:val="20"/>
                <w:szCs w:val="20"/>
              </w:rPr>
            </w:pPr>
            <w:r w:rsidRPr="00E70501">
              <w:rPr>
                <w:sz w:val="20"/>
                <w:szCs w:val="20"/>
              </w:rPr>
              <w:t>Cada procedimiento se incluye en la Orden de Servicio pertinente.</w:t>
            </w:r>
          </w:p>
        </w:tc>
      </w:tr>
      <w:tr w:rsidR="00147616" w:rsidRPr="00E70501" w:rsidTr="00584451">
        <w:tc>
          <w:tcPr>
            <w:tcW w:w="2694" w:type="dxa"/>
            <w:vMerge/>
            <w:shd w:val="clear" w:color="auto" w:fill="FFFFFF" w:themeFill="background1"/>
          </w:tcPr>
          <w:p w:rsidR="00147616" w:rsidRPr="00E70501" w:rsidRDefault="00147616" w:rsidP="00FE158C">
            <w:pPr>
              <w:rPr>
                <w:sz w:val="20"/>
                <w:szCs w:val="20"/>
              </w:rPr>
            </w:pPr>
          </w:p>
        </w:tc>
        <w:tc>
          <w:tcPr>
            <w:tcW w:w="4252" w:type="dxa"/>
            <w:shd w:val="clear" w:color="auto" w:fill="FFFFFF" w:themeFill="background1"/>
          </w:tcPr>
          <w:p w:rsidR="00147616" w:rsidRPr="00E70501" w:rsidRDefault="00147616" w:rsidP="00FE158C">
            <w:pPr>
              <w:rPr>
                <w:sz w:val="20"/>
                <w:szCs w:val="20"/>
              </w:rPr>
            </w:pPr>
            <w:r w:rsidRPr="00E70501">
              <w:rPr>
                <w:sz w:val="20"/>
                <w:szCs w:val="20"/>
              </w:rPr>
              <w:t xml:space="preserve">Existencia de un mediador u </w:t>
            </w:r>
            <w:proofErr w:type="spellStart"/>
            <w:r w:rsidRPr="00E70501">
              <w:rPr>
                <w:i/>
                <w:sz w:val="20"/>
                <w:szCs w:val="20"/>
              </w:rPr>
              <w:t>ombudsperson</w:t>
            </w:r>
            <w:proofErr w:type="spellEnd"/>
          </w:p>
        </w:tc>
        <w:tc>
          <w:tcPr>
            <w:tcW w:w="1134" w:type="dxa"/>
            <w:shd w:val="clear" w:color="auto" w:fill="auto"/>
            <w:vAlign w:val="center"/>
          </w:tcPr>
          <w:p w:rsidR="00147616" w:rsidRPr="00E70501" w:rsidRDefault="00147616" w:rsidP="00926316">
            <w:pPr>
              <w:jc w:val="center"/>
              <w:rPr>
                <w:sz w:val="20"/>
                <w:szCs w:val="20"/>
              </w:rPr>
            </w:pPr>
            <w:r w:rsidRPr="00E70501">
              <w:rPr>
                <w:sz w:val="20"/>
                <w:szCs w:val="20"/>
              </w:rPr>
              <w:sym w:font="Wingdings" w:char="F0FC"/>
            </w:r>
          </w:p>
        </w:tc>
        <w:tc>
          <w:tcPr>
            <w:tcW w:w="6521" w:type="dxa"/>
            <w:shd w:val="clear" w:color="auto" w:fill="auto"/>
          </w:tcPr>
          <w:p w:rsidR="00147616" w:rsidRPr="00E70501" w:rsidRDefault="00147616" w:rsidP="00FE158C">
            <w:pPr>
              <w:rPr>
                <w:sz w:val="20"/>
                <w:szCs w:val="20"/>
              </w:rPr>
            </w:pPr>
          </w:p>
        </w:tc>
      </w:tr>
      <w:tr w:rsidR="00147616" w:rsidRPr="00E70501" w:rsidTr="00584451">
        <w:tc>
          <w:tcPr>
            <w:tcW w:w="2694" w:type="dxa"/>
            <w:vMerge w:val="restart"/>
            <w:shd w:val="clear" w:color="auto" w:fill="FFFFFF" w:themeFill="background1"/>
          </w:tcPr>
          <w:p w:rsidR="00147616" w:rsidRPr="00E70501" w:rsidRDefault="00147616" w:rsidP="008D3400">
            <w:pPr>
              <w:rPr>
                <w:sz w:val="20"/>
                <w:szCs w:val="20"/>
              </w:rPr>
            </w:pPr>
            <w:r w:rsidRPr="00E70501">
              <w:rPr>
                <w:sz w:val="20"/>
                <w:szCs w:val="20"/>
              </w:rPr>
              <w:t>17. Los funcionarios, consultores, personas ajenas al personal, partes interesadas/beneficiarios y proveedores pueden recurrir a mecanismos formales de reclamación, y las organizaciones cuentan con mecanismos para responder a esas reclamaciones</w:t>
            </w:r>
          </w:p>
        </w:tc>
        <w:tc>
          <w:tcPr>
            <w:tcW w:w="4252" w:type="dxa"/>
            <w:shd w:val="clear" w:color="auto" w:fill="FFFFFF" w:themeFill="background1"/>
          </w:tcPr>
          <w:p w:rsidR="00147616" w:rsidRPr="00E70501" w:rsidRDefault="00147616" w:rsidP="006D1584">
            <w:pPr>
              <w:rPr>
                <w:sz w:val="20"/>
                <w:szCs w:val="20"/>
              </w:rPr>
            </w:pPr>
            <w:r w:rsidRPr="00E70501">
              <w:rPr>
                <w:sz w:val="20"/>
                <w:szCs w:val="20"/>
              </w:rPr>
              <w:t>Función de investigación, líneas permanentes de ayuda, impresos de reclamaciones, etc., tanto para el personal como para personas ajenas a la organización;</w:t>
            </w:r>
          </w:p>
        </w:tc>
        <w:tc>
          <w:tcPr>
            <w:tcW w:w="1134" w:type="dxa"/>
            <w:shd w:val="clear" w:color="auto" w:fill="auto"/>
            <w:vAlign w:val="center"/>
          </w:tcPr>
          <w:p w:rsidR="00147616" w:rsidRPr="00E70501" w:rsidRDefault="00147616" w:rsidP="00926316">
            <w:pPr>
              <w:jc w:val="center"/>
              <w:rPr>
                <w:sz w:val="20"/>
                <w:szCs w:val="20"/>
              </w:rPr>
            </w:pPr>
            <w:r w:rsidRPr="00E70501">
              <w:rPr>
                <w:sz w:val="20"/>
                <w:szCs w:val="20"/>
              </w:rPr>
              <w:sym w:font="Wingdings" w:char="F0FC"/>
            </w:r>
          </w:p>
        </w:tc>
        <w:tc>
          <w:tcPr>
            <w:tcW w:w="6521" w:type="dxa"/>
            <w:shd w:val="clear" w:color="auto" w:fill="auto"/>
          </w:tcPr>
          <w:p w:rsidR="00147616" w:rsidRPr="00E70501" w:rsidRDefault="00147616" w:rsidP="00926316">
            <w:pPr>
              <w:rPr>
                <w:sz w:val="20"/>
                <w:szCs w:val="20"/>
              </w:rPr>
            </w:pPr>
            <w:r w:rsidRPr="00E70501">
              <w:rPr>
                <w:sz w:val="20"/>
                <w:szCs w:val="20"/>
              </w:rPr>
              <w:t xml:space="preserve">Los consultores y las personas ajenas al personal no tienen acceso al </w:t>
            </w:r>
            <w:proofErr w:type="spellStart"/>
            <w:r w:rsidRPr="00E70501">
              <w:rPr>
                <w:sz w:val="20"/>
                <w:szCs w:val="20"/>
              </w:rPr>
              <w:t>TAOIT</w:t>
            </w:r>
            <w:proofErr w:type="spellEnd"/>
            <w:r w:rsidRPr="00E70501">
              <w:rPr>
                <w:sz w:val="20"/>
                <w:szCs w:val="20"/>
              </w:rPr>
              <w:t xml:space="preserve"> ni al </w:t>
            </w:r>
            <w:proofErr w:type="spellStart"/>
            <w:r w:rsidRPr="00E70501">
              <w:rPr>
                <w:sz w:val="20"/>
                <w:szCs w:val="20"/>
              </w:rPr>
              <w:t>TANU</w:t>
            </w:r>
            <w:proofErr w:type="spellEnd"/>
            <w:r w:rsidRPr="00E70501">
              <w:rPr>
                <w:sz w:val="20"/>
                <w:szCs w:val="20"/>
              </w:rPr>
              <w:t xml:space="preserve">. En los contratos </w:t>
            </w:r>
            <w:proofErr w:type="spellStart"/>
            <w:r w:rsidRPr="00E70501">
              <w:rPr>
                <w:sz w:val="20"/>
                <w:szCs w:val="20"/>
              </w:rPr>
              <w:t>SSA</w:t>
            </w:r>
            <w:proofErr w:type="spellEnd"/>
            <w:r w:rsidRPr="00E70501">
              <w:rPr>
                <w:sz w:val="20"/>
                <w:szCs w:val="20"/>
              </w:rPr>
              <w:t xml:space="preserve"> figura una disposición para la resolución informal de los conflictos y el recurso al arbitraje.</w:t>
            </w:r>
          </w:p>
        </w:tc>
      </w:tr>
      <w:tr w:rsidR="00147616" w:rsidRPr="00E70501" w:rsidTr="00584451">
        <w:tc>
          <w:tcPr>
            <w:tcW w:w="2694" w:type="dxa"/>
            <w:vMerge/>
            <w:shd w:val="clear" w:color="auto" w:fill="FFFFFF" w:themeFill="background1"/>
          </w:tcPr>
          <w:p w:rsidR="00147616" w:rsidRPr="00E70501" w:rsidRDefault="00147616" w:rsidP="00B25CC6">
            <w:pPr>
              <w:rPr>
                <w:sz w:val="20"/>
                <w:szCs w:val="20"/>
              </w:rPr>
            </w:pPr>
          </w:p>
        </w:tc>
        <w:tc>
          <w:tcPr>
            <w:tcW w:w="4252" w:type="dxa"/>
            <w:shd w:val="clear" w:color="auto" w:fill="FFFFFF" w:themeFill="background1"/>
          </w:tcPr>
          <w:p w:rsidR="00147616" w:rsidRPr="00E70501" w:rsidRDefault="00147616" w:rsidP="006D1584">
            <w:pPr>
              <w:rPr>
                <w:sz w:val="20"/>
                <w:szCs w:val="20"/>
              </w:rPr>
            </w:pPr>
            <w:r w:rsidRPr="00E70501">
              <w:rPr>
                <w:sz w:val="20"/>
                <w:szCs w:val="20"/>
              </w:rPr>
              <w:t>Mecanismos de reclamación: Tribunal Contencioso-Administrativo de las Naciones Unidas o Tribunal Administrativo de la OIT</w:t>
            </w:r>
          </w:p>
        </w:tc>
        <w:tc>
          <w:tcPr>
            <w:tcW w:w="1134" w:type="dxa"/>
            <w:shd w:val="clear" w:color="auto" w:fill="FFFFFF" w:themeFill="background1"/>
            <w:vAlign w:val="center"/>
          </w:tcPr>
          <w:p w:rsidR="00147616" w:rsidRPr="00E70501" w:rsidRDefault="00147616" w:rsidP="00926316">
            <w:pPr>
              <w:jc w:val="center"/>
              <w:rPr>
                <w:sz w:val="20"/>
                <w:szCs w:val="20"/>
              </w:rPr>
            </w:pPr>
            <w:r w:rsidRPr="00E70501">
              <w:rPr>
                <w:sz w:val="20"/>
                <w:szCs w:val="20"/>
              </w:rPr>
              <w:sym w:font="Wingdings" w:char="F0FC"/>
            </w:r>
          </w:p>
        </w:tc>
        <w:tc>
          <w:tcPr>
            <w:tcW w:w="6521" w:type="dxa"/>
            <w:shd w:val="clear" w:color="auto" w:fill="auto"/>
          </w:tcPr>
          <w:p w:rsidR="00147616" w:rsidRPr="00E70501" w:rsidRDefault="00147616" w:rsidP="004A50A6">
            <w:pPr>
              <w:rPr>
                <w:sz w:val="20"/>
                <w:szCs w:val="20"/>
              </w:rPr>
            </w:pPr>
            <w:r w:rsidRPr="00E70501">
              <w:rPr>
                <w:sz w:val="20"/>
                <w:szCs w:val="20"/>
              </w:rPr>
              <w:t>Disponibles para las funcionarios permanentes y el personal que disfruta de contratos de corta duración, y arbitraje para los consultores y los supernumerarios.</w:t>
            </w:r>
          </w:p>
        </w:tc>
      </w:tr>
      <w:tr w:rsidR="00147616" w:rsidRPr="00E70501" w:rsidTr="00584451">
        <w:tc>
          <w:tcPr>
            <w:tcW w:w="2694" w:type="dxa"/>
            <w:vMerge/>
            <w:shd w:val="clear" w:color="auto" w:fill="FFFFFF" w:themeFill="background1"/>
          </w:tcPr>
          <w:p w:rsidR="00147616" w:rsidRPr="00E70501" w:rsidRDefault="00147616" w:rsidP="00B25CC6">
            <w:pPr>
              <w:rPr>
                <w:sz w:val="20"/>
                <w:szCs w:val="20"/>
              </w:rPr>
            </w:pPr>
          </w:p>
        </w:tc>
        <w:tc>
          <w:tcPr>
            <w:tcW w:w="4252" w:type="dxa"/>
            <w:shd w:val="clear" w:color="auto" w:fill="FFFFFF" w:themeFill="background1"/>
          </w:tcPr>
          <w:p w:rsidR="00147616" w:rsidRPr="00E70501" w:rsidRDefault="00147616" w:rsidP="00FE158C">
            <w:pPr>
              <w:rPr>
                <w:sz w:val="20"/>
                <w:szCs w:val="20"/>
              </w:rPr>
            </w:pPr>
            <w:r w:rsidRPr="00E70501">
              <w:rPr>
                <w:sz w:val="20"/>
                <w:szCs w:val="20"/>
              </w:rPr>
              <w:t>Procedimiento de impugnación de adquisiciones</w:t>
            </w:r>
          </w:p>
        </w:tc>
        <w:tc>
          <w:tcPr>
            <w:tcW w:w="1134" w:type="dxa"/>
            <w:shd w:val="clear" w:color="auto" w:fill="FFFFFF" w:themeFill="background1"/>
            <w:vAlign w:val="center"/>
          </w:tcPr>
          <w:p w:rsidR="00147616" w:rsidRPr="00E70501" w:rsidRDefault="00147616" w:rsidP="00926316">
            <w:pPr>
              <w:jc w:val="center"/>
              <w:rPr>
                <w:sz w:val="20"/>
                <w:szCs w:val="20"/>
              </w:rPr>
            </w:pPr>
            <w:r w:rsidRPr="00E70501">
              <w:rPr>
                <w:sz w:val="20"/>
                <w:szCs w:val="20"/>
              </w:rPr>
              <w:t>En curso</w:t>
            </w:r>
          </w:p>
        </w:tc>
        <w:tc>
          <w:tcPr>
            <w:tcW w:w="6521" w:type="dxa"/>
            <w:shd w:val="clear" w:color="auto" w:fill="FFFFFF" w:themeFill="background1"/>
          </w:tcPr>
          <w:p w:rsidR="00147616" w:rsidRPr="00E70501" w:rsidRDefault="00147616" w:rsidP="008D3400">
            <w:pPr>
              <w:rPr>
                <w:sz w:val="20"/>
                <w:szCs w:val="20"/>
              </w:rPr>
            </w:pPr>
            <w:r w:rsidRPr="00E70501">
              <w:rPr>
                <w:sz w:val="20"/>
                <w:szCs w:val="20"/>
              </w:rPr>
              <w:t>La UIT mantiene el compromiso de garantizar que la adquisición de bienes y servicios se lleve a cabo con justicia y transparencia y en régimen de libre competencia y en un marco internacional en su caso. Para resolver los problemas de adquisición, la UIT está considerando la implementación de un mecanismo de interrogación a los licitadores infructuosos en adjudicaciones de alto valor.</w:t>
            </w:r>
          </w:p>
        </w:tc>
      </w:tr>
    </w:tbl>
    <w:p w:rsidR="00D00579" w:rsidRPr="00E70501" w:rsidRDefault="00D00579" w:rsidP="00B84F84"/>
    <w:p w:rsidR="00D00579" w:rsidRPr="00E70501" w:rsidRDefault="00D00579" w:rsidP="00B84F84">
      <w:pPr>
        <w:pStyle w:val="Reasons"/>
      </w:pPr>
    </w:p>
    <w:p w:rsidR="00D00579" w:rsidRPr="00E70501" w:rsidRDefault="00D00579">
      <w:pPr>
        <w:jc w:val="center"/>
      </w:pPr>
      <w:r w:rsidRPr="00E70501">
        <w:t>______________</w:t>
      </w:r>
    </w:p>
    <w:sectPr w:rsidR="00D00579" w:rsidRPr="00E70501" w:rsidSect="00147616">
      <w:headerReference w:type="default" r:id="rId15"/>
      <w:footerReference w:type="default" r:id="rId16"/>
      <w:headerReference w:type="first" r:id="rId17"/>
      <w:footerReference w:type="first" r:id="rId18"/>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616" w:rsidRDefault="00147616">
      <w:r>
        <w:separator/>
      </w:r>
    </w:p>
  </w:endnote>
  <w:endnote w:type="continuationSeparator" w:id="0">
    <w:p w:rsidR="00147616" w:rsidRDefault="001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616" w:rsidRPr="006949D5" w:rsidRDefault="006949D5" w:rsidP="006949D5">
    <w:pPr>
      <w:pStyle w:val="Footer"/>
      <w:rPr>
        <w:szCs w:val="16"/>
        <w:lang w:val="fr-CH"/>
      </w:rPr>
    </w:pPr>
    <w:r w:rsidRPr="006949D5">
      <w:rPr>
        <w:szCs w:val="16"/>
      </w:rPr>
      <w:fldChar w:fldCharType="begin"/>
    </w:r>
    <w:r w:rsidRPr="006949D5">
      <w:rPr>
        <w:szCs w:val="16"/>
        <w:lang w:val="fr-CH"/>
      </w:rPr>
      <w:instrText xml:space="preserve"> FILENAME \p  \* MERGEFORMAT </w:instrText>
    </w:r>
    <w:r w:rsidRPr="006949D5">
      <w:rPr>
        <w:szCs w:val="16"/>
      </w:rPr>
      <w:fldChar w:fldCharType="separate"/>
    </w:r>
    <w:r w:rsidR="007938D5">
      <w:rPr>
        <w:szCs w:val="16"/>
        <w:lang w:val="fr-CH"/>
      </w:rPr>
      <w:t>P:\ESP\SG\CONSEIL\C17\000\064S.docx</w:t>
    </w:r>
    <w:r w:rsidRPr="006949D5">
      <w:rPr>
        <w:szCs w:val="16"/>
      </w:rPr>
      <w:fldChar w:fldCharType="end"/>
    </w:r>
    <w:r w:rsidRPr="006949D5">
      <w:rPr>
        <w:szCs w:val="16"/>
        <w:lang w:val="fr-CH"/>
      </w:rPr>
      <w:t xml:space="preserve"> (413124)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6A9" w:rsidRDefault="006226A9" w:rsidP="006226A9">
    <w:pPr>
      <w:spacing w:after="120"/>
      <w:jc w:val="center"/>
    </w:pPr>
    <w:r>
      <w:t xml:space="preserve">• </w:t>
    </w:r>
    <w:hyperlink r:id="rId1" w:history="1">
      <w:r>
        <w:rPr>
          <w:rStyle w:val="Hyperlink"/>
        </w:rPr>
        <w:t>http://www.itu.int/</w:t>
      </w:r>
      <w:proofErr w:type="spellStart"/>
      <w:r>
        <w:rPr>
          <w:rStyle w:val="Hyperlink"/>
        </w:rPr>
        <w:t>council</w:t>
      </w:r>
      <w:proofErr w:type="spellEnd"/>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C24847" w:rsidRDefault="00C24847" w:rsidP="00C24847">
    <w:pPr>
      <w:pStyle w:val="Footer"/>
      <w:rPr>
        <w:szCs w:val="16"/>
        <w:lang w:val="fr-CH"/>
      </w:rPr>
    </w:pPr>
    <w:r w:rsidRPr="00C24847">
      <w:rPr>
        <w:szCs w:val="16"/>
      </w:rPr>
      <w:fldChar w:fldCharType="begin"/>
    </w:r>
    <w:r w:rsidRPr="00C24847">
      <w:rPr>
        <w:szCs w:val="16"/>
        <w:lang w:val="fr-CH"/>
      </w:rPr>
      <w:instrText xml:space="preserve"> FILENAME \p  \* MERGEFORMAT </w:instrText>
    </w:r>
    <w:r w:rsidRPr="00C24847">
      <w:rPr>
        <w:szCs w:val="16"/>
      </w:rPr>
      <w:fldChar w:fldCharType="separate"/>
    </w:r>
    <w:r w:rsidR="007938D5">
      <w:rPr>
        <w:szCs w:val="16"/>
        <w:lang w:val="fr-CH"/>
      </w:rPr>
      <w:t>P:\ESP\SG\CONSEIL\C17\000\064S.docx</w:t>
    </w:r>
    <w:r w:rsidRPr="00C24847">
      <w:rPr>
        <w:szCs w:val="16"/>
      </w:rPr>
      <w:fldChar w:fldCharType="end"/>
    </w:r>
    <w:r w:rsidRPr="00C24847">
      <w:rPr>
        <w:szCs w:val="16"/>
        <w:lang w:val="fr-CH"/>
      </w:rPr>
      <w:t xml:space="preserve"> (413124)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6226A9" w:rsidRDefault="006226A9" w:rsidP="006226A9">
    <w:pPr>
      <w:pStyle w:val="Footer"/>
      <w:rPr>
        <w:szCs w:val="16"/>
        <w:lang w:val="fr-CH"/>
      </w:rPr>
    </w:pPr>
    <w:r w:rsidRPr="006949D5">
      <w:rPr>
        <w:szCs w:val="16"/>
      </w:rPr>
      <w:fldChar w:fldCharType="begin"/>
    </w:r>
    <w:r w:rsidRPr="006949D5">
      <w:rPr>
        <w:szCs w:val="16"/>
        <w:lang w:val="fr-CH"/>
      </w:rPr>
      <w:instrText xml:space="preserve"> FILENAME \p  \* MERGEFORMAT </w:instrText>
    </w:r>
    <w:r w:rsidRPr="006949D5">
      <w:rPr>
        <w:szCs w:val="16"/>
      </w:rPr>
      <w:fldChar w:fldCharType="separate"/>
    </w:r>
    <w:r w:rsidR="007938D5">
      <w:rPr>
        <w:szCs w:val="16"/>
        <w:lang w:val="fr-CH"/>
      </w:rPr>
      <w:t>P:\ESP\SG\CONSEIL\C17\000\064S.docx</w:t>
    </w:r>
    <w:r w:rsidRPr="006949D5">
      <w:rPr>
        <w:szCs w:val="16"/>
      </w:rPr>
      <w:fldChar w:fldCharType="end"/>
    </w:r>
    <w:r w:rsidRPr="006949D5">
      <w:rPr>
        <w:szCs w:val="16"/>
        <w:lang w:val="fr-CH"/>
      </w:rPr>
      <w:t xml:space="preserve"> (413124)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616" w:rsidRDefault="00147616">
      <w:r>
        <w:t>____________________</w:t>
      </w:r>
    </w:p>
  </w:footnote>
  <w:footnote w:type="continuationSeparator" w:id="0">
    <w:p w:rsidR="00147616" w:rsidRDefault="00147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64734"/>
      <w:docPartObj>
        <w:docPartGallery w:val="Page Numbers (Top of Page)"/>
        <w:docPartUnique/>
      </w:docPartObj>
    </w:sdtPr>
    <w:sdtEndPr>
      <w:rPr>
        <w:noProof/>
      </w:rPr>
    </w:sdtEndPr>
    <w:sdtContent>
      <w:p w:rsidR="006949D5" w:rsidRDefault="006949D5">
        <w:pPr>
          <w:pStyle w:val="Header"/>
        </w:pPr>
        <w:r>
          <w:fldChar w:fldCharType="begin"/>
        </w:r>
        <w:r>
          <w:instrText xml:space="preserve"> PAGE   \* MERGEFORMAT </w:instrText>
        </w:r>
        <w:r>
          <w:fldChar w:fldCharType="separate"/>
        </w:r>
        <w:r w:rsidR="00430DA6">
          <w:rPr>
            <w:noProof/>
          </w:rPr>
          <w:t>5</w:t>
        </w:r>
        <w:r>
          <w:rPr>
            <w:noProof/>
          </w:rPr>
          <w:fldChar w:fldCharType="end"/>
        </w:r>
      </w:p>
    </w:sdtContent>
  </w:sdt>
  <w:p w:rsidR="006949D5" w:rsidRPr="00AF2F70" w:rsidRDefault="006949D5" w:rsidP="006949D5">
    <w:pPr>
      <w:pStyle w:val="Header"/>
      <w:rPr>
        <w:szCs w:val="18"/>
      </w:rPr>
    </w:pPr>
    <w:r w:rsidRPr="00AF2F70">
      <w:rPr>
        <w:szCs w:val="18"/>
      </w:rPr>
      <w:t>C17/64-</w:t>
    </w:r>
    <w:r>
      <w:rPr>
        <w:szCs w:val="18"/>
      </w:rPr>
      <w: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30DA6">
      <w:rPr>
        <w:noProof/>
      </w:rPr>
      <w:t>10</w:t>
    </w:r>
    <w:r>
      <w:rPr>
        <w:noProof/>
      </w:rPr>
      <w:fldChar w:fldCharType="end"/>
    </w:r>
  </w:p>
  <w:p w:rsidR="00760F1C" w:rsidRDefault="00760F1C" w:rsidP="00E70501">
    <w:pPr>
      <w:pStyle w:val="Header"/>
    </w:pPr>
    <w:r>
      <w:t>C</w:t>
    </w:r>
    <w:r w:rsidR="007F350B">
      <w:t>1</w:t>
    </w:r>
    <w:r w:rsidR="00B8298E">
      <w:t>7</w:t>
    </w:r>
    <w:r>
      <w:t>/</w:t>
    </w:r>
    <w:r w:rsidR="00E70501">
      <w:t>64</w:t>
    </w:r>
    <w:r>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49889"/>
      <w:docPartObj>
        <w:docPartGallery w:val="Page Numbers (Top of Page)"/>
        <w:docPartUnique/>
      </w:docPartObj>
    </w:sdtPr>
    <w:sdtEndPr>
      <w:rPr>
        <w:noProof/>
      </w:rPr>
    </w:sdtEndPr>
    <w:sdtContent>
      <w:p w:rsidR="00430DA6" w:rsidRDefault="00430DA6" w:rsidP="00C471E7">
        <w:pPr>
          <w:pStyle w:val="Header"/>
        </w:pPr>
        <w:r>
          <w:fldChar w:fldCharType="begin"/>
        </w:r>
        <w:r>
          <w:instrText xml:space="preserve"> PAGE   \* MERGEFORMAT </w:instrText>
        </w:r>
        <w:r>
          <w:fldChar w:fldCharType="separate"/>
        </w:r>
        <w:r>
          <w:rPr>
            <w:noProof/>
          </w:rPr>
          <w:t>6</w:t>
        </w:r>
        <w:r>
          <w:rPr>
            <w:noProof/>
          </w:rPr>
          <w:fldChar w:fldCharType="end"/>
        </w:r>
      </w:p>
    </w:sdtContent>
  </w:sdt>
  <w:p w:rsidR="00430DA6" w:rsidRPr="00AF2F70" w:rsidRDefault="00430DA6" w:rsidP="00C471E7">
    <w:pPr>
      <w:pStyle w:val="Header"/>
      <w:rPr>
        <w:szCs w:val="18"/>
      </w:rPr>
    </w:pPr>
    <w:r w:rsidRPr="00AF2F70">
      <w:rPr>
        <w:szCs w:val="18"/>
      </w:rPr>
      <w:t>C17/64-</w:t>
    </w:r>
    <w:r>
      <w:rPr>
        <w:szCs w:val="18"/>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35132A6"/>
    <w:multiLevelType w:val="hybridMultilevel"/>
    <w:tmpl w:val="B48296B4"/>
    <w:lvl w:ilvl="0" w:tplc="F410A31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A252B"/>
    <w:multiLevelType w:val="hybridMultilevel"/>
    <w:tmpl w:val="9C62F7A6"/>
    <w:lvl w:ilvl="0" w:tplc="632AA42A">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B7FE0"/>
    <w:multiLevelType w:val="hybridMultilevel"/>
    <w:tmpl w:val="A3E87BCA"/>
    <w:lvl w:ilvl="0" w:tplc="59FA21C4">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65D20"/>
    <w:multiLevelType w:val="hybridMultilevel"/>
    <w:tmpl w:val="4656DFA8"/>
    <w:lvl w:ilvl="0" w:tplc="CE38CFF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16"/>
    <w:rsid w:val="00093EEB"/>
    <w:rsid w:val="000B0D00"/>
    <w:rsid w:val="000B7C15"/>
    <w:rsid w:val="000D1D0F"/>
    <w:rsid w:val="000F5290"/>
    <w:rsid w:val="0010165C"/>
    <w:rsid w:val="00146BFB"/>
    <w:rsid w:val="00147616"/>
    <w:rsid w:val="001F14A2"/>
    <w:rsid w:val="002801AA"/>
    <w:rsid w:val="002C4676"/>
    <w:rsid w:val="002C70B0"/>
    <w:rsid w:val="002F3CC4"/>
    <w:rsid w:val="0040433B"/>
    <w:rsid w:val="00430DA6"/>
    <w:rsid w:val="004C04AC"/>
    <w:rsid w:val="00513630"/>
    <w:rsid w:val="00560125"/>
    <w:rsid w:val="00584A3D"/>
    <w:rsid w:val="00585553"/>
    <w:rsid w:val="005B34D9"/>
    <w:rsid w:val="005D0CCF"/>
    <w:rsid w:val="005F410F"/>
    <w:rsid w:val="0060149A"/>
    <w:rsid w:val="00601924"/>
    <w:rsid w:val="0062095E"/>
    <w:rsid w:val="006226A9"/>
    <w:rsid w:val="006447EA"/>
    <w:rsid w:val="0064731F"/>
    <w:rsid w:val="006710F6"/>
    <w:rsid w:val="006949D5"/>
    <w:rsid w:val="006C1B56"/>
    <w:rsid w:val="006D4761"/>
    <w:rsid w:val="00726872"/>
    <w:rsid w:val="00760F1C"/>
    <w:rsid w:val="007657F0"/>
    <w:rsid w:val="0077252D"/>
    <w:rsid w:val="007938D5"/>
    <w:rsid w:val="007E5DD3"/>
    <w:rsid w:val="007F350B"/>
    <w:rsid w:val="00820BE4"/>
    <w:rsid w:val="008217D3"/>
    <w:rsid w:val="008451E8"/>
    <w:rsid w:val="008966D3"/>
    <w:rsid w:val="008B4378"/>
    <w:rsid w:val="00913B9C"/>
    <w:rsid w:val="009165D7"/>
    <w:rsid w:val="009426F2"/>
    <w:rsid w:val="00956E77"/>
    <w:rsid w:val="00AA390C"/>
    <w:rsid w:val="00B0200A"/>
    <w:rsid w:val="00B574DB"/>
    <w:rsid w:val="00B826C2"/>
    <w:rsid w:val="00B8298E"/>
    <w:rsid w:val="00B84F84"/>
    <w:rsid w:val="00BD0723"/>
    <w:rsid w:val="00BD2518"/>
    <w:rsid w:val="00BF1D1C"/>
    <w:rsid w:val="00C20C59"/>
    <w:rsid w:val="00C24847"/>
    <w:rsid w:val="00C471E7"/>
    <w:rsid w:val="00C55B1F"/>
    <w:rsid w:val="00C55FF1"/>
    <w:rsid w:val="00CA1CB8"/>
    <w:rsid w:val="00CF1A67"/>
    <w:rsid w:val="00D00579"/>
    <w:rsid w:val="00D2750E"/>
    <w:rsid w:val="00D62446"/>
    <w:rsid w:val="00DA4EA2"/>
    <w:rsid w:val="00DC3D3E"/>
    <w:rsid w:val="00DE2C90"/>
    <w:rsid w:val="00DE3B24"/>
    <w:rsid w:val="00E06947"/>
    <w:rsid w:val="00E32123"/>
    <w:rsid w:val="00E3592D"/>
    <w:rsid w:val="00E54EE1"/>
    <w:rsid w:val="00E70501"/>
    <w:rsid w:val="00E92DE8"/>
    <w:rsid w:val="00EB1212"/>
    <w:rsid w:val="00ED6331"/>
    <w:rsid w:val="00ED65AB"/>
    <w:rsid w:val="00F12850"/>
    <w:rsid w:val="00F33BF4"/>
    <w:rsid w:val="00F7105E"/>
    <w:rsid w:val="00F75F57"/>
    <w:rsid w:val="00F82FEE"/>
    <w:rsid w:val="00F96EB4"/>
    <w:rsid w:val="00FC0DC4"/>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538E1F3-691D-4CB8-9AFC-0922480B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link w:val="Heading3Char"/>
    <w:uiPriority w:val="9"/>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2Char">
    <w:name w:val="Heading 2 Char"/>
    <w:basedOn w:val="DefaultParagraphFont"/>
    <w:link w:val="Heading2"/>
    <w:uiPriority w:val="9"/>
    <w:rsid w:val="00147616"/>
    <w:rPr>
      <w:rFonts w:ascii="Calibri" w:hAnsi="Calibri"/>
      <w:b/>
      <w:sz w:val="24"/>
      <w:lang w:val="es-ES_tradnl" w:eastAsia="en-US"/>
    </w:rPr>
  </w:style>
  <w:style w:type="table" w:styleId="TableGrid">
    <w:name w:val="Table Grid"/>
    <w:basedOn w:val="TableNormal"/>
    <w:uiPriority w:val="39"/>
    <w:rsid w:val="0014761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7616"/>
    <w:rPr>
      <w:rFonts w:ascii="Calibri" w:hAnsi="Calibri"/>
      <w:b/>
      <w:sz w:val="24"/>
      <w:lang w:val="es-ES_tradnl" w:eastAsia="en-US"/>
    </w:rPr>
  </w:style>
  <w:style w:type="paragraph" w:styleId="ListParagraph">
    <w:name w:val="List Paragraph"/>
    <w:basedOn w:val="Normal"/>
    <w:uiPriority w:val="34"/>
    <w:qFormat/>
    <w:rsid w:val="0014761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HeaderChar">
    <w:name w:val="Header Char"/>
    <w:basedOn w:val="DefaultParagraphFont"/>
    <w:link w:val="Header"/>
    <w:uiPriority w:val="99"/>
    <w:rsid w:val="00147616"/>
    <w:rPr>
      <w:rFonts w:ascii="Calibri" w:hAnsi="Calibri"/>
      <w:sz w:val="18"/>
      <w:lang w:val="es-ES_tradnl" w:eastAsia="en-US"/>
    </w:rPr>
  </w:style>
  <w:style w:type="character" w:customStyle="1" w:styleId="FooterChar">
    <w:name w:val="Footer Char"/>
    <w:basedOn w:val="DefaultParagraphFont"/>
    <w:link w:val="Footer"/>
    <w:uiPriority w:val="99"/>
    <w:rsid w:val="00147616"/>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n/reports-notes/JIU%20Products/JIU_REP_2011_5_English.pdf"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en/ga/search/view_doc.asp?symbol=A/RES/64/25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un.org/en/ga/search/view_doc.asp?symbol=A/RES/64/25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PS_C17.dotx</Template>
  <TotalTime>98</TotalTime>
  <Pages>11</Pages>
  <Words>3831</Words>
  <Characters>21266</Characters>
  <Application>Microsoft Office Word</Application>
  <DocSecurity>0</DocSecurity>
  <Lines>177</Lines>
  <Paragraphs>50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25047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dc:creator>
  <cp:keywords>C2010, C10</cp:keywords>
  <dc:description>Documento C17/-S  Para: _x000d_Fecha del documento: enero de 2017_x000d_Registrado por ITU51009317 a 15:32:38 el 06/04/2017</dc:description>
  <cp:lastModifiedBy>Spanish</cp:lastModifiedBy>
  <cp:revision>24</cp:revision>
  <cp:lastPrinted>2006-03-24T09:51:00Z</cp:lastPrinted>
  <dcterms:created xsi:type="dcterms:W3CDTF">2017-05-02T11:03:00Z</dcterms:created>
  <dcterms:modified xsi:type="dcterms:W3CDTF">2017-05-02T12:57:00Z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